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color w:val="auto"/>
          <w:sz w:val="44"/>
        </w:rPr>
      </w:pPr>
    </w:p>
    <w:p>
      <w:pPr>
        <w:jc w:val="center"/>
        <w:rPr>
          <w:rFonts w:ascii="宋体" w:hAnsi="宋体"/>
          <w:b/>
          <w:bCs/>
          <w:color w:val="auto"/>
          <w:sz w:val="44"/>
        </w:rPr>
      </w:pPr>
      <w:r>
        <w:rPr>
          <w:rFonts w:hint="eastAsia" w:ascii="宋体" w:hAnsi="宋体"/>
          <w:b/>
          <w:bCs/>
          <w:color w:val="auto"/>
          <w:sz w:val="44"/>
        </w:rPr>
        <w:t>深圳市龙岗区第七人民医院</w:t>
      </w:r>
    </w:p>
    <w:p>
      <w:pPr>
        <w:jc w:val="center"/>
        <w:rPr>
          <w:rFonts w:ascii="宋体" w:hAnsi="宋体"/>
          <w:b/>
          <w:bCs/>
          <w:color w:val="auto"/>
          <w:sz w:val="44"/>
        </w:rPr>
      </w:pPr>
      <w:r>
        <w:rPr>
          <w:rFonts w:hint="eastAsia" w:ascii="宋体" w:hAnsi="宋体"/>
          <w:b/>
          <w:bCs/>
          <w:color w:val="auto"/>
          <w:sz w:val="44"/>
        </w:rPr>
        <w:t>院内采购标书</w:t>
      </w:r>
    </w:p>
    <w:p>
      <w:pPr>
        <w:jc w:val="center"/>
        <w:rPr>
          <w:rFonts w:ascii="宋体" w:hAnsi="宋体"/>
          <w:b/>
          <w:bCs/>
          <w:color w:val="auto"/>
          <w:sz w:val="44"/>
        </w:rPr>
      </w:pPr>
    </w:p>
    <w:p>
      <w:pPr>
        <w:jc w:val="center"/>
        <w:rPr>
          <w:rFonts w:ascii="宋体" w:hAnsi="宋体"/>
          <w:b/>
          <w:bCs/>
          <w:color w:val="auto"/>
          <w:sz w:val="44"/>
        </w:rPr>
      </w:pPr>
      <w:r>
        <w:rPr>
          <w:rFonts w:hint="eastAsia" w:ascii="宋体" w:hAnsi="宋体"/>
          <w:b/>
          <w:bCs/>
          <w:color w:val="auto"/>
          <w:sz w:val="44"/>
        </w:rPr>
        <w:t>招标文件信息</w:t>
      </w:r>
    </w:p>
    <w:p>
      <w:pPr>
        <w:jc w:val="center"/>
        <w:rPr>
          <w:rFonts w:ascii="宋体" w:hAnsi="宋体"/>
          <w:b/>
          <w:bCs/>
          <w:color w:val="auto"/>
          <w:sz w:val="44"/>
        </w:rPr>
      </w:pPr>
    </w:p>
    <w:p>
      <w:pPr>
        <w:snapToGrid w:val="0"/>
        <w:spacing w:line="360" w:lineRule="auto"/>
        <w:ind w:left="420" w:leftChars="200"/>
        <w:rPr>
          <w:rFonts w:ascii="仿宋_GB2312" w:hAnsi="仿宋_GB2312" w:eastAsia="仿宋_GB2312" w:cs="仿宋_GB2312"/>
          <w:color w:val="auto"/>
          <w:sz w:val="36"/>
          <w:szCs w:val="36"/>
        </w:rPr>
      </w:pPr>
      <w:r>
        <w:rPr>
          <w:rFonts w:hint="eastAsia" w:ascii="仿宋_GB2312" w:hAnsi="仿宋_GB2312" w:eastAsia="仿宋_GB2312" w:cs="仿宋_GB2312"/>
          <w:b/>
          <w:bCs/>
          <w:color w:val="auto"/>
          <w:sz w:val="36"/>
          <w:szCs w:val="36"/>
        </w:rPr>
        <w:t>采购项目：</w:t>
      </w:r>
      <w:r>
        <w:rPr>
          <w:rFonts w:hint="eastAsia" w:ascii="仿宋_GB2312" w:hAnsi="仿宋_GB2312" w:eastAsia="仿宋_GB2312" w:cs="仿宋_GB2312"/>
          <w:b/>
          <w:bCs/>
          <w:color w:val="auto"/>
          <w:sz w:val="36"/>
          <w:szCs w:val="36"/>
          <w:lang w:val="en-US" w:eastAsia="zh-CN"/>
        </w:rPr>
        <w:t xml:space="preserve">    </w:t>
      </w:r>
      <w:r>
        <w:rPr>
          <w:rFonts w:hint="eastAsia" w:ascii="仿宋_GB2312" w:hAnsi="仿宋_GB2312" w:eastAsia="仿宋_GB2312" w:cs="仿宋_GB2312"/>
          <w:color w:val="auto"/>
          <w:sz w:val="36"/>
          <w:szCs w:val="36"/>
          <w:lang w:val="en-US" w:eastAsia="zh-CN"/>
        </w:rPr>
        <w:t>房屋结构安全评估服务项目</w:t>
      </w:r>
    </w:p>
    <w:p>
      <w:pPr>
        <w:snapToGrid w:val="0"/>
        <w:spacing w:line="360" w:lineRule="auto"/>
        <w:ind w:left="420" w:leftChars="200"/>
        <w:rPr>
          <w:rFonts w:ascii="仿宋_GB2312" w:hAnsi="仿宋_GB2312" w:eastAsia="仿宋_GB2312" w:cs="仿宋_GB2312"/>
          <w:color w:val="auto"/>
          <w:sz w:val="36"/>
          <w:szCs w:val="36"/>
        </w:rPr>
      </w:pPr>
      <w:r>
        <w:rPr>
          <w:rFonts w:hint="eastAsia" w:ascii="仿宋_GB2312" w:hAnsi="仿宋_GB2312" w:eastAsia="仿宋_GB2312" w:cs="仿宋_GB2312"/>
          <w:b/>
          <w:bCs/>
          <w:color w:val="auto"/>
          <w:sz w:val="36"/>
          <w:szCs w:val="36"/>
        </w:rPr>
        <w:t>采购项目编号：</w:t>
      </w:r>
      <w:r>
        <w:rPr>
          <w:rFonts w:hint="eastAsia" w:ascii="仿宋_GB2312" w:hAnsi="仿宋_GB2312" w:eastAsia="仿宋_GB2312" w:cs="仿宋_GB2312"/>
          <w:color w:val="auto"/>
          <w:sz w:val="36"/>
          <w:szCs w:val="36"/>
        </w:rPr>
        <w:t>深龙七医采[</w:t>
      </w:r>
      <w:r>
        <w:rPr>
          <w:rFonts w:hint="eastAsia" w:ascii="仿宋_GB2312" w:hAnsi="仿宋_GB2312" w:eastAsia="仿宋_GB2312" w:cs="仿宋_GB2312"/>
          <w:color w:val="auto"/>
          <w:sz w:val="32"/>
          <w:szCs w:val="32"/>
          <w:lang w:val="en-US" w:eastAsia="zh-CN"/>
        </w:rPr>
        <w:t>LGQY2023ZW011</w:t>
      </w:r>
      <w:r>
        <w:rPr>
          <w:rFonts w:hint="eastAsia" w:ascii="仿宋_GB2312" w:hAnsi="仿宋_GB2312" w:eastAsia="仿宋_GB2312" w:cs="仿宋_GB2312"/>
          <w:color w:val="auto"/>
          <w:sz w:val="36"/>
          <w:szCs w:val="36"/>
        </w:rPr>
        <w:t>]</w:t>
      </w:r>
    </w:p>
    <w:p>
      <w:pPr>
        <w:snapToGrid w:val="0"/>
        <w:spacing w:line="360" w:lineRule="auto"/>
        <w:ind w:left="420" w:leftChars="200"/>
        <w:rPr>
          <w:rFonts w:hint="eastAsia" w:ascii="仿宋_GB2312" w:hAnsi="仿宋_GB2312" w:eastAsia="仿宋_GB2312" w:cs="仿宋_GB2312"/>
          <w:color w:val="auto"/>
          <w:sz w:val="36"/>
          <w:szCs w:val="36"/>
        </w:rPr>
      </w:pPr>
      <w:r>
        <w:rPr>
          <w:rFonts w:hint="eastAsia" w:ascii="仿宋_GB2312" w:hAnsi="仿宋_GB2312" w:eastAsia="仿宋_GB2312" w:cs="仿宋_GB2312"/>
          <w:b/>
          <w:bCs/>
          <w:color w:val="auto"/>
          <w:sz w:val="36"/>
          <w:szCs w:val="36"/>
        </w:rPr>
        <w:t xml:space="preserve">项目类型：    </w:t>
      </w:r>
      <w:r>
        <w:rPr>
          <w:rFonts w:hint="eastAsia" w:ascii="仿宋_GB2312" w:hAnsi="仿宋_GB2312" w:eastAsia="仿宋_GB2312" w:cs="仿宋_GB2312"/>
          <w:color w:val="auto"/>
          <w:sz w:val="36"/>
          <w:szCs w:val="36"/>
        </w:rPr>
        <w:t>服务类</w:t>
      </w:r>
    </w:p>
    <w:p>
      <w:pPr>
        <w:snapToGrid w:val="0"/>
        <w:spacing w:line="360" w:lineRule="auto"/>
        <w:ind w:left="420" w:leftChars="200"/>
        <w:rPr>
          <w:rFonts w:hint="default" w:eastAsia="仿宋_GB2312"/>
          <w:color w:val="auto"/>
          <w:lang w:val="en-US" w:eastAsia="zh-CN"/>
        </w:rPr>
      </w:pPr>
      <w:r>
        <w:rPr>
          <w:rFonts w:hint="eastAsia" w:ascii="仿宋_GB2312" w:hAnsi="仿宋_GB2312" w:eastAsia="仿宋_GB2312" w:cs="仿宋_GB2312"/>
          <w:b/>
          <w:bCs/>
          <w:color w:val="auto"/>
          <w:sz w:val="36"/>
          <w:szCs w:val="36"/>
        </w:rPr>
        <w:t xml:space="preserve">采购数量：    </w:t>
      </w:r>
      <w:r>
        <w:rPr>
          <w:rFonts w:hint="eastAsia" w:ascii="仿宋_GB2312" w:hAnsi="仿宋_GB2312" w:eastAsia="仿宋_GB2312" w:cs="仿宋_GB2312"/>
          <w:color w:val="auto"/>
          <w:sz w:val="36"/>
          <w:szCs w:val="36"/>
          <w:lang w:val="en-US" w:eastAsia="zh-CN"/>
        </w:rPr>
        <w:t>1项</w:t>
      </w:r>
    </w:p>
    <w:p>
      <w:pPr>
        <w:snapToGrid w:val="0"/>
        <w:spacing w:line="360" w:lineRule="auto"/>
        <w:ind w:firstLine="361" w:firstLineChars="100"/>
        <w:jc w:val="left"/>
        <w:rPr>
          <w:rFonts w:ascii="仿宋_GB2312" w:hAnsi="仿宋_GB2312" w:eastAsia="仿宋_GB2312" w:cs="仿宋_GB2312"/>
          <w:color w:val="auto"/>
          <w:sz w:val="36"/>
          <w:szCs w:val="36"/>
          <w:highlight w:val="yellow"/>
        </w:rPr>
      </w:pPr>
      <w:r>
        <w:rPr>
          <w:rFonts w:hint="eastAsia" w:ascii="仿宋_GB2312" w:hAnsi="仿宋_GB2312" w:eastAsia="仿宋_GB2312" w:cs="仿宋_GB2312"/>
          <w:b/>
          <w:bCs/>
          <w:color w:val="auto"/>
          <w:sz w:val="36"/>
          <w:szCs w:val="36"/>
        </w:rPr>
        <w:t xml:space="preserve">预算总金额：  </w:t>
      </w:r>
      <w:r>
        <w:rPr>
          <w:rFonts w:hint="eastAsia" w:ascii="仿宋_GB2312" w:hAnsi="仿宋_GB2312" w:eastAsia="仿宋_GB2312" w:cs="仿宋_GB2312"/>
          <w:color w:val="auto"/>
          <w:sz w:val="36"/>
          <w:szCs w:val="36"/>
          <w:lang w:val="en-US" w:eastAsia="zh-CN"/>
        </w:rPr>
        <w:t>123200元</w:t>
      </w:r>
    </w:p>
    <w:p>
      <w:pPr>
        <w:snapToGrid w:val="0"/>
        <w:spacing w:line="360" w:lineRule="auto"/>
        <w:ind w:left="420" w:leftChars="200"/>
        <w:rPr>
          <w:rFonts w:ascii="仿宋_GB2312" w:hAnsi="仿宋_GB2312" w:eastAsia="仿宋_GB2312" w:cs="仿宋_GB2312"/>
          <w:color w:val="auto"/>
          <w:sz w:val="36"/>
          <w:szCs w:val="36"/>
        </w:rPr>
      </w:pPr>
      <w:r>
        <w:rPr>
          <w:rFonts w:hint="eastAsia" w:ascii="仿宋_GB2312" w:hAnsi="仿宋_GB2312" w:eastAsia="仿宋_GB2312" w:cs="仿宋_GB2312"/>
          <w:b/>
          <w:bCs/>
          <w:color w:val="auto"/>
          <w:sz w:val="36"/>
          <w:szCs w:val="36"/>
        </w:rPr>
        <w:t xml:space="preserve">采购方式：    </w:t>
      </w:r>
      <w:r>
        <w:rPr>
          <w:rFonts w:hint="eastAsia" w:ascii="仿宋_GB2312" w:hAnsi="仿宋_GB2312" w:eastAsia="仿宋_GB2312" w:cs="仿宋_GB2312"/>
          <w:color w:val="auto"/>
          <w:sz w:val="36"/>
          <w:szCs w:val="36"/>
        </w:rPr>
        <w:t>院内公开采购</w:t>
      </w:r>
    </w:p>
    <w:p>
      <w:pPr>
        <w:snapToGrid w:val="0"/>
        <w:spacing w:line="360" w:lineRule="auto"/>
        <w:ind w:left="420" w:leftChars="200"/>
        <w:rPr>
          <w:rFonts w:ascii="仿宋_GB2312" w:hAnsi="仿宋_GB2312" w:eastAsia="仿宋_GB2312" w:cs="仿宋_GB2312"/>
          <w:color w:val="auto"/>
          <w:sz w:val="36"/>
          <w:szCs w:val="36"/>
        </w:rPr>
      </w:pPr>
      <w:r>
        <w:rPr>
          <w:rFonts w:hint="eastAsia" w:ascii="仿宋_GB2312" w:hAnsi="仿宋_GB2312" w:eastAsia="仿宋_GB2312" w:cs="仿宋_GB2312"/>
          <w:b/>
          <w:bCs/>
          <w:color w:val="auto"/>
          <w:sz w:val="36"/>
          <w:szCs w:val="36"/>
        </w:rPr>
        <w:t>评标方法：</w:t>
      </w:r>
      <w:r>
        <w:rPr>
          <w:rFonts w:hint="eastAsia" w:ascii="仿宋_GB2312" w:hAnsi="仿宋_GB2312" w:eastAsia="仿宋_GB2312" w:cs="仿宋_GB2312"/>
          <w:b/>
          <w:bCs/>
          <w:color w:val="auto"/>
          <w:sz w:val="36"/>
          <w:szCs w:val="36"/>
          <w:lang w:val="en-US" w:eastAsia="zh-CN"/>
        </w:rPr>
        <w:t xml:space="preserve">    </w:t>
      </w:r>
      <w:r>
        <w:rPr>
          <w:rFonts w:hint="eastAsia" w:ascii="仿宋_GB2312" w:hAnsi="仿宋_GB2312" w:eastAsia="仿宋_GB2312" w:cs="仿宋_GB2312"/>
          <w:color w:val="auto"/>
          <w:sz w:val="36"/>
          <w:szCs w:val="36"/>
        </w:rPr>
        <w:t>综合评分法</w:t>
      </w:r>
    </w:p>
    <w:p>
      <w:pPr>
        <w:snapToGrid w:val="0"/>
        <w:spacing w:line="360" w:lineRule="auto"/>
        <w:ind w:left="420" w:leftChars="200"/>
        <w:rPr>
          <w:rFonts w:ascii="仿宋_GB2312" w:hAnsi="仿宋_GB2312" w:eastAsia="仿宋_GB2312" w:cs="仿宋_GB2312"/>
          <w:color w:val="auto"/>
          <w:sz w:val="36"/>
          <w:szCs w:val="36"/>
        </w:rPr>
      </w:pPr>
      <w:r>
        <w:rPr>
          <w:rFonts w:hint="eastAsia" w:ascii="仿宋_GB2312" w:hAnsi="仿宋_GB2312" w:eastAsia="仿宋_GB2312" w:cs="仿宋_GB2312"/>
          <w:b/>
          <w:bCs/>
          <w:color w:val="auto"/>
          <w:sz w:val="36"/>
          <w:szCs w:val="36"/>
        </w:rPr>
        <w:t>投标货币</w:t>
      </w:r>
      <w:r>
        <w:rPr>
          <w:rFonts w:hint="eastAsia" w:ascii="仿宋_GB2312" w:hAnsi="仿宋_GB2312" w:eastAsia="仿宋_GB2312" w:cs="仿宋_GB2312"/>
          <w:color w:val="auto"/>
          <w:sz w:val="36"/>
          <w:szCs w:val="36"/>
        </w:rPr>
        <w:t>：　  人民币</w:t>
      </w:r>
    </w:p>
    <w:p>
      <w:pPr>
        <w:snapToGrid w:val="0"/>
        <w:spacing w:line="360" w:lineRule="auto"/>
        <w:ind w:left="420" w:leftChars="200"/>
        <w:rPr>
          <w:rFonts w:ascii="仿宋_GB2312" w:hAnsi="仿宋_GB2312" w:eastAsia="仿宋_GB2312" w:cs="仿宋_GB2312"/>
          <w:color w:val="auto"/>
          <w:sz w:val="36"/>
          <w:szCs w:val="36"/>
        </w:rPr>
      </w:pPr>
    </w:p>
    <w:p>
      <w:pPr>
        <w:pStyle w:val="11"/>
        <w:rPr>
          <w:rFonts w:hint="default"/>
          <w:color w:val="auto"/>
        </w:rPr>
      </w:pPr>
    </w:p>
    <w:p>
      <w:pPr>
        <w:pStyle w:val="11"/>
        <w:rPr>
          <w:rFonts w:hint="default"/>
          <w:color w:val="auto"/>
          <w:szCs w:val="20"/>
        </w:rPr>
      </w:pPr>
    </w:p>
    <w:p>
      <w:pPr>
        <w:spacing w:line="360" w:lineRule="auto"/>
        <w:jc w:val="center"/>
        <w:rPr>
          <w:rFonts w:ascii="宋体" w:hAnsi="宋体" w:cs="宋体"/>
          <w:b/>
          <w:bCs/>
          <w:color w:val="auto"/>
          <w:sz w:val="40"/>
          <w:szCs w:val="40"/>
        </w:rPr>
      </w:pPr>
    </w:p>
    <w:p>
      <w:pPr>
        <w:spacing w:line="360" w:lineRule="auto"/>
        <w:jc w:val="both"/>
        <w:rPr>
          <w:rFonts w:hint="eastAsia" w:ascii="宋体" w:hAnsi="宋体" w:cs="宋体"/>
          <w:b/>
          <w:bCs/>
          <w:color w:val="auto"/>
          <w:sz w:val="40"/>
          <w:szCs w:val="40"/>
        </w:rPr>
      </w:pPr>
    </w:p>
    <w:p>
      <w:pPr>
        <w:pStyle w:val="2"/>
        <w:rPr>
          <w:rFonts w:hint="eastAsia"/>
        </w:rPr>
      </w:pPr>
    </w:p>
    <w:p>
      <w:pPr>
        <w:pStyle w:val="2"/>
        <w:rPr>
          <w:rFonts w:hint="eastAsia"/>
        </w:rPr>
      </w:pPr>
    </w:p>
    <w:p>
      <w:pPr>
        <w:pStyle w:val="2"/>
        <w:rPr>
          <w:rFonts w:hint="eastAsia"/>
        </w:rPr>
      </w:pPr>
    </w:p>
    <w:p>
      <w:pPr>
        <w:spacing w:line="360" w:lineRule="auto"/>
        <w:jc w:val="center"/>
        <w:rPr>
          <w:rFonts w:ascii="仿宋_GB2312" w:hAnsi="仿宋_GB2312" w:eastAsia="仿宋_GB2312" w:cs="仿宋_GB2312"/>
          <w:b/>
          <w:bCs/>
          <w:color w:val="auto"/>
          <w:sz w:val="36"/>
          <w:szCs w:val="36"/>
        </w:rPr>
      </w:pPr>
      <w:r>
        <w:rPr>
          <w:rFonts w:hint="eastAsia" w:ascii="宋体" w:hAnsi="宋体" w:cs="宋体"/>
          <w:b/>
          <w:bCs/>
          <w:color w:val="auto"/>
          <w:sz w:val="40"/>
          <w:szCs w:val="40"/>
        </w:rPr>
        <w:t>第一章</w:t>
      </w:r>
    </w:p>
    <w:p>
      <w:pPr>
        <w:spacing w:line="520" w:lineRule="exact"/>
        <w:jc w:val="center"/>
        <w:rPr>
          <w:rFonts w:hint="eastAsia" w:ascii="宋体" w:hAnsi="宋体"/>
          <w:color w:val="auto"/>
          <w:sz w:val="40"/>
          <w:szCs w:val="40"/>
          <w:lang w:val="en-US" w:eastAsia="zh-CN"/>
        </w:rPr>
      </w:pPr>
      <w:r>
        <w:rPr>
          <w:rFonts w:hint="eastAsia" w:ascii="宋体" w:hAnsi="宋体"/>
          <w:color w:val="auto"/>
          <w:sz w:val="40"/>
          <w:szCs w:val="40"/>
        </w:rPr>
        <w:t>深圳市龙岗区第七人民医院关于</w:t>
      </w:r>
      <w:r>
        <w:rPr>
          <w:rFonts w:hint="eastAsia" w:ascii="宋体" w:hAnsi="宋体"/>
          <w:color w:val="auto"/>
          <w:sz w:val="40"/>
          <w:szCs w:val="40"/>
          <w:lang w:val="en-US" w:eastAsia="zh-CN"/>
        </w:rPr>
        <w:t>房屋结构安全</w:t>
      </w:r>
    </w:p>
    <w:p>
      <w:pPr>
        <w:spacing w:line="520" w:lineRule="exact"/>
        <w:jc w:val="center"/>
        <w:rPr>
          <w:rFonts w:ascii="宋体" w:hAnsi="宋体"/>
          <w:color w:val="auto"/>
          <w:sz w:val="40"/>
          <w:szCs w:val="40"/>
        </w:rPr>
      </w:pPr>
      <w:r>
        <w:rPr>
          <w:rFonts w:hint="eastAsia" w:ascii="宋体" w:hAnsi="宋体"/>
          <w:color w:val="auto"/>
          <w:sz w:val="40"/>
          <w:szCs w:val="40"/>
          <w:lang w:val="en-US" w:eastAsia="zh-CN"/>
        </w:rPr>
        <w:t>评估服务项目</w:t>
      </w:r>
      <w:r>
        <w:rPr>
          <w:rFonts w:hint="eastAsia" w:ascii="宋体" w:hAnsi="宋体"/>
          <w:color w:val="auto"/>
          <w:sz w:val="40"/>
          <w:szCs w:val="40"/>
        </w:rPr>
        <w:t>院内公开采购的公告</w:t>
      </w:r>
    </w:p>
    <w:p>
      <w:pPr>
        <w:spacing w:line="480" w:lineRule="exact"/>
        <w:ind w:firstLine="560" w:firstLineChars="200"/>
        <w:rPr>
          <w:rFonts w:ascii="仿宋_GB2312" w:hAnsi="宋体" w:eastAsia="仿宋_GB2312"/>
          <w:color w:val="auto"/>
          <w:sz w:val="28"/>
          <w:szCs w:val="28"/>
        </w:rPr>
      </w:pPr>
    </w:p>
    <w:p>
      <w:pPr>
        <w:spacing w:line="480" w:lineRule="exact"/>
        <w:ind w:firstLine="560" w:firstLineChars="200"/>
        <w:rPr>
          <w:rFonts w:ascii="仿宋_GB2312" w:eastAsia="仿宋_GB2312"/>
          <w:color w:val="auto"/>
          <w:sz w:val="28"/>
          <w:szCs w:val="28"/>
        </w:rPr>
      </w:pPr>
      <w:r>
        <w:rPr>
          <w:rFonts w:hint="eastAsia" w:ascii="仿宋_GB2312" w:hAnsi="宋体" w:eastAsia="仿宋_GB2312"/>
          <w:sz w:val="28"/>
          <w:szCs w:val="28"/>
        </w:rPr>
        <w:t>根据政府采购相关规定</w:t>
      </w:r>
      <w:r>
        <w:rPr>
          <w:rFonts w:hint="eastAsia" w:ascii="仿宋_GB2312" w:hAnsi="宋体" w:eastAsia="仿宋_GB2312"/>
          <w:sz w:val="28"/>
          <w:szCs w:val="28"/>
          <w:lang w:val="en-US" w:eastAsia="zh-CN"/>
        </w:rPr>
        <w:t>和</w:t>
      </w:r>
      <w:r>
        <w:rPr>
          <w:rFonts w:hint="eastAsia" w:ascii="仿宋_GB2312" w:hAnsi="宋体" w:eastAsia="仿宋_GB2312"/>
          <w:sz w:val="28"/>
          <w:szCs w:val="28"/>
        </w:rPr>
        <w:t>《深圳市龙岗区</w:t>
      </w:r>
      <w:r>
        <w:rPr>
          <w:rFonts w:hint="eastAsia" w:ascii="仿宋_GB2312" w:hAnsi="宋体" w:eastAsia="仿宋_GB2312"/>
          <w:sz w:val="28"/>
          <w:szCs w:val="28"/>
          <w:lang w:val="en-US" w:eastAsia="zh-CN"/>
        </w:rPr>
        <w:t>第七</w:t>
      </w:r>
      <w:r>
        <w:rPr>
          <w:rFonts w:hint="eastAsia" w:ascii="仿宋_GB2312" w:hAnsi="宋体" w:eastAsia="仿宋_GB2312"/>
          <w:sz w:val="28"/>
          <w:szCs w:val="28"/>
        </w:rPr>
        <w:t>人民医院采购管理办法》的有关规定，</w:t>
      </w:r>
      <w:r>
        <w:rPr>
          <w:rFonts w:hint="eastAsia" w:ascii="仿宋_GB2312" w:eastAsia="仿宋_GB2312"/>
          <w:color w:val="auto"/>
          <w:sz w:val="28"/>
          <w:szCs w:val="28"/>
        </w:rPr>
        <w:t>我院拟对以下项目进行院内公开采购，欢迎符合条件具有供应能力的供应商或厂家前来报名参加。</w:t>
      </w:r>
    </w:p>
    <w:p>
      <w:pPr>
        <w:spacing w:line="48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一、采购项目</w:t>
      </w:r>
    </w:p>
    <w:p>
      <w:pPr>
        <w:pStyle w:val="32"/>
        <w:numPr>
          <w:ilvl w:val="0"/>
          <w:numId w:val="1"/>
        </w:numPr>
        <w:spacing w:line="480" w:lineRule="exact"/>
        <w:ind w:firstLine="56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项目编号：深龙七医采[LGQY2023ZW01</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w:t>
      </w:r>
    </w:p>
    <w:p>
      <w:pPr>
        <w:pStyle w:val="32"/>
        <w:numPr>
          <w:ilvl w:val="0"/>
          <w:numId w:val="1"/>
        </w:numPr>
        <w:spacing w:line="480" w:lineRule="exact"/>
        <w:ind w:firstLine="56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项目名称：</w:t>
      </w:r>
      <w:r>
        <w:rPr>
          <w:rFonts w:hint="eastAsia" w:ascii="仿宋_GB2312" w:hAnsi="仿宋_GB2312" w:eastAsia="仿宋_GB2312" w:cs="仿宋_GB2312"/>
          <w:color w:val="auto"/>
          <w:sz w:val="28"/>
          <w:szCs w:val="28"/>
          <w:lang w:val="en-US" w:eastAsia="zh-CN"/>
        </w:rPr>
        <w:t>房屋结构安全评估服务项目</w:t>
      </w:r>
    </w:p>
    <w:p>
      <w:pPr>
        <w:pStyle w:val="32"/>
        <w:numPr>
          <w:ilvl w:val="0"/>
          <w:numId w:val="1"/>
        </w:numPr>
        <w:spacing w:line="480" w:lineRule="exact"/>
        <w:ind w:firstLine="56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采购数量：</w:t>
      </w:r>
      <w:r>
        <w:rPr>
          <w:rFonts w:hint="eastAsia" w:ascii="仿宋_GB2312" w:hAnsi="仿宋_GB2312" w:eastAsia="仿宋_GB2312" w:cs="仿宋_GB2312"/>
          <w:color w:val="auto"/>
          <w:sz w:val="28"/>
          <w:szCs w:val="28"/>
          <w:lang w:val="en-US" w:eastAsia="zh-CN"/>
        </w:rPr>
        <w:t>1项</w:t>
      </w:r>
    </w:p>
    <w:p>
      <w:pPr>
        <w:pStyle w:val="32"/>
        <w:numPr>
          <w:ilvl w:val="0"/>
          <w:numId w:val="1"/>
        </w:numPr>
        <w:spacing w:line="480" w:lineRule="exact"/>
        <w:ind w:firstLine="56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预算金额：</w:t>
      </w:r>
      <w:r>
        <w:rPr>
          <w:rFonts w:hint="eastAsia" w:ascii="仿宋_GB2312" w:hAnsi="仿宋_GB2312" w:eastAsia="仿宋_GB2312" w:cs="仿宋_GB2312"/>
          <w:color w:val="auto"/>
          <w:sz w:val="28"/>
          <w:szCs w:val="28"/>
          <w:lang w:val="en-US" w:eastAsia="zh-CN"/>
        </w:rPr>
        <w:t>123200元</w:t>
      </w:r>
    </w:p>
    <w:p>
      <w:pPr>
        <w:pStyle w:val="32"/>
        <w:numPr>
          <w:ilvl w:val="0"/>
          <w:numId w:val="2"/>
        </w:numPr>
        <w:spacing w:line="480" w:lineRule="exact"/>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资质要求</w:t>
      </w:r>
    </w:p>
    <w:p>
      <w:pPr>
        <w:widowControl/>
        <w:spacing w:line="50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（一）基本资格条件</w:t>
      </w:r>
    </w:p>
    <w:p>
      <w:pPr>
        <w:pStyle w:val="32"/>
        <w:spacing w:line="420" w:lineRule="exact"/>
        <w:ind w:firstLine="56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（1）具有独立法人资格或具有独立承担民事责任的能力的其他组织（提供营业执照或事业单位法人证等法人证明扫描件，原件备查）；</w:t>
      </w:r>
    </w:p>
    <w:p>
      <w:pPr>
        <w:pStyle w:val="32"/>
        <w:spacing w:line="420" w:lineRule="exact"/>
        <w:ind w:firstLine="56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（2）参与本项目投标前三年内，在经营活动中没有重大违法记录；</w:t>
      </w:r>
    </w:p>
    <w:p>
      <w:pPr>
        <w:pStyle w:val="32"/>
        <w:spacing w:line="420" w:lineRule="exact"/>
        <w:ind w:firstLine="56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（3）参与本项目政府采购活动时不存在被有关部门禁止参与政府采购活动且在有效期内的情况；</w:t>
      </w:r>
    </w:p>
    <w:p>
      <w:pPr>
        <w:pStyle w:val="32"/>
        <w:spacing w:line="420" w:lineRule="exact"/>
        <w:ind w:firstLine="56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（4）具备《中华人民共和国政府采购法》第二十二条的条件；</w:t>
      </w:r>
    </w:p>
    <w:p>
      <w:pPr>
        <w:pStyle w:val="32"/>
        <w:spacing w:line="420" w:lineRule="exact"/>
        <w:ind w:firstLine="56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（5）未被列入失信被执行人、重大税收违法案件当事人名单、政府采购严重违法失信行为记录名单；</w:t>
      </w:r>
    </w:p>
    <w:p>
      <w:pPr>
        <w:pStyle w:val="32"/>
        <w:spacing w:line="420" w:lineRule="exact"/>
        <w:ind w:firstLine="56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（6）与其他投标供应商不存在单位负责人为同一人或者存在直接控股、管理关系；</w:t>
      </w:r>
    </w:p>
    <w:p>
      <w:pPr>
        <w:pStyle w:val="32"/>
        <w:spacing w:line="420" w:lineRule="exact"/>
        <w:ind w:firstLine="56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（7）本项目不接受联合体投标，不允许分包、转包。</w:t>
      </w:r>
    </w:p>
    <w:p>
      <w:pPr>
        <w:pStyle w:val="32"/>
        <w:spacing w:line="360" w:lineRule="exact"/>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以上（2）至（7）条须供应商在《投标及履约承诺函》中作出声明。</w:t>
      </w:r>
    </w:p>
    <w:p>
      <w:pPr>
        <w:pStyle w:val="2"/>
        <w:numPr>
          <w:ilvl w:val="0"/>
          <w:numId w:val="3"/>
        </w:numP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特质要求</w:t>
      </w:r>
    </w:p>
    <w:p>
      <w:pPr>
        <w:numPr>
          <w:ilvl w:val="0"/>
          <w:numId w:val="0"/>
        </w:numPr>
        <w:ind w:firstLine="560" w:firstLineChars="200"/>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投标方需为深圳市房屋安全鉴定机构名录机构（提供深圳市住房和建设局房屋安全鉴定机构名录名单截图）。</w:t>
      </w:r>
    </w:p>
    <w:p>
      <w:pPr>
        <w:pStyle w:val="32"/>
        <w:spacing w:line="360" w:lineRule="exact"/>
        <w:ind w:firstLine="56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三、采购方式：院内公开采购</w:t>
      </w:r>
    </w:p>
    <w:p>
      <w:pPr>
        <w:pStyle w:val="32"/>
        <w:spacing w:line="360" w:lineRule="exact"/>
        <w:ind w:firstLine="56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四、评标方法：综合评分法</w:t>
      </w:r>
    </w:p>
    <w:p>
      <w:pPr>
        <w:widowControl/>
        <w:spacing w:line="50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五、投标人报名资料要求（以下资料均</w:t>
      </w:r>
      <w:r>
        <w:rPr>
          <w:rFonts w:hint="eastAsia" w:ascii="仿宋_GB2312" w:hAnsi="仿宋_GB2312" w:eastAsia="仿宋_GB2312" w:cs="仿宋_GB2312"/>
          <w:color w:val="auto"/>
          <w:sz w:val="28"/>
          <w:szCs w:val="28"/>
          <w:lang w:val="en-US" w:eastAsia="zh-CN"/>
        </w:rPr>
        <w:t>需</w:t>
      </w:r>
      <w:r>
        <w:rPr>
          <w:rFonts w:hint="eastAsia" w:ascii="仿宋_GB2312" w:hAnsi="仿宋_GB2312" w:eastAsia="仿宋_GB2312" w:cs="仿宋_GB2312"/>
          <w:color w:val="auto"/>
          <w:sz w:val="28"/>
          <w:szCs w:val="28"/>
        </w:rPr>
        <w:t>加盖公章）</w:t>
      </w:r>
    </w:p>
    <w:p>
      <w:pPr>
        <w:widowControl/>
        <w:spacing w:line="50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（1）院内采购报名表；</w:t>
      </w:r>
    </w:p>
    <w:p>
      <w:pPr>
        <w:widowControl/>
        <w:spacing w:line="50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（2）法人参加的须提供法人证及个人身份证复印件；非法人参加的须提供法人代表身份证复印件、授权书及个人身份证复印件；</w:t>
      </w:r>
    </w:p>
    <w:p>
      <w:pPr>
        <w:widowControl/>
        <w:spacing w:line="50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（3）供应商须提供“三证合一”（工商营业执照、组织机构代码证和税务登记证）与生产（经营）许可证的复印件（经营许可范围一定要与所投产品注册分类目录相符，否则无效）；</w:t>
      </w:r>
    </w:p>
    <w:p>
      <w:pPr>
        <w:widowControl/>
        <w:spacing w:line="500" w:lineRule="exact"/>
        <w:ind w:firstLine="560" w:firstLineChars="200"/>
        <w:jc w:val="lef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）深圳市住房和建设局房屋安全鉴定机构名录名单截图</w:t>
      </w:r>
      <w:r>
        <w:rPr>
          <w:rFonts w:hint="eastAsia" w:ascii="仿宋_GB2312" w:hAnsi="仿宋_GB2312" w:eastAsia="仿宋_GB2312" w:cs="仿宋_GB2312"/>
          <w:color w:val="auto"/>
          <w:sz w:val="28"/>
          <w:szCs w:val="28"/>
          <w:lang w:eastAsia="zh-CN"/>
        </w:rPr>
        <w:t>；</w:t>
      </w:r>
    </w:p>
    <w:p>
      <w:pPr>
        <w:widowControl/>
        <w:spacing w:line="50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）通过以下3个官网的信用信息查询记录网络截图件并加盖投标人公章：①信用中国②中国政府采购网③深圳市政府采购监管网。相关信息以开标当日的查询结果为准。</w:t>
      </w:r>
    </w:p>
    <w:p>
      <w:pPr>
        <w:widowControl/>
        <w:spacing w:line="50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）投标及履约承诺函。</w:t>
      </w:r>
    </w:p>
    <w:p>
      <w:pPr>
        <w:widowControl/>
        <w:spacing w:line="50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本项目实行资格预审，投标人报名时将进行资格审查，未经审查或审查未通过的不能参与投标。</w:t>
      </w:r>
    </w:p>
    <w:p>
      <w:pPr>
        <w:pStyle w:val="32"/>
        <w:numPr>
          <w:ilvl w:val="0"/>
          <w:numId w:val="0"/>
        </w:numPr>
        <w:spacing w:line="360" w:lineRule="exact"/>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六、报名及递交投标文件截止</w:t>
      </w:r>
      <w:r>
        <w:rPr>
          <w:rFonts w:hint="eastAsia" w:ascii="仿宋_GB2312" w:hAnsi="仿宋_GB2312" w:eastAsia="仿宋_GB2312" w:cs="仿宋_GB2312"/>
          <w:sz w:val="28"/>
          <w:szCs w:val="28"/>
        </w:rPr>
        <w:t>时间：2023年</w:t>
      </w: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日下午5点</w:t>
      </w:r>
      <w:r>
        <w:rPr>
          <w:rFonts w:hint="eastAsia" w:ascii="仿宋_GB2312" w:hAnsi="仿宋_GB2312" w:eastAsia="仿宋_GB2312" w:cs="仿宋_GB2312"/>
          <w:sz w:val="28"/>
          <w:szCs w:val="28"/>
          <w:lang w:eastAsia="zh-CN"/>
        </w:rPr>
        <w:t>。</w:t>
      </w:r>
    </w:p>
    <w:p>
      <w:pPr>
        <w:pStyle w:val="32"/>
        <w:spacing w:line="360" w:lineRule="exact"/>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七、递交投标文件地点：深圳市龙岗区南湾街道吉厦社区简竹路12号</w:t>
      </w:r>
      <w:r>
        <w:rPr>
          <w:rFonts w:hint="eastAsia" w:ascii="仿宋_GB2312" w:hAnsi="仿宋_GB2312" w:eastAsia="仿宋_GB2312" w:cs="仿宋_GB2312"/>
          <w:sz w:val="28"/>
          <w:szCs w:val="28"/>
        </w:rPr>
        <w:t>简竹护理院行政楼三楼招采办</w:t>
      </w:r>
      <w:r>
        <w:rPr>
          <w:rFonts w:hint="eastAsia" w:ascii="仿宋_GB2312" w:hAnsi="仿宋_GB2312" w:eastAsia="仿宋_GB2312" w:cs="仿宋_GB2312"/>
          <w:sz w:val="28"/>
          <w:szCs w:val="28"/>
          <w:lang w:eastAsia="zh-CN"/>
        </w:rPr>
        <w:t>。</w:t>
      </w:r>
    </w:p>
    <w:p>
      <w:pPr>
        <w:pStyle w:val="32"/>
        <w:spacing w:line="360" w:lineRule="exact"/>
        <w:ind w:firstLine="560" w:firstLineChars="20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八</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开标</w:t>
      </w:r>
      <w:r>
        <w:rPr>
          <w:rFonts w:hint="eastAsia" w:ascii="仿宋_GB2312" w:hAnsi="仿宋_GB2312" w:eastAsia="仿宋_GB2312" w:cs="仿宋_GB2312"/>
          <w:sz w:val="28"/>
          <w:szCs w:val="28"/>
          <w:lang w:val="en-US" w:eastAsia="zh-CN"/>
        </w:rPr>
        <w:t>时间及</w:t>
      </w:r>
      <w:r>
        <w:rPr>
          <w:rFonts w:hint="eastAsia" w:ascii="仿宋_GB2312" w:hAnsi="仿宋_GB2312" w:eastAsia="仿宋_GB2312" w:cs="仿宋_GB2312"/>
          <w:sz w:val="28"/>
          <w:szCs w:val="28"/>
        </w:rPr>
        <w:t>地</w:t>
      </w:r>
      <w:r>
        <w:rPr>
          <w:rFonts w:hint="eastAsia" w:ascii="仿宋_GB2312" w:hAnsi="仿宋_GB2312" w:eastAsia="仿宋_GB2312" w:cs="仿宋_GB2312"/>
          <w:sz w:val="28"/>
          <w:szCs w:val="28"/>
          <w:lang w:val="en-US" w:eastAsia="zh-CN"/>
        </w:rPr>
        <w:t>点：另行通知，开标由医院组织专家根据报名材料评审，供应商不需要参加。</w:t>
      </w:r>
    </w:p>
    <w:p>
      <w:pPr>
        <w:pStyle w:val="32"/>
        <w:spacing w:line="360" w:lineRule="exact"/>
        <w:ind w:firstLine="560" w:firstLineChars="20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九</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联系人及联系电话：陈女士，0755-28740471</w:t>
      </w:r>
      <w:r>
        <w:rPr>
          <w:rFonts w:hint="eastAsia" w:ascii="仿宋_GB2312" w:hAnsi="仿宋_GB2312" w:eastAsia="仿宋_GB2312" w:cs="仿宋_GB2312"/>
          <w:sz w:val="28"/>
          <w:szCs w:val="28"/>
          <w:lang w:eastAsia="zh-CN"/>
        </w:rPr>
        <w:t>。</w:t>
      </w:r>
    </w:p>
    <w:p>
      <w:pPr>
        <w:pStyle w:val="32"/>
        <w:spacing w:line="3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sz w:val="28"/>
          <w:szCs w:val="28"/>
          <w:lang w:val="en-US" w:eastAsia="zh-CN"/>
        </w:rPr>
        <w:t>十、公示期限：自公告之日起五个工作日。</w:t>
      </w:r>
    </w:p>
    <w:p>
      <w:pPr>
        <w:pStyle w:val="32"/>
        <w:spacing w:line="360" w:lineRule="exact"/>
        <w:ind w:firstLine="56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附件：</w:t>
      </w:r>
    </w:p>
    <w:p>
      <w:pPr>
        <w:pStyle w:val="32"/>
        <w:spacing w:line="360" w:lineRule="exact"/>
        <w:ind w:firstLine="56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1.深圳市龙岗区第七人民医院院内公开采购报名表</w:t>
      </w:r>
    </w:p>
    <w:p>
      <w:pPr>
        <w:pStyle w:val="32"/>
        <w:spacing w:line="360" w:lineRule="exact"/>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sz w:val="28"/>
          <w:szCs w:val="28"/>
        </w:rPr>
        <w:t>深圳市龙岗区第七人民医院房屋结构安全评估服务项目招标文件</w:t>
      </w:r>
    </w:p>
    <w:p>
      <w:pPr>
        <w:pStyle w:val="32"/>
        <w:spacing w:line="480" w:lineRule="exact"/>
        <w:ind w:firstLine="560"/>
        <w:jc w:val="right"/>
        <w:rPr>
          <w:rFonts w:hint="eastAsia" w:ascii="仿宋_GB2312" w:eastAsia="仿宋_GB2312"/>
          <w:color w:val="auto"/>
          <w:sz w:val="28"/>
          <w:szCs w:val="28"/>
        </w:rPr>
      </w:pPr>
    </w:p>
    <w:p>
      <w:pPr>
        <w:pStyle w:val="32"/>
        <w:spacing w:line="480" w:lineRule="exact"/>
        <w:ind w:firstLine="560"/>
        <w:jc w:val="right"/>
        <w:rPr>
          <w:rFonts w:ascii="仿宋_GB2312" w:eastAsia="仿宋_GB2312"/>
          <w:color w:val="auto"/>
          <w:sz w:val="28"/>
          <w:szCs w:val="28"/>
        </w:rPr>
      </w:pPr>
      <w:r>
        <w:rPr>
          <w:rFonts w:hint="eastAsia" w:ascii="仿宋_GB2312" w:eastAsia="仿宋_GB2312"/>
          <w:color w:val="auto"/>
          <w:sz w:val="28"/>
          <w:szCs w:val="28"/>
        </w:rPr>
        <w:t>深圳市龙岗区第七人民医院</w:t>
      </w:r>
    </w:p>
    <w:p>
      <w:pPr>
        <w:pStyle w:val="32"/>
        <w:spacing w:line="480" w:lineRule="exact"/>
        <w:ind w:firstLine="560"/>
        <w:jc w:val="center"/>
        <w:rPr>
          <w:rFonts w:hint="eastAsia" w:ascii="仿宋_GB2312" w:hAnsi="仿宋_GB2312" w:eastAsia="仿宋_GB2312" w:cs="仿宋_GB2312"/>
          <w:b/>
          <w:bCs/>
          <w:color w:val="auto"/>
          <w:sz w:val="44"/>
          <w:szCs w:val="44"/>
        </w:rPr>
      </w:pPr>
      <w:r>
        <w:rPr>
          <w:rFonts w:hint="eastAsia" w:ascii="仿宋_GB2312" w:eastAsia="仿宋_GB2312"/>
          <w:color w:val="auto"/>
          <w:sz w:val="28"/>
          <w:szCs w:val="28"/>
        </w:rPr>
        <w:t xml:space="preserve">                                    2023年</w:t>
      </w:r>
      <w:r>
        <w:rPr>
          <w:rFonts w:hint="eastAsia" w:ascii="仿宋_GB2312" w:eastAsia="仿宋_GB2312"/>
          <w:color w:val="auto"/>
          <w:sz w:val="28"/>
          <w:szCs w:val="28"/>
          <w:lang w:val="en-US" w:eastAsia="zh-CN"/>
        </w:rPr>
        <w:t>11</w:t>
      </w:r>
      <w:r>
        <w:rPr>
          <w:rFonts w:hint="eastAsia" w:ascii="仿宋_GB2312" w:eastAsia="仿宋_GB2312"/>
          <w:color w:val="auto"/>
          <w:sz w:val="28"/>
          <w:szCs w:val="28"/>
        </w:rPr>
        <w:t>月</w:t>
      </w:r>
      <w:r>
        <w:rPr>
          <w:rFonts w:hint="eastAsia" w:ascii="仿宋_GB2312" w:eastAsia="仿宋_GB2312"/>
          <w:color w:val="auto"/>
          <w:sz w:val="28"/>
          <w:szCs w:val="28"/>
          <w:lang w:val="en-US" w:eastAsia="zh-CN"/>
        </w:rPr>
        <w:t>28</w:t>
      </w:r>
      <w:r>
        <w:rPr>
          <w:rFonts w:hint="eastAsia" w:ascii="仿宋_GB2312" w:eastAsia="仿宋_GB2312"/>
          <w:color w:val="auto"/>
          <w:sz w:val="28"/>
          <w:szCs w:val="28"/>
        </w:rPr>
        <w:t>日</w:t>
      </w:r>
    </w:p>
    <w:p>
      <w:pPr>
        <w:pStyle w:val="2"/>
        <w:ind w:left="0" w:leftChars="0" w:firstLine="0" w:firstLineChars="0"/>
        <w:rPr>
          <w:rFonts w:hint="eastAsia"/>
        </w:rPr>
      </w:pPr>
    </w:p>
    <w:p>
      <w:pPr>
        <w:spacing w:line="360" w:lineRule="auto"/>
        <w:jc w:val="center"/>
        <w:rPr>
          <w:rFonts w:ascii="宋体" w:hAnsi="宋体" w:cs="宋体"/>
          <w:b/>
          <w:bCs/>
          <w:color w:val="auto"/>
          <w:sz w:val="44"/>
          <w:szCs w:val="44"/>
        </w:rPr>
      </w:pPr>
      <w:r>
        <w:rPr>
          <w:rFonts w:hint="eastAsia" w:ascii="仿宋_GB2312" w:hAnsi="仿宋_GB2312" w:eastAsia="仿宋_GB2312" w:cs="仿宋_GB2312"/>
          <w:b/>
          <w:bCs/>
          <w:color w:val="auto"/>
          <w:sz w:val="44"/>
          <w:szCs w:val="44"/>
        </w:rPr>
        <w:t>第二章</w:t>
      </w:r>
      <w:r>
        <w:rPr>
          <w:rFonts w:hint="eastAsia" w:ascii="仿宋_GB2312" w:hAnsi="仿宋_GB2312" w:eastAsia="仿宋_GB2312" w:cs="仿宋_GB2312"/>
          <w:b/>
          <w:bCs/>
          <w:color w:val="auto"/>
          <w:sz w:val="44"/>
          <w:szCs w:val="44"/>
          <w:lang w:val="en-US" w:eastAsia="zh-CN"/>
        </w:rPr>
        <w:t xml:space="preserve"> </w:t>
      </w:r>
      <w:r>
        <w:rPr>
          <w:rFonts w:hint="eastAsia" w:ascii="仿宋_GB2312" w:hAnsi="仿宋_GB2312" w:eastAsia="仿宋_GB2312" w:cs="仿宋_GB2312"/>
          <w:b/>
          <w:bCs/>
          <w:color w:val="auto"/>
          <w:sz w:val="44"/>
          <w:szCs w:val="44"/>
        </w:rPr>
        <w:t>院内公开采购项目需求</w:t>
      </w:r>
    </w:p>
    <w:p>
      <w:pPr>
        <w:widowControl/>
        <w:spacing w:line="500" w:lineRule="exact"/>
        <w:ind w:firstLine="560" w:firstLineChars="200"/>
        <w:jc w:val="left"/>
        <w:rPr>
          <w:rFonts w:ascii="仿宋_GB2312" w:hAnsi="仿宋_GB2312" w:eastAsia="仿宋_GB2312" w:cs="仿宋_GB2312"/>
          <w:color w:val="auto"/>
          <w:sz w:val="28"/>
          <w:szCs w:val="28"/>
        </w:rPr>
      </w:pPr>
    </w:p>
    <w:p>
      <w:pPr>
        <w:widowControl/>
        <w:spacing w:line="520" w:lineRule="atLeast"/>
        <w:ind w:firstLine="480"/>
        <w:jc w:val="left"/>
        <w:rPr>
          <w:rFonts w:ascii="仿宋" w:hAnsi="仿宋" w:eastAsia="仿宋" w:cs="仿宋_GB2312"/>
          <w:color w:val="auto"/>
          <w:sz w:val="28"/>
          <w:szCs w:val="28"/>
        </w:rPr>
      </w:pPr>
      <w:r>
        <w:rPr>
          <w:rFonts w:hint="eastAsia" w:ascii="仿宋" w:hAnsi="仿宋" w:eastAsia="仿宋" w:cs="仿宋"/>
          <w:b/>
          <w:bCs/>
          <w:color w:val="auto"/>
          <w:sz w:val="28"/>
          <w:szCs w:val="36"/>
        </w:rPr>
        <w:t>一、项目概况：</w:t>
      </w:r>
      <w:r>
        <w:rPr>
          <w:rFonts w:hint="eastAsia" w:ascii="仿宋_GB2312" w:hAnsi="仿宋_GB2312" w:eastAsia="仿宋_GB2312" w:cs="仿宋_GB2312"/>
          <w:color w:val="auto"/>
          <w:kern w:val="2"/>
          <w:sz w:val="28"/>
          <w:szCs w:val="28"/>
          <w:lang w:val="en-US" w:eastAsia="zh-CN" w:bidi="ar-SA"/>
        </w:rPr>
        <w:t>根据相关文件要求，要对本单位低洼易涝点、地质灾害、地面坍塌、危险边坡等防汛</w:t>
      </w:r>
      <w:r>
        <w:rPr>
          <w:rFonts w:hint="default" w:ascii="仿宋_GB2312" w:hAnsi="仿宋_GB2312" w:eastAsia="仿宋_GB2312" w:cs="仿宋_GB2312"/>
          <w:color w:val="auto"/>
          <w:kern w:val="2"/>
          <w:sz w:val="28"/>
          <w:szCs w:val="28"/>
          <w:lang w:val="en-US" w:eastAsia="zh-CN" w:bidi="ar-SA"/>
        </w:rPr>
        <w:t>防涝</w:t>
      </w:r>
      <w:r>
        <w:rPr>
          <w:rFonts w:hint="eastAsia" w:ascii="仿宋_GB2312" w:hAnsi="仿宋_GB2312" w:eastAsia="仿宋_GB2312" w:cs="仿宋_GB2312"/>
          <w:color w:val="auto"/>
          <w:kern w:val="2"/>
          <w:sz w:val="28"/>
          <w:szCs w:val="28"/>
          <w:lang w:val="en-US" w:eastAsia="zh-CN" w:bidi="ar-SA"/>
        </w:rPr>
        <w:t>重点场所和部位开展隐患排查整治。按照“预案到位、措施到位、人员到位、责任到位，建立完善安全隐患清单</w:t>
      </w:r>
      <w:r>
        <w:rPr>
          <w:rFonts w:hint="default" w:ascii="仿宋_GB2312" w:hAnsi="仿宋_GB2312" w:eastAsia="仿宋_GB2312" w:cs="仿宋_GB2312"/>
          <w:color w:val="auto"/>
          <w:kern w:val="2"/>
          <w:sz w:val="28"/>
          <w:szCs w:val="28"/>
          <w:lang w:val="en-US" w:eastAsia="zh-CN" w:bidi="ar-SA"/>
        </w:rPr>
        <w:t>，</w:t>
      </w:r>
      <w:r>
        <w:rPr>
          <w:rFonts w:hint="eastAsia" w:ascii="仿宋_GB2312" w:hAnsi="仿宋_GB2312" w:eastAsia="仿宋_GB2312" w:cs="仿宋_GB2312"/>
          <w:color w:val="auto"/>
          <w:kern w:val="2"/>
          <w:sz w:val="28"/>
          <w:szCs w:val="28"/>
          <w:lang w:val="en-US" w:eastAsia="zh-CN" w:bidi="ar-SA"/>
        </w:rPr>
        <w:t>做到“一患一档”</w:t>
      </w:r>
      <w:r>
        <w:rPr>
          <w:rFonts w:hint="default" w:ascii="仿宋_GB2312" w:hAnsi="仿宋_GB2312" w:eastAsia="仿宋_GB2312" w:cs="仿宋_GB2312"/>
          <w:color w:val="auto"/>
          <w:kern w:val="2"/>
          <w:sz w:val="28"/>
          <w:szCs w:val="28"/>
          <w:lang w:val="en-US" w:eastAsia="zh-CN" w:bidi="ar-SA"/>
        </w:rPr>
        <w:t>，</w:t>
      </w:r>
      <w:r>
        <w:rPr>
          <w:rFonts w:hint="eastAsia" w:ascii="仿宋_GB2312" w:hAnsi="仿宋_GB2312" w:eastAsia="仿宋_GB2312" w:cs="仿宋_GB2312"/>
          <w:color w:val="auto"/>
          <w:kern w:val="2"/>
          <w:sz w:val="28"/>
          <w:szCs w:val="28"/>
          <w:lang w:val="en-US" w:eastAsia="zh-CN" w:bidi="ar-SA"/>
        </w:rPr>
        <w:t>故需对我院所有业务用房进行房屋结构安全评估。</w:t>
      </w:r>
    </w:p>
    <w:p>
      <w:pPr>
        <w:pStyle w:val="4"/>
        <w:spacing w:line="440" w:lineRule="exact"/>
        <w:ind w:firstLine="562" w:firstLineChars="200"/>
        <w:rPr>
          <w:rFonts w:hint="default" w:ascii="仿宋_GB2312" w:hAnsi="仿宋_GB2312" w:eastAsia="仿宋_GB2312" w:cs="仿宋_GB2312"/>
          <w:color w:val="auto"/>
          <w:kern w:val="2"/>
          <w:sz w:val="28"/>
          <w:szCs w:val="28"/>
        </w:rPr>
      </w:pPr>
      <w:r>
        <w:rPr>
          <w:rFonts w:ascii="仿宋_GB2312" w:hAnsi="仿宋_GB2312" w:eastAsia="仿宋_GB2312" w:cs="仿宋_GB2312"/>
          <w:color w:val="auto"/>
          <w:sz w:val="28"/>
          <w:szCs w:val="28"/>
        </w:rPr>
        <w:t>二、预算价格：</w:t>
      </w:r>
      <w:r>
        <w:rPr>
          <w:rFonts w:ascii="仿宋" w:hAnsi="仿宋" w:eastAsia="仿宋" w:cs="仿宋"/>
          <w:color w:val="auto"/>
          <w:sz w:val="28"/>
          <w:szCs w:val="28"/>
        </w:rPr>
        <w:t>预算金额为</w:t>
      </w:r>
      <w:r>
        <w:rPr>
          <w:rFonts w:hint="eastAsia" w:ascii="仿宋" w:hAnsi="仿宋" w:eastAsia="仿宋" w:cs="仿宋"/>
          <w:color w:val="auto"/>
          <w:sz w:val="28"/>
          <w:szCs w:val="28"/>
          <w:lang w:val="en-US" w:eastAsia="zh-CN"/>
        </w:rPr>
        <w:t>123200</w:t>
      </w:r>
      <w:r>
        <w:rPr>
          <w:rFonts w:ascii="仿宋" w:hAnsi="仿宋" w:eastAsia="仿宋" w:cs="仿宋"/>
          <w:color w:val="auto"/>
          <w:sz w:val="28"/>
          <w:szCs w:val="28"/>
        </w:rPr>
        <w:t>万元，此预算金额为合同期内最高支付上限</w:t>
      </w:r>
      <w:r>
        <w:rPr>
          <w:rFonts w:ascii="仿宋" w:hAnsi="仿宋" w:eastAsia="仿宋" w:cs="仿宋"/>
          <w:color w:val="auto"/>
          <w:sz w:val="28"/>
        </w:rPr>
        <w:t>。</w:t>
      </w:r>
      <w:r>
        <w:rPr>
          <w:rFonts w:ascii="仿宋" w:hAnsi="仿宋" w:eastAsia="仿宋" w:cs="仿宋"/>
          <w:color w:val="auto"/>
          <w:sz w:val="28"/>
          <w:szCs w:val="28"/>
        </w:rPr>
        <w:t>（报价高于标的，本次投标视为无效投标）</w:t>
      </w:r>
    </w:p>
    <w:p>
      <w:pPr>
        <w:widowControl/>
        <w:spacing w:line="500" w:lineRule="exact"/>
        <w:ind w:firstLine="562" w:firstLineChars="200"/>
        <w:jc w:val="left"/>
        <w:rPr>
          <w:rFonts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三、投标人资格要求</w:t>
      </w:r>
    </w:p>
    <w:p>
      <w:pPr>
        <w:widowControl/>
        <w:spacing w:line="50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（一）基本资格条件</w:t>
      </w:r>
    </w:p>
    <w:p>
      <w:pPr>
        <w:pStyle w:val="32"/>
        <w:spacing w:line="420" w:lineRule="exact"/>
        <w:ind w:firstLine="56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具有独立法人资格或具有独立承担民事责任的能力的其他组织（提供营业执照或事业单位法人证等法人证明扫描件，原件备查）；</w:t>
      </w:r>
    </w:p>
    <w:p>
      <w:pPr>
        <w:pStyle w:val="32"/>
        <w:spacing w:line="420" w:lineRule="exact"/>
        <w:ind w:firstLine="56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参与本项目投标前三年内，在经营活动中没有重大违法记录；</w:t>
      </w:r>
    </w:p>
    <w:p>
      <w:pPr>
        <w:pStyle w:val="32"/>
        <w:spacing w:line="420" w:lineRule="exact"/>
        <w:ind w:firstLine="56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参与本项目政府采购活动时不存在被有关部门禁止参与政府采购活动且在有效期内的情况；</w:t>
      </w:r>
    </w:p>
    <w:p>
      <w:pPr>
        <w:pStyle w:val="32"/>
        <w:spacing w:line="420" w:lineRule="exact"/>
        <w:ind w:firstLine="56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具备《中华人民共和国政府采购法》第二十二条的条件；</w:t>
      </w:r>
    </w:p>
    <w:p>
      <w:pPr>
        <w:pStyle w:val="32"/>
        <w:spacing w:line="420" w:lineRule="exact"/>
        <w:ind w:firstLine="56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未被列入失信被执行人、重大税收违法案件当事人名单、政府采购严重违法失信行为记录名单；</w:t>
      </w:r>
    </w:p>
    <w:p>
      <w:pPr>
        <w:pStyle w:val="32"/>
        <w:spacing w:line="420" w:lineRule="exact"/>
        <w:ind w:firstLine="56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与其他投标供应商不存在单位负责人为同一人或者存在直接控股、管理关系；</w:t>
      </w:r>
    </w:p>
    <w:p>
      <w:pPr>
        <w:pStyle w:val="32"/>
        <w:spacing w:line="420" w:lineRule="exact"/>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本项目不接受联合体投标，不允许分包、转包。</w:t>
      </w:r>
    </w:p>
    <w:p>
      <w:pPr>
        <w:pStyle w:val="32"/>
        <w:spacing w:line="420" w:lineRule="exact"/>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以上（2）至（</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）条须供应商在《投标及履约承诺函》中作出声明。</w:t>
      </w:r>
    </w:p>
    <w:p>
      <w:pPr>
        <w:widowControl/>
        <w:spacing w:line="50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所有资质文件均需在有效期内并加盖投标方公章。</w:t>
      </w:r>
    </w:p>
    <w:p>
      <w:pPr>
        <w:pStyle w:val="2"/>
        <w:numPr>
          <w:ilvl w:val="0"/>
          <w:numId w:val="3"/>
        </w:numP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2"/>
          <w:sz w:val="28"/>
          <w:szCs w:val="28"/>
          <w:lang w:val="en-US" w:eastAsia="zh-CN" w:bidi="ar-SA"/>
        </w:rPr>
        <w:t>特质要求</w:t>
      </w:r>
    </w:p>
    <w:p>
      <w:pPr>
        <w:pStyle w:val="2"/>
        <w:numPr>
          <w:ilvl w:val="0"/>
          <w:numId w:val="0"/>
        </w:numPr>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投标</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需为深圳市房屋安全鉴定机构名录机构（提供深圳市住房和建设局房屋安全鉴定机构名录名单截图）</w:t>
      </w:r>
      <w:r>
        <w:rPr>
          <w:rFonts w:hint="eastAsia" w:ascii="仿宋_GB2312" w:hAnsi="仿宋_GB2312" w:eastAsia="仿宋_GB2312" w:cs="仿宋_GB2312"/>
          <w:color w:val="auto"/>
          <w:sz w:val="28"/>
          <w:szCs w:val="28"/>
          <w:lang w:eastAsia="zh-CN"/>
        </w:rPr>
        <w:t>。</w:t>
      </w:r>
    </w:p>
    <w:p>
      <w:pPr>
        <w:numPr>
          <w:ilvl w:val="0"/>
          <w:numId w:val="4"/>
        </w:numPr>
        <w:spacing w:line="440" w:lineRule="exact"/>
        <w:ind w:firstLine="562" w:firstLineChars="200"/>
        <w:rPr>
          <w:rFonts w:hint="eastAsia"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b/>
          <w:bCs/>
          <w:color w:val="auto"/>
          <w:kern w:val="0"/>
          <w:sz w:val="28"/>
          <w:szCs w:val="28"/>
        </w:rPr>
        <w:t>招标</w:t>
      </w:r>
      <w:r>
        <w:rPr>
          <w:rFonts w:hint="eastAsia" w:ascii="仿宋_GB2312" w:hAnsi="仿宋_GB2312" w:eastAsia="仿宋_GB2312" w:cs="仿宋_GB2312"/>
          <w:b/>
          <w:bCs/>
          <w:color w:val="auto"/>
          <w:kern w:val="0"/>
          <w:sz w:val="28"/>
          <w:szCs w:val="28"/>
          <w:lang w:val="en-US" w:eastAsia="zh-CN"/>
        </w:rPr>
        <w:t>内容</w:t>
      </w:r>
    </w:p>
    <w:tbl>
      <w:tblPr>
        <w:tblStyle w:val="20"/>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53"/>
        <w:gridCol w:w="4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53" w:type="dxa"/>
            <w:shd w:val="clear" w:color="auto" w:fill="auto"/>
            <w:noWrap/>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房屋名称</w:t>
            </w:r>
          </w:p>
        </w:tc>
        <w:tc>
          <w:tcPr>
            <w:tcW w:w="4381" w:type="dxa"/>
            <w:shd w:val="clear" w:color="auto" w:fill="auto"/>
            <w:noWrap/>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监测频率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53" w:type="dxa"/>
            <w:shd w:val="clear" w:color="auto" w:fill="auto"/>
            <w:noWrap/>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深圳市龙岗区第七人民医院沙湾社区健康服务中心</w:t>
            </w:r>
          </w:p>
        </w:tc>
        <w:tc>
          <w:tcPr>
            <w:tcW w:w="4381" w:type="dxa"/>
            <w:shd w:val="clear" w:color="auto" w:fill="auto"/>
            <w:noWrap/>
            <w:vAlign w:val="center"/>
          </w:tcPr>
          <w:p>
            <w:pPr>
              <w:widowControl/>
              <w:snapToGrid w:val="0"/>
              <w:jc w:val="center"/>
              <w:rPr>
                <w:rFonts w:ascii="仿宋" w:hAnsi="仿宋" w:eastAsia="仿宋" w:cs="宋体"/>
                <w:color w:val="auto"/>
                <w:kern w:val="0"/>
                <w:szCs w:val="24"/>
              </w:rPr>
            </w:pPr>
            <w:r>
              <w:rPr>
                <w:rFonts w:hint="eastAsia" w:ascii="仿宋" w:hAnsi="仿宋" w:eastAsia="仿宋" w:cs="宋体"/>
                <w:color w:val="auto"/>
                <w:kern w:val="0"/>
                <w:szCs w:val="24"/>
              </w:rPr>
              <w:t>1年1次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53" w:type="dxa"/>
            <w:shd w:val="clear" w:color="auto" w:fill="auto"/>
            <w:noWrap/>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深圳市龙岗区第七人民医院吉厦新村社区健康服务中心</w:t>
            </w:r>
          </w:p>
        </w:tc>
        <w:tc>
          <w:tcPr>
            <w:tcW w:w="4381" w:type="dxa"/>
            <w:shd w:val="clear" w:color="auto" w:fill="auto"/>
            <w:noWrap/>
            <w:vAlign w:val="center"/>
          </w:tcPr>
          <w:p>
            <w:pPr>
              <w:widowControl/>
              <w:snapToGrid w:val="0"/>
              <w:jc w:val="center"/>
              <w:rPr>
                <w:rFonts w:ascii="仿宋" w:hAnsi="仿宋" w:eastAsia="仿宋" w:cs="宋体"/>
                <w:color w:val="auto"/>
                <w:kern w:val="0"/>
                <w:szCs w:val="24"/>
              </w:rPr>
            </w:pPr>
            <w:r>
              <w:rPr>
                <w:rFonts w:hint="eastAsia" w:ascii="仿宋" w:hAnsi="仿宋" w:eastAsia="仿宋" w:cs="宋体"/>
                <w:color w:val="auto"/>
                <w:kern w:val="0"/>
                <w:szCs w:val="24"/>
              </w:rPr>
              <w:t>1年1次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53" w:type="dxa"/>
            <w:shd w:val="clear" w:color="auto" w:fill="auto"/>
            <w:noWrap/>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深圳市龙岗区第七人民医院沙塘布社区健康服务中心</w:t>
            </w:r>
          </w:p>
        </w:tc>
        <w:tc>
          <w:tcPr>
            <w:tcW w:w="4381" w:type="dxa"/>
            <w:shd w:val="clear" w:color="auto" w:fill="auto"/>
            <w:noWrap/>
            <w:vAlign w:val="center"/>
          </w:tcPr>
          <w:p>
            <w:pPr>
              <w:widowControl/>
              <w:snapToGrid w:val="0"/>
              <w:jc w:val="center"/>
              <w:rPr>
                <w:rFonts w:ascii="仿宋" w:hAnsi="仿宋" w:eastAsia="仿宋" w:cs="宋体"/>
                <w:color w:val="auto"/>
                <w:kern w:val="0"/>
                <w:szCs w:val="24"/>
              </w:rPr>
            </w:pPr>
            <w:r>
              <w:rPr>
                <w:rFonts w:hint="eastAsia" w:ascii="仿宋" w:hAnsi="仿宋" w:eastAsia="仿宋" w:cs="宋体"/>
                <w:color w:val="auto"/>
                <w:kern w:val="0"/>
                <w:szCs w:val="24"/>
              </w:rPr>
              <w:t>1年1次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53" w:type="dxa"/>
            <w:shd w:val="clear" w:color="auto" w:fill="auto"/>
            <w:noWrap/>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深圳市龙岗区第七人民医院丹平社区健康服务中心</w:t>
            </w:r>
          </w:p>
        </w:tc>
        <w:tc>
          <w:tcPr>
            <w:tcW w:w="4381" w:type="dxa"/>
            <w:shd w:val="clear" w:color="auto" w:fill="auto"/>
            <w:noWrap/>
            <w:vAlign w:val="center"/>
          </w:tcPr>
          <w:p>
            <w:pPr>
              <w:widowControl/>
              <w:snapToGrid w:val="0"/>
              <w:jc w:val="center"/>
              <w:rPr>
                <w:rFonts w:ascii="仿宋" w:hAnsi="仿宋" w:eastAsia="仿宋" w:cs="宋体"/>
                <w:color w:val="auto"/>
                <w:kern w:val="0"/>
                <w:szCs w:val="24"/>
              </w:rPr>
            </w:pPr>
            <w:r>
              <w:rPr>
                <w:rFonts w:hint="eastAsia" w:ascii="仿宋" w:hAnsi="仿宋" w:eastAsia="仿宋" w:cs="宋体"/>
                <w:color w:val="auto"/>
                <w:kern w:val="0"/>
                <w:szCs w:val="24"/>
              </w:rPr>
              <w:t>1年1次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53" w:type="dxa"/>
            <w:shd w:val="clear" w:color="auto" w:fill="auto"/>
            <w:noWrap/>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深圳市龙岗区第七人民医院龙丹社区健康服务中心</w:t>
            </w:r>
          </w:p>
        </w:tc>
        <w:tc>
          <w:tcPr>
            <w:tcW w:w="4381" w:type="dxa"/>
            <w:shd w:val="clear" w:color="auto" w:fill="auto"/>
            <w:noWrap/>
            <w:vAlign w:val="center"/>
          </w:tcPr>
          <w:p>
            <w:pPr>
              <w:widowControl/>
              <w:snapToGrid w:val="0"/>
              <w:jc w:val="center"/>
              <w:rPr>
                <w:rFonts w:ascii="仿宋" w:hAnsi="仿宋" w:eastAsia="仿宋" w:cs="宋体"/>
                <w:color w:val="auto"/>
                <w:kern w:val="0"/>
                <w:szCs w:val="24"/>
              </w:rPr>
            </w:pPr>
            <w:r>
              <w:rPr>
                <w:rFonts w:hint="eastAsia" w:ascii="仿宋" w:hAnsi="仿宋" w:eastAsia="仿宋" w:cs="宋体"/>
                <w:color w:val="auto"/>
                <w:kern w:val="0"/>
                <w:szCs w:val="24"/>
              </w:rPr>
              <w:t>1年1次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53" w:type="dxa"/>
            <w:shd w:val="clear" w:color="auto" w:fill="auto"/>
            <w:noWrap/>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深圳市龙岗区第七人民医院樟树布社区健康服务中心</w:t>
            </w:r>
          </w:p>
        </w:tc>
        <w:tc>
          <w:tcPr>
            <w:tcW w:w="4381" w:type="dxa"/>
            <w:shd w:val="clear" w:color="auto" w:fill="auto"/>
            <w:noWrap/>
            <w:vAlign w:val="center"/>
          </w:tcPr>
          <w:p>
            <w:pPr>
              <w:widowControl/>
              <w:snapToGrid w:val="0"/>
              <w:jc w:val="center"/>
              <w:rPr>
                <w:rFonts w:ascii="仿宋" w:hAnsi="仿宋" w:eastAsia="仿宋" w:cs="宋体"/>
                <w:color w:val="auto"/>
                <w:kern w:val="0"/>
                <w:szCs w:val="24"/>
              </w:rPr>
            </w:pPr>
            <w:r>
              <w:rPr>
                <w:rFonts w:hint="eastAsia" w:ascii="仿宋" w:hAnsi="仿宋" w:eastAsia="仿宋" w:cs="宋体"/>
                <w:color w:val="auto"/>
                <w:kern w:val="0"/>
                <w:szCs w:val="24"/>
              </w:rPr>
              <w:t>1年1次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53" w:type="dxa"/>
            <w:shd w:val="clear" w:color="auto" w:fill="auto"/>
            <w:noWrap/>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深圳市龙岗区第七人民医院新洲社区健康服务中心</w:t>
            </w:r>
          </w:p>
        </w:tc>
        <w:tc>
          <w:tcPr>
            <w:tcW w:w="4381" w:type="dxa"/>
            <w:shd w:val="clear" w:color="auto" w:fill="auto"/>
            <w:noWrap/>
            <w:vAlign w:val="center"/>
          </w:tcPr>
          <w:p>
            <w:pPr>
              <w:widowControl/>
              <w:snapToGrid w:val="0"/>
              <w:jc w:val="center"/>
              <w:rPr>
                <w:rFonts w:ascii="仿宋" w:hAnsi="仿宋" w:eastAsia="仿宋" w:cs="宋体"/>
                <w:color w:val="auto"/>
                <w:kern w:val="0"/>
                <w:szCs w:val="24"/>
              </w:rPr>
            </w:pPr>
            <w:r>
              <w:rPr>
                <w:rFonts w:hint="eastAsia" w:ascii="仿宋" w:hAnsi="仿宋" w:eastAsia="仿宋" w:cs="宋体"/>
                <w:color w:val="auto"/>
                <w:kern w:val="0"/>
                <w:szCs w:val="24"/>
              </w:rPr>
              <w:t>1天一次监测一周，后续1月1次，总计1</w:t>
            </w:r>
            <w:r>
              <w:rPr>
                <w:rFonts w:ascii="仿宋" w:hAnsi="仿宋" w:eastAsia="仿宋" w:cs="宋体"/>
                <w:color w:val="auto"/>
                <w:kern w:val="0"/>
                <w:szCs w:val="24"/>
              </w:rPr>
              <w:t>9</w:t>
            </w:r>
            <w:r>
              <w:rPr>
                <w:rFonts w:hint="eastAsia" w:ascii="仿宋" w:hAnsi="仿宋" w:eastAsia="仿宋" w:cs="宋体"/>
                <w:color w:val="auto"/>
                <w:kern w:val="0"/>
                <w:szCs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53" w:type="dxa"/>
            <w:shd w:val="clear" w:color="auto" w:fill="auto"/>
            <w:noWrap/>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深圳市龙岗区第七人民医院简竹社区健康服务中心</w:t>
            </w:r>
          </w:p>
        </w:tc>
        <w:tc>
          <w:tcPr>
            <w:tcW w:w="4381" w:type="dxa"/>
            <w:shd w:val="clear" w:color="auto" w:fill="auto"/>
            <w:noWrap/>
            <w:vAlign w:val="center"/>
          </w:tcPr>
          <w:p>
            <w:pPr>
              <w:widowControl/>
              <w:snapToGrid w:val="0"/>
              <w:jc w:val="center"/>
              <w:rPr>
                <w:rFonts w:ascii="仿宋" w:hAnsi="仿宋" w:eastAsia="仿宋" w:cs="宋体"/>
                <w:color w:val="auto"/>
                <w:kern w:val="0"/>
                <w:szCs w:val="24"/>
              </w:rPr>
            </w:pPr>
            <w:r>
              <w:rPr>
                <w:rFonts w:hint="eastAsia" w:ascii="仿宋" w:hAnsi="仿宋" w:eastAsia="仿宋" w:cs="宋体"/>
                <w:color w:val="auto"/>
                <w:kern w:val="0"/>
                <w:szCs w:val="24"/>
              </w:rPr>
              <w:t>1年1次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53" w:type="dxa"/>
            <w:shd w:val="clear" w:color="auto" w:fill="auto"/>
            <w:noWrap/>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深圳市龙岗区第七人民医院简竹社区健康服务中心办公楼</w:t>
            </w:r>
          </w:p>
        </w:tc>
        <w:tc>
          <w:tcPr>
            <w:tcW w:w="4381" w:type="dxa"/>
            <w:shd w:val="clear" w:color="auto" w:fill="auto"/>
            <w:noWrap/>
            <w:vAlign w:val="center"/>
          </w:tcPr>
          <w:p>
            <w:pPr>
              <w:widowControl/>
              <w:snapToGrid w:val="0"/>
              <w:jc w:val="center"/>
              <w:rPr>
                <w:rFonts w:ascii="仿宋" w:hAnsi="仿宋" w:eastAsia="仿宋" w:cs="宋体"/>
                <w:color w:val="auto"/>
                <w:kern w:val="0"/>
                <w:szCs w:val="24"/>
              </w:rPr>
            </w:pPr>
            <w:r>
              <w:rPr>
                <w:rFonts w:hint="eastAsia" w:ascii="仿宋" w:hAnsi="仿宋" w:eastAsia="仿宋" w:cs="宋体"/>
                <w:color w:val="auto"/>
                <w:kern w:val="0"/>
                <w:szCs w:val="24"/>
              </w:rPr>
              <w:t>1年1次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53" w:type="dxa"/>
            <w:shd w:val="clear" w:color="auto" w:fill="auto"/>
            <w:noWrap/>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深圳市龙岗区第七人民医院公园里社区健康服务中心地址</w:t>
            </w:r>
          </w:p>
        </w:tc>
        <w:tc>
          <w:tcPr>
            <w:tcW w:w="4381" w:type="dxa"/>
            <w:shd w:val="clear" w:color="auto" w:fill="auto"/>
            <w:noWrap/>
            <w:vAlign w:val="center"/>
          </w:tcPr>
          <w:p>
            <w:pPr>
              <w:widowControl/>
              <w:snapToGrid w:val="0"/>
              <w:jc w:val="center"/>
              <w:rPr>
                <w:rFonts w:ascii="仿宋" w:hAnsi="仿宋" w:eastAsia="仿宋" w:cs="宋体"/>
                <w:color w:val="auto"/>
                <w:kern w:val="0"/>
                <w:szCs w:val="24"/>
              </w:rPr>
            </w:pPr>
            <w:r>
              <w:rPr>
                <w:rFonts w:hint="eastAsia" w:ascii="仿宋" w:hAnsi="仿宋" w:eastAsia="仿宋" w:cs="宋体"/>
                <w:color w:val="auto"/>
                <w:kern w:val="0"/>
                <w:szCs w:val="24"/>
              </w:rPr>
              <w:t>1年1次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53" w:type="dxa"/>
            <w:shd w:val="clear" w:color="auto" w:fill="auto"/>
            <w:noWrap/>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合计</w:t>
            </w:r>
          </w:p>
        </w:tc>
        <w:tc>
          <w:tcPr>
            <w:tcW w:w="4381" w:type="dxa"/>
            <w:shd w:val="clear" w:color="auto" w:fill="auto"/>
            <w:noWrap/>
            <w:vAlign w:val="center"/>
          </w:tcPr>
          <w:p>
            <w:pPr>
              <w:widowControl/>
              <w:snapToGrid w:val="0"/>
              <w:jc w:val="center"/>
              <w:rPr>
                <w:rFonts w:ascii="仿宋" w:hAnsi="仿宋" w:eastAsia="仿宋" w:cs="宋体"/>
                <w:color w:val="auto"/>
                <w:kern w:val="0"/>
                <w:szCs w:val="24"/>
              </w:rPr>
            </w:pPr>
            <w:r>
              <w:rPr>
                <w:rFonts w:hint="eastAsia" w:ascii="仿宋" w:hAnsi="仿宋" w:eastAsia="仿宋" w:cs="宋体"/>
                <w:color w:val="auto"/>
                <w:kern w:val="0"/>
                <w:szCs w:val="24"/>
              </w:rPr>
              <w:t>1年2</w:t>
            </w:r>
            <w:r>
              <w:rPr>
                <w:rFonts w:ascii="仿宋" w:hAnsi="仿宋" w:eastAsia="仿宋" w:cs="宋体"/>
                <w:color w:val="auto"/>
                <w:kern w:val="0"/>
                <w:szCs w:val="24"/>
              </w:rPr>
              <w:t>8</w:t>
            </w:r>
            <w:r>
              <w:rPr>
                <w:rFonts w:hint="eastAsia" w:ascii="仿宋" w:hAnsi="仿宋" w:eastAsia="仿宋" w:cs="宋体"/>
                <w:color w:val="auto"/>
                <w:kern w:val="0"/>
                <w:szCs w:val="24"/>
              </w:rPr>
              <w:t>次</w:t>
            </w:r>
          </w:p>
        </w:tc>
      </w:tr>
    </w:tbl>
    <w:p>
      <w:pPr>
        <w:rPr>
          <w:rFonts w:hint="eastAsia"/>
          <w:color w:val="auto"/>
          <w:lang w:eastAsia="zh-CN"/>
        </w:rPr>
      </w:pPr>
    </w:p>
    <w:p>
      <w:pPr>
        <w:numPr>
          <w:ilvl w:val="0"/>
          <w:numId w:val="4"/>
        </w:numPr>
        <w:spacing w:line="440" w:lineRule="exact"/>
        <w:ind w:left="0" w:leftChars="0" w:firstLine="562" w:firstLineChars="200"/>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评标标准</w:t>
      </w:r>
    </w:p>
    <w:tbl>
      <w:tblPr>
        <w:tblStyle w:val="20"/>
        <w:tblpPr w:leftFromText="180" w:rightFromText="180" w:vertAnchor="text" w:horzAnchor="margin" w:tblpY="76"/>
        <w:tblOverlap w:val="never"/>
        <w:tblW w:w="9322"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680"/>
        <w:gridCol w:w="680"/>
        <w:gridCol w:w="1588"/>
        <w:gridCol w:w="795"/>
        <w:gridCol w:w="557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80"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b/>
                <w:bCs/>
                <w:sz w:val="24"/>
              </w:rPr>
            </w:pPr>
            <w:r>
              <w:rPr>
                <w:b/>
                <w:bCs/>
              </w:rPr>
              <w:t>序号</w:t>
            </w:r>
          </w:p>
        </w:tc>
        <w:tc>
          <w:tcPr>
            <w:tcW w:w="3063" w:type="dxa"/>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b/>
                <w:bCs/>
                <w:sz w:val="24"/>
              </w:rPr>
            </w:pPr>
            <w:r>
              <w:rPr>
                <w:b/>
                <w:bCs/>
              </w:rPr>
              <w:t>评分项</w:t>
            </w:r>
          </w:p>
        </w:tc>
        <w:tc>
          <w:tcPr>
            <w:tcW w:w="5579"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b/>
                <w:bCs/>
                <w:sz w:val="24"/>
              </w:rPr>
            </w:pPr>
            <w:r>
              <w:rPr>
                <w:b/>
                <w:bCs/>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80" w:type="dxa"/>
            <w:vMerge w:val="restart"/>
            <w:tcBorders>
              <w:top w:val="single" w:color="000000" w:sz="8" w:space="0"/>
              <w:left w:val="single" w:color="000000" w:sz="8" w:space="0"/>
              <w:bottom w:val="single" w:color="000000" w:sz="8" w:space="0"/>
              <w:right w:val="single" w:color="000000" w:sz="8" w:space="0"/>
            </w:tcBorders>
          </w:tcPr>
          <w:p>
            <w:pPr>
              <w:jc w:val="center"/>
              <w:rPr>
                <w:rFonts w:ascii="宋体" w:hAnsi="宋体" w:cs="宋体"/>
                <w:b/>
                <w:bCs/>
                <w:sz w:val="24"/>
              </w:rPr>
            </w:pPr>
            <w:r>
              <w:rPr>
                <w:b/>
                <w:bCs/>
              </w:rPr>
              <w:t>1</w:t>
            </w:r>
          </w:p>
        </w:tc>
        <w:tc>
          <w:tcPr>
            <w:tcW w:w="3063" w:type="dxa"/>
            <w:gridSpan w:val="3"/>
            <w:tcBorders>
              <w:top w:val="single" w:color="000000" w:sz="8" w:space="0"/>
              <w:left w:val="single" w:color="000000" w:sz="8" w:space="0"/>
              <w:bottom w:val="single" w:color="000000" w:sz="8" w:space="0"/>
              <w:right w:val="single" w:color="000000" w:sz="8" w:space="0"/>
            </w:tcBorders>
          </w:tcPr>
          <w:p>
            <w:pPr>
              <w:jc w:val="center"/>
              <w:rPr>
                <w:rFonts w:ascii="宋体" w:hAnsi="宋体" w:cs="宋体"/>
                <w:b/>
                <w:bCs/>
                <w:sz w:val="24"/>
              </w:rPr>
            </w:pPr>
            <w:r>
              <w:rPr>
                <w:b/>
                <w:bCs/>
              </w:rPr>
              <w:t>价格</w:t>
            </w:r>
          </w:p>
        </w:tc>
        <w:tc>
          <w:tcPr>
            <w:tcW w:w="5579" w:type="dxa"/>
            <w:tcBorders>
              <w:top w:val="single" w:color="000000" w:sz="8" w:space="0"/>
              <w:left w:val="single" w:color="000000" w:sz="8" w:space="0"/>
              <w:bottom w:val="single" w:color="000000" w:sz="8" w:space="0"/>
              <w:right w:val="single" w:color="000000" w:sz="8" w:space="0"/>
            </w:tcBorders>
          </w:tcPr>
          <w:p>
            <w:pPr>
              <w:jc w:val="center"/>
              <w:rPr>
                <w:rFonts w:ascii="Times New Roman" w:hAnsi="Times New Roman" w:cs="Times New Roman"/>
                <w:b/>
                <w:bCs/>
                <w:sz w:val="24"/>
              </w:rPr>
            </w:pPr>
            <w:r>
              <w:rPr>
                <w:rFonts w:ascii="Times New Roman" w:hAnsi="Times New Roman" w:cs="Times New Roman"/>
                <w:b/>
                <w:bCs/>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pStyle w:val="17"/>
              <w:spacing w:beforeAutospacing="0" w:afterAutospacing="0" w:line="324" w:lineRule="auto"/>
              <w:ind w:firstLine="420"/>
              <w:jc w:val="both"/>
              <w:rPr>
                <w:rFonts w:ascii="Times New Roman" w:hAnsi="Times New Roman"/>
                <w:kern w:val="2"/>
                <w:sz w:val="21"/>
                <w:szCs w:val="21"/>
              </w:rPr>
            </w:pPr>
          </w:p>
        </w:tc>
        <w:tc>
          <w:tcPr>
            <w:tcW w:w="8642" w:type="dxa"/>
            <w:gridSpan w:val="4"/>
            <w:tcBorders>
              <w:top w:val="single" w:color="000000" w:sz="8" w:space="0"/>
              <w:left w:val="single" w:color="000000" w:sz="8" w:space="0"/>
              <w:bottom w:val="single" w:color="000000" w:sz="8" w:space="0"/>
              <w:right w:val="single" w:color="000000" w:sz="8" w:space="0"/>
            </w:tcBorders>
          </w:tcPr>
          <w:p>
            <w:pPr>
              <w:pStyle w:val="17"/>
              <w:spacing w:beforeAutospacing="0" w:afterAutospacing="0" w:line="324" w:lineRule="auto"/>
              <w:ind w:firstLine="420"/>
              <w:jc w:val="both"/>
              <w:rPr>
                <w:rFonts w:ascii="Times New Roman" w:hAnsi="Times New Roman"/>
                <w:kern w:val="2"/>
                <w:sz w:val="21"/>
                <w:szCs w:val="21"/>
              </w:rPr>
            </w:pPr>
            <w:r>
              <w:rPr>
                <w:rFonts w:hint="eastAsia" w:ascii="Times New Roman" w:hAnsi="Times New Roman"/>
                <w:kern w:val="2"/>
                <w:sz w:val="21"/>
                <w:szCs w:val="21"/>
              </w:rPr>
              <w:t>一、价格分计算方法</w:t>
            </w:r>
          </w:p>
          <w:p>
            <w:pPr>
              <w:pStyle w:val="17"/>
              <w:spacing w:beforeAutospacing="0" w:afterAutospacing="0" w:line="324" w:lineRule="auto"/>
              <w:ind w:firstLine="420"/>
              <w:jc w:val="both"/>
              <w:rPr>
                <w:rFonts w:ascii="Times New Roman" w:hAnsi="Times New Roman"/>
                <w:kern w:val="2"/>
                <w:sz w:val="21"/>
                <w:szCs w:val="21"/>
              </w:rPr>
            </w:pPr>
            <w:r>
              <w:rPr>
                <w:rFonts w:hint="eastAsia" w:ascii="Times New Roman" w:hAnsi="Times New Roman"/>
                <w:kern w:val="2"/>
                <w:sz w:val="21"/>
                <w:szCs w:val="21"/>
              </w:rPr>
              <w:t>满足招标文件要求的所有投标文件的平均报价为评标基准价。</w:t>
            </w:r>
          </w:p>
          <w:p>
            <w:pPr>
              <w:pStyle w:val="17"/>
              <w:spacing w:beforeAutospacing="0" w:afterAutospacing="0" w:line="324" w:lineRule="auto"/>
              <w:ind w:firstLine="420"/>
              <w:jc w:val="both"/>
              <w:rPr>
                <w:rFonts w:ascii="Times New Roman" w:hAnsi="Times New Roman"/>
                <w:kern w:val="2"/>
                <w:sz w:val="21"/>
                <w:szCs w:val="21"/>
              </w:rPr>
            </w:pPr>
            <w:r>
              <w:rPr>
                <w:rFonts w:hint="eastAsia" w:ascii="Times New Roman" w:hAnsi="Times New Roman"/>
                <w:kern w:val="2"/>
                <w:sz w:val="21"/>
                <w:szCs w:val="21"/>
              </w:rPr>
              <w:t>投标人的价格分统一按照下列公式计算：</w:t>
            </w:r>
          </w:p>
          <w:p>
            <w:pPr>
              <w:pStyle w:val="17"/>
              <w:spacing w:beforeAutospacing="0" w:afterAutospacing="0" w:line="324" w:lineRule="auto"/>
              <w:ind w:firstLine="420"/>
              <w:jc w:val="both"/>
              <w:rPr>
                <w:rFonts w:ascii="Times New Roman" w:hAnsi="Times New Roman"/>
                <w:kern w:val="2"/>
                <w:sz w:val="21"/>
                <w:szCs w:val="21"/>
              </w:rPr>
            </w:pPr>
            <w:r>
              <w:rPr>
                <w:rFonts w:hint="eastAsia" w:ascii="Times New Roman" w:hAnsi="Times New Roman"/>
                <w:kern w:val="2"/>
                <w:sz w:val="21"/>
                <w:szCs w:val="21"/>
              </w:rPr>
              <w:t>投标报价得分=（1-|评标基准价-投标报价|/ 评标基准价）×100%</w:t>
            </w:r>
          </w:p>
          <w:p>
            <w:pPr>
              <w:pStyle w:val="17"/>
              <w:spacing w:beforeAutospacing="0" w:afterAutospacing="0" w:line="324" w:lineRule="auto"/>
              <w:ind w:firstLine="420"/>
              <w:jc w:val="both"/>
              <w:rPr>
                <w:rFonts w:ascii="Times New Roman" w:hAnsi="Times New Roman"/>
                <w:kern w:val="2"/>
                <w:sz w:val="21"/>
                <w:szCs w:val="21"/>
              </w:rPr>
            </w:pPr>
            <w:r>
              <w:rPr>
                <w:rFonts w:hint="eastAsia" w:ascii="Times New Roman" w:hAnsi="Times New Roman"/>
                <w:kern w:val="2"/>
                <w:sz w:val="21"/>
                <w:szCs w:val="21"/>
              </w:rPr>
              <w:t>评标总得分＝F1×A1＋F2×A2＋……＋Fn×An</w:t>
            </w:r>
          </w:p>
          <w:p>
            <w:pPr>
              <w:pStyle w:val="17"/>
              <w:spacing w:beforeAutospacing="0" w:afterAutospacing="0" w:line="324" w:lineRule="auto"/>
              <w:ind w:firstLine="420"/>
              <w:jc w:val="both"/>
              <w:rPr>
                <w:rFonts w:ascii="Times New Roman" w:hAnsi="Times New Roman"/>
                <w:kern w:val="2"/>
                <w:sz w:val="21"/>
                <w:szCs w:val="21"/>
              </w:rPr>
            </w:pPr>
            <w:r>
              <w:rPr>
                <w:rFonts w:hint="eastAsia" w:ascii="Times New Roman" w:hAnsi="Times New Roman"/>
                <w:kern w:val="2"/>
                <w:sz w:val="21"/>
                <w:szCs w:val="21"/>
              </w:rPr>
              <w:t>F1、F2……Fn分别为各项评审因素的得分；</w:t>
            </w:r>
          </w:p>
          <w:p>
            <w:pPr>
              <w:pStyle w:val="17"/>
              <w:spacing w:beforeAutospacing="0" w:afterAutospacing="0" w:line="324" w:lineRule="auto"/>
              <w:ind w:firstLine="420"/>
              <w:jc w:val="both"/>
              <w:rPr>
                <w:rFonts w:ascii="Times New Roman" w:hAnsi="Times New Roman"/>
                <w:kern w:val="2"/>
                <w:sz w:val="21"/>
                <w:szCs w:val="21"/>
              </w:rPr>
            </w:pPr>
            <w:r>
              <w:rPr>
                <w:rFonts w:hint="eastAsia" w:ascii="Times New Roman" w:hAnsi="Times New Roman"/>
                <w:kern w:val="2"/>
                <w:sz w:val="21"/>
                <w:szCs w:val="21"/>
              </w:rPr>
              <w:t>A1、A2、……An 分别为各项评审因素所占的权重(A1＋A2＋……＋An＝1)。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80" w:type="dxa"/>
            <w:vMerge w:val="restart"/>
            <w:tcBorders>
              <w:top w:val="single" w:color="000000" w:sz="8" w:space="0"/>
              <w:left w:val="single" w:color="000000" w:sz="8" w:space="0"/>
              <w:right w:val="single" w:color="000000" w:sz="8" w:space="0"/>
            </w:tcBorders>
            <w:vAlign w:val="center"/>
          </w:tcPr>
          <w:p>
            <w:pPr>
              <w:jc w:val="center"/>
              <w:rPr>
                <w:rFonts w:ascii="宋体" w:hAnsi="宋体" w:cs="宋体"/>
                <w:b/>
                <w:bCs/>
                <w:sz w:val="24"/>
              </w:rPr>
            </w:pPr>
            <w:r>
              <w:rPr>
                <w:b/>
                <w:bCs/>
              </w:rPr>
              <w:t>2</w:t>
            </w:r>
          </w:p>
        </w:tc>
        <w:tc>
          <w:tcPr>
            <w:tcW w:w="3063" w:type="dxa"/>
            <w:gridSpan w:val="3"/>
            <w:tcBorders>
              <w:top w:val="single" w:color="000000" w:sz="8" w:space="0"/>
              <w:left w:val="single" w:color="000000" w:sz="8" w:space="0"/>
              <w:bottom w:val="single" w:color="000000" w:sz="8" w:space="0"/>
              <w:right w:val="single" w:color="000000" w:sz="8" w:space="0"/>
            </w:tcBorders>
          </w:tcPr>
          <w:p>
            <w:pPr>
              <w:jc w:val="center"/>
              <w:rPr>
                <w:rFonts w:ascii="宋体" w:hAnsi="宋体" w:cs="宋体"/>
                <w:b/>
                <w:bCs/>
                <w:sz w:val="24"/>
              </w:rPr>
            </w:pPr>
            <w:r>
              <w:rPr>
                <w:b/>
                <w:bCs/>
              </w:rPr>
              <w:t>商务部分</w:t>
            </w:r>
          </w:p>
        </w:tc>
        <w:tc>
          <w:tcPr>
            <w:tcW w:w="5579"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b/>
                <w:bCs/>
                <w:sz w:val="24"/>
              </w:rPr>
            </w:pPr>
            <w:r>
              <w:rPr>
                <w:rFonts w:hint="eastAsia" w:ascii="宋体" w:hAnsi="宋体" w:cs="宋体"/>
                <w:b/>
                <w:bCs/>
                <w:sz w:val="24"/>
              </w:rPr>
              <w:t>（填写分值）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37" w:hRule="atLeast"/>
        </w:trPr>
        <w:tc>
          <w:tcPr>
            <w:tcW w:w="680" w:type="dxa"/>
            <w:vMerge w:val="continue"/>
            <w:tcBorders>
              <w:left w:val="single" w:color="000000" w:sz="8" w:space="0"/>
              <w:right w:val="single" w:color="000000" w:sz="8" w:space="0"/>
            </w:tcBorders>
          </w:tcPr>
          <w:p>
            <w:pPr>
              <w:pStyle w:val="10"/>
              <w:rPr>
                <w:b/>
                <w:bCs/>
              </w:rPr>
            </w:pPr>
          </w:p>
        </w:tc>
        <w:tc>
          <w:tcPr>
            <w:tcW w:w="8642" w:type="dxa"/>
            <w:gridSpan w:val="4"/>
            <w:tcBorders>
              <w:top w:val="single" w:color="000000" w:sz="8" w:space="0"/>
              <w:left w:val="single" w:color="000000" w:sz="8" w:space="0"/>
              <w:bottom w:val="single" w:color="000000" w:sz="8" w:space="0"/>
              <w:right w:val="single" w:color="000000" w:sz="8" w:space="0"/>
            </w:tcBorders>
          </w:tcPr>
          <w:p>
            <w:pPr>
              <w:jc w:val="center"/>
              <w:rPr>
                <w:rFonts w:ascii="宋体" w:hAnsi="宋体" w:cs="宋体"/>
                <w:b/>
                <w:bCs/>
                <w:sz w:val="24"/>
              </w:rPr>
            </w:pPr>
            <w:r>
              <w:rPr>
                <w:rFonts w:hint="eastAsia" w:ascii="宋体" w:hAnsi="宋体" w:cs="宋体"/>
                <w:b/>
                <w:bCs/>
                <w:sz w:val="24"/>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80" w:type="dxa"/>
            <w:vMerge w:val="continue"/>
            <w:tcBorders>
              <w:left w:val="single" w:color="000000" w:sz="8" w:space="0"/>
              <w:right w:val="single" w:color="000000" w:sz="8" w:space="0"/>
            </w:tcBorders>
            <w:shd w:val="clear" w:color="auto" w:fill="E6EFFA"/>
            <w:vAlign w:val="center"/>
          </w:tcPr>
          <w:p>
            <w:pPr>
              <w:pStyle w:val="10"/>
              <w:rPr>
                <w:rFonts w:cs="宋体"/>
                <w:b/>
                <w:bCs/>
                <w:sz w:val="24"/>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pPr>
              <w:jc w:val="center"/>
              <w:rPr>
                <w:rFonts w:ascii="宋体" w:hAnsi="宋体" w:cs="宋体"/>
                <w:szCs w:val="21"/>
              </w:rPr>
            </w:pPr>
            <w:r>
              <w:rPr>
                <w:szCs w:val="21"/>
              </w:rPr>
              <w:t>序号</w:t>
            </w:r>
          </w:p>
        </w:tc>
        <w:tc>
          <w:tcPr>
            <w:tcW w:w="1588" w:type="dxa"/>
            <w:tcBorders>
              <w:top w:val="outset" w:color="000000" w:sz="6" w:space="0"/>
              <w:left w:val="outset" w:color="000000" w:sz="6" w:space="0"/>
              <w:bottom w:val="outset" w:color="000000" w:sz="6" w:space="0"/>
              <w:right w:val="outset" w:color="000000" w:sz="6" w:space="0"/>
            </w:tcBorders>
            <w:shd w:val="clear" w:color="auto" w:fill="E6EFFA"/>
            <w:vAlign w:val="center"/>
          </w:tcPr>
          <w:p>
            <w:pPr>
              <w:jc w:val="center"/>
              <w:rPr>
                <w:rFonts w:ascii="宋体" w:hAnsi="宋体" w:cs="宋体"/>
                <w:szCs w:val="21"/>
              </w:rPr>
            </w:pPr>
            <w:r>
              <w:rPr>
                <w:szCs w:val="21"/>
              </w:rPr>
              <w:t>评分因素</w:t>
            </w:r>
          </w:p>
        </w:tc>
        <w:tc>
          <w:tcPr>
            <w:tcW w:w="795" w:type="dxa"/>
            <w:tcBorders>
              <w:top w:val="outset" w:color="000000" w:sz="6" w:space="0"/>
              <w:left w:val="outset" w:color="000000" w:sz="6" w:space="0"/>
              <w:bottom w:val="outset" w:color="000000" w:sz="6" w:space="0"/>
              <w:right w:val="outset" w:color="000000" w:sz="6" w:space="0"/>
            </w:tcBorders>
            <w:shd w:val="clear" w:color="auto" w:fill="E6EFFA"/>
            <w:vAlign w:val="center"/>
          </w:tcPr>
          <w:p>
            <w:pPr>
              <w:jc w:val="center"/>
              <w:rPr>
                <w:rFonts w:ascii="宋体" w:hAnsi="宋体" w:cs="宋体"/>
                <w:szCs w:val="21"/>
              </w:rPr>
            </w:pPr>
            <w:r>
              <w:rPr>
                <w:rFonts w:hint="eastAsia" w:ascii="宋体" w:hAnsi="宋体" w:cs="宋体"/>
                <w:szCs w:val="21"/>
              </w:rPr>
              <w:t>分值范围</w:t>
            </w:r>
          </w:p>
        </w:tc>
        <w:tc>
          <w:tcPr>
            <w:tcW w:w="5579" w:type="dxa"/>
            <w:tcBorders>
              <w:top w:val="outset" w:color="000000" w:sz="6" w:space="0"/>
              <w:left w:val="outset" w:color="000000" w:sz="6" w:space="0"/>
              <w:bottom w:val="outset" w:color="000000" w:sz="6" w:space="0"/>
              <w:right w:val="outset" w:color="000000" w:sz="6" w:space="0"/>
            </w:tcBorders>
            <w:shd w:val="clear" w:color="auto" w:fill="E6EFFA"/>
            <w:vAlign w:val="center"/>
          </w:tcPr>
          <w:p>
            <w:pPr>
              <w:jc w:val="center"/>
              <w:rPr>
                <w:rFonts w:ascii="宋体" w:hAnsi="宋体" w:cs="宋体"/>
                <w:szCs w:val="21"/>
              </w:rPr>
            </w:pPr>
            <w:r>
              <w:rPr>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80" w:type="dxa"/>
            <w:vMerge w:val="continue"/>
            <w:tcBorders>
              <w:left w:val="single" w:color="000000" w:sz="8" w:space="0"/>
              <w:right w:val="single" w:color="000000" w:sz="8" w:space="0"/>
            </w:tcBorders>
            <w:vAlign w:val="center"/>
          </w:tcPr>
          <w:p>
            <w:pPr>
              <w:pStyle w:val="10"/>
              <w:rPr>
                <w:rFonts w:cs="宋体"/>
                <w:b/>
                <w:bCs/>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szCs w:val="21"/>
              </w:rPr>
            </w:pPr>
            <w:r>
              <w:rPr>
                <w:rFonts w:hint="eastAsia"/>
                <w:szCs w:val="21"/>
              </w:rPr>
              <w:t>1</w:t>
            </w:r>
          </w:p>
        </w:tc>
        <w:tc>
          <w:tcPr>
            <w:tcW w:w="1588"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同类项目业绩</w:t>
            </w:r>
          </w:p>
          <w:p>
            <w:pPr>
              <w:jc w:val="center"/>
              <w:rPr>
                <w:rFonts w:ascii="宋体" w:hAnsi="宋体" w:cs="宋体"/>
                <w:szCs w:val="21"/>
              </w:rPr>
            </w:pPr>
          </w:p>
        </w:tc>
        <w:tc>
          <w:tcPr>
            <w:tcW w:w="795"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szCs w:val="21"/>
              </w:rPr>
            </w:pPr>
            <w:r>
              <w:rPr>
                <w:rFonts w:hint="eastAsia" w:ascii="宋体" w:hAnsi="宋体"/>
                <w:szCs w:val="21"/>
              </w:rPr>
              <w:t>5</w:t>
            </w:r>
          </w:p>
        </w:tc>
        <w:tc>
          <w:tcPr>
            <w:tcW w:w="5579" w:type="dxa"/>
            <w:tcBorders>
              <w:top w:val="single" w:color="000000" w:sz="8" w:space="0"/>
              <w:left w:val="single" w:color="000000" w:sz="8" w:space="0"/>
              <w:bottom w:val="single" w:color="000000" w:sz="8" w:space="0"/>
              <w:right w:val="single" w:color="000000" w:sz="8" w:space="0"/>
            </w:tcBorders>
          </w:tcPr>
          <w:p>
            <w:pPr>
              <w:numPr>
                <w:ilvl w:val="0"/>
                <w:numId w:val="5"/>
              </w:numPr>
              <w:ind w:left="0" w:hanging="318"/>
              <w:jc w:val="left"/>
              <w:rPr>
                <w:rFonts w:ascii="宋体" w:hAnsi="宋体"/>
                <w:b/>
                <w:szCs w:val="21"/>
              </w:rPr>
            </w:pPr>
            <w:r>
              <w:rPr>
                <w:rFonts w:hint="eastAsia" w:ascii="宋体" w:hAnsi="宋体"/>
                <w:b/>
                <w:szCs w:val="21"/>
              </w:rPr>
              <w:t>（1）评审标准：</w:t>
            </w:r>
          </w:p>
          <w:p>
            <w:pPr>
              <w:numPr>
                <w:ilvl w:val="0"/>
                <w:numId w:val="5"/>
              </w:numPr>
              <w:ind w:left="0" w:hanging="318"/>
              <w:jc w:val="left"/>
              <w:rPr>
                <w:rFonts w:ascii="宋体" w:hAnsi="宋体"/>
                <w:b/>
                <w:szCs w:val="21"/>
              </w:rPr>
            </w:pPr>
            <w:r>
              <w:rPr>
                <w:rFonts w:hint="eastAsia" w:ascii="宋体" w:hAnsi="宋体"/>
                <w:szCs w:val="21"/>
              </w:rPr>
              <w:t>投标人自</w:t>
            </w:r>
            <w:r>
              <w:rPr>
                <w:rFonts w:hint="eastAsia" w:ascii="宋体" w:hAnsi="宋体"/>
                <w:szCs w:val="21"/>
                <w:u w:val="single"/>
              </w:rPr>
              <w:t>2019年1月1日</w:t>
            </w:r>
            <w:r>
              <w:rPr>
                <w:rFonts w:hint="eastAsia" w:ascii="宋体" w:hAnsi="宋体"/>
                <w:szCs w:val="21"/>
              </w:rPr>
              <w:t>至投标截止时间前完成的同类项目业绩(房屋安全监测类项目，以合同签订时间为准)，每项业绩得</w:t>
            </w:r>
            <w:r>
              <w:rPr>
                <w:rFonts w:hint="eastAsia" w:ascii="宋体" w:hAnsi="宋体" w:cs="宋体"/>
                <w:kern w:val="0"/>
                <w:szCs w:val="21"/>
              </w:rPr>
              <w:t>1分，满分5分。</w:t>
            </w:r>
          </w:p>
          <w:p>
            <w:pPr>
              <w:numPr>
                <w:ilvl w:val="0"/>
                <w:numId w:val="5"/>
              </w:numPr>
              <w:ind w:left="0" w:hanging="318"/>
              <w:jc w:val="left"/>
              <w:rPr>
                <w:rFonts w:ascii="宋体" w:hAnsi="宋体"/>
                <w:b/>
                <w:szCs w:val="21"/>
              </w:rPr>
            </w:pPr>
            <w:r>
              <w:rPr>
                <w:rFonts w:hint="eastAsia" w:ascii="宋体" w:hAnsi="宋体"/>
                <w:b/>
                <w:szCs w:val="21"/>
              </w:rPr>
              <w:t>（2）证明材料</w:t>
            </w:r>
          </w:p>
          <w:p>
            <w:pPr>
              <w:jc w:val="left"/>
              <w:rPr>
                <w:rFonts w:ascii="宋体" w:hAnsi="宋体" w:cs="宋体"/>
                <w:szCs w:val="21"/>
              </w:rPr>
            </w:pPr>
            <w:r>
              <w:rPr>
                <w:rFonts w:hint="eastAsia" w:ascii="宋体" w:hAnsi="宋体"/>
                <w:szCs w:val="21"/>
              </w:rPr>
              <w:t>投标人须提供项目合同关键页和中标通知书原件扫描件，原件备查。</w:t>
            </w:r>
            <w:r>
              <w:rPr>
                <w:rFonts w:hint="eastAsia"/>
                <w:szCs w:val="21"/>
              </w:rPr>
              <w:t>未提供或提供不清晰导致无法判断的，不得分</w:t>
            </w:r>
            <w:r>
              <w:rPr>
                <w:rFonts w:hint="eastAsia" w:ascii="宋体" w:hAnsi="宋体" w:cs="宋体"/>
                <w:kern w:val="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80" w:type="dxa"/>
            <w:vMerge w:val="continue"/>
            <w:tcBorders>
              <w:left w:val="single" w:color="000000" w:sz="8" w:space="0"/>
              <w:right w:val="single" w:color="000000" w:sz="8" w:space="0"/>
            </w:tcBorders>
            <w:vAlign w:val="center"/>
          </w:tcPr>
          <w:p>
            <w:pPr>
              <w:pStyle w:val="10"/>
              <w:rPr>
                <w:rFonts w:cs="宋体"/>
                <w:b/>
                <w:bCs/>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2</w:t>
            </w:r>
          </w:p>
        </w:tc>
        <w:tc>
          <w:tcPr>
            <w:tcW w:w="1588"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企业认证情况</w:t>
            </w:r>
          </w:p>
        </w:tc>
        <w:tc>
          <w:tcPr>
            <w:tcW w:w="795"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10</w:t>
            </w:r>
          </w:p>
        </w:tc>
        <w:tc>
          <w:tcPr>
            <w:tcW w:w="5579" w:type="dxa"/>
            <w:tcBorders>
              <w:top w:val="single" w:color="000000" w:sz="8" w:space="0"/>
              <w:left w:val="single" w:color="000000" w:sz="8" w:space="0"/>
              <w:bottom w:val="single" w:color="000000" w:sz="8" w:space="0"/>
              <w:right w:val="single" w:color="000000" w:sz="8" w:space="0"/>
            </w:tcBorders>
            <w:vAlign w:val="center"/>
          </w:tcPr>
          <w:p>
            <w:pPr>
              <w:numPr>
                <w:ilvl w:val="0"/>
                <w:numId w:val="5"/>
              </w:numPr>
              <w:ind w:left="0" w:hanging="318"/>
              <w:jc w:val="left"/>
              <w:rPr>
                <w:rFonts w:ascii="宋体" w:hAnsi="宋体"/>
                <w:b/>
                <w:szCs w:val="21"/>
              </w:rPr>
            </w:pPr>
            <w:r>
              <w:rPr>
                <w:rFonts w:hint="eastAsia" w:ascii="宋体" w:hAnsi="宋体"/>
                <w:b/>
                <w:szCs w:val="21"/>
              </w:rPr>
              <w:t>（1）评审标准：</w:t>
            </w:r>
          </w:p>
          <w:p>
            <w:pPr>
              <w:rPr>
                <w:rFonts w:ascii="宋体" w:hAnsi="宋体"/>
                <w:szCs w:val="21"/>
              </w:rPr>
            </w:pPr>
            <w:r>
              <w:rPr>
                <w:rFonts w:ascii="宋体" w:hAnsi="宋体"/>
                <w:szCs w:val="21"/>
              </w:rPr>
              <w:t>提供质量、环境及职业健康安全管理体系认证证书</w:t>
            </w:r>
            <w:r>
              <w:rPr>
                <w:rFonts w:hint="eastAsia" w:ascii="宋体" w:hAnsi="宋体"/>
                <w:szCs w:val="21"/>
              </w:rPr>
              <w:t>，每提供一项认证证书得3分，若三项认证证书均提供得10分。</w:t>
            </w:r>
          </w:p>
          <w:p>
            <w:pPr>
              <w:numPr>
                <w:ilvl w:val="0"/>
                <w:numId w:val="5"/>
              </w:numPr>
              <w:ind w:left="0" w:hanging="318"/>
              <w:jc w:val="left"/>
              <w:rPr>
                <w:rFonts w:ascii="宋体" w:hAnsi="宋体"/>
                <w:b/>
                <w:szCs w:val="21"/>
              </w:rPr>
            </w:pPr>
            <w:r>
              <w:rPr>
                <w:rFonts w:hint="eastAsia" w:ascii="宋体" w:hAnsi="宋体"/>
                <w:b/>
                <w:szCs w:val="21"/>
              </w:rPr>
              <w:t>（2）证明材料</w:t>
            </w:r>
          </w:p>
          <w:p>
            <w:pPr>
              <w:rPr>
                <w:rFonts w:ascii="宋体" w:hAnsi="宋体"/>
                <w:szCs w:val="21"/>
              </w:rPr>
            </w:pPr>
            <w:r>
              <w:rPr>
                <w:rFonts w:hint="eastAsia" w:ascii="宋体" w:hAnsi="宋体"/>
                <w:szCs w:val="21"/>
              </w:rPr>
              <w:t>1.要求提供上述有效资格证件的证明材料；</w:t>
            </w:r>
          </w:p>
          <w:p>
            <w:pPr>
              <w:rPr>
                <w:rFonts w:ascii="宋体" w:hAnsi="宋体"/>
                <w:szCs w:val="21"/>
              </w:rPr>
            </w:pPr>
            <w:r>
              <w:rPr>
                <w:rFonts w:hint="eastAsia" w:ascii="宋体" w:hAnsi="宋体"/>
                <w:szCs w:val="21"/>
              </w:rPr>
              <w:t>2.以上资料均要求提供扫描件，原件备查。评分中出现无证明资料或专家无法凭所提供资料判断是否得分的情况，一律作不得分处理。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80" w:type="dxa"/>
            <w:vMerge w:val="continue"/>
            <w:tcBorders>
              <w:left w:val="single" w:color="000000" w:sz="8" w:space="0"/>
              <w:bottom w:val="single" w:color="000000" w:sz="8" w:space="0"/>
              <w:right w:val="single" w:color="000000" w:sz="8" w:space="0"/>
            </w:tcBorders>
            <w:vAlign w:val="center"/>
          </w:tcPr>
          <w:p>
            <w:pPr>
              <w:pStyle w:val="10"/>
            </w:pPr>
          </w:p>
        </w:tc>
        <w:tc>
          <w:tcPr>
            <w:tcW w:w="680"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3</w:t>
            </w:r>
          </w:p>
        </w:tc>
        <w:tc>
          <w:tcPr>
            <w:tcW w:w="1588"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投标人获得荣誉情况</w:t>
            </w:r>
          </w:p>
        </w:tc>
        <w:tc>
          <w:tcPr>
            <w:tcW w:w="795"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15</w:t>
            </w:r>
          </w:p>
        </w:tc>
        <w:tc>
          <w:tcPr>
            <w:tcW w:w="5579" w:type="dxa"/>
            <w:tcBorders>
              <w:top w:val="single" w:color="000000" w:sz="8" w:space="0"/>
              <w:left w:val="single" w:color="000000" w:sz="8" w:space="0"/>
              <w:bottom w:val="single" w:color="000000" w:sz="8" w:space="0"/>
              <w:right w:val="single" w:color="000000" w:sz="8" w:space="0"/>
            </w:tcBorders>
            <w:vAlign w:val="center"/>
          </w:tcPr>
          <w:p>
            <w:pPr>
              <w:numPr>
                <w:ilvl w:val="0"/>
                <w:numId w:val="5"/>
              </w:numPr>
              <w:ind w:left="0" w:hanging="318"/>
              <w:jc w:val="left"/>
              <w:rPr>
                <w:rFonts w:ascii="宋体" w:hAnsi="宋体"/>
                <w:b/>
                <w:szCs w:val="21"/>
              </w:rPr>
            </w:pPr>
            <w:r>
              <w:rPr>
                <w:rFonts w:hint="eastAsia" w:ascii="宋体" w:hAnsi="宋体"/>
                <w:b/>
                <w:szCs w:val="21"/>
              </w:rPr>
              <w:t>（1）评审标准</w:t>
            </w:r>
          </w:p>
          <w:p>
            <w:pPr>
              <w:pStyle w:val="48"/>
              <w:numPr>
                <w:ilvl w:val="255"/>
                <w:numId w:val="0"/>
              </w:numPr>
              <w:rPr>
                <w:rFonts w:hint="eastAsia" w:ascii="宋体" w:hAnsi="宋体" w:cs="黑体"/>
                <w:szCs w:val="21"/>
              </w:rPr>
            </w:pPr>
            <w:r>
              <w:rPr>
                <w:rFonts w:hint="eastAsia" w:ascii="宋体" w:hAnsi="宋体" w:cs="黑体"/>
                <w:szCs w:val="21"/>
              </w:rPr>
              <w:t>1.近</w:t>
            </w:r>
            <w:r>
              <w:rPr>
                <w:rFonts w:ascii="宋体" w:hAnsi="宋体" w:cs="黑体"/>
                <w:szCs w:val="21"/>
              </w:rPr>
              <w:t>5</w:t>
            </w:r>
            <w:r>
              <w:rPr>
                <w:rFonts w:hint="eastAsia" w:ascii="宋体" w:hAnsi="宋体" w:cs="黑体"/>
                <w:szCs w:val="21"/>
              </w:rPr>
              <w:t>年（自2018年</w:t>
            </w:r>
            <w:r>
              <w:rPr>
                <w:rFonts w:hint="eastAsia" w:ascii="宋体" w:hAnsi="宋体" w:cs="黑体"/>
                <w:szCs w:val="21"/>
                <w:lang w:val="en-US" w:eastAsia="zh-CN"/>
              </w:rPr>
              <w:t>10</w:t>
            </w:r>
            <w:r>
              <w:rPr>
                <w:rFonts w:hint="eastAsia" w:ascii="宋体" w:hAnsi="宋体" w:cs="黑体"/>
                <w:szCs w:val="21"/>
              </w:rPr>
              <w:t>月1日起至本项目投标截止之日止）获得副省级或以上科学技术奖得5分，本项最高得5分。</w:t>
            </w:r>
          </w:p>
          <w:p>
            <w:pPr>
              <w:pStyle w:val="48"/>
              <w:numPr>
                <w:ilvl w:val="255"/>
                <w:numId w:val="0"/>
              </w:numPr>
              <w:rPr>
                <w:rFonts w:hint="eastAsia" w:ascii="宋体" w:hAnsi="宋体" w:cs="黑体"/>
                <w:szCs w:val="21"/>
              </w:rPr>
            </w:pPr>
            <w:r>
              <w:rPr>
                <w:rFonts w:hint="eastAsia" w:ascii="宋体" w:hAnsi="宋体" w:cs="黑体"/>
                <w:szCs w:val="21"/>
              </w:rPr>
              <w:t>2.近5年（自2018年</w:t>
            </w:r>
            <w:r>
              <w:rPr>
                <w:rFonts w:hint="eastAsia" w:ascii="宋体" w:hAnsi="宋体" w:cs="黑体"/>
                <w:szCs w:val="21"/>
                <w:lang w:val="en-US" w:eastAsia="zh-CN"/>
              </w:rPr>
              <w:t>10</w:t>
            </w:r>
            <w:r>
              <w:rPr>
                <w:rFonts w:hint="eastAsia" w:ascii="宋体" w:hAnsi="宋体" w:cs="黑体"/>
                <w:szCs w:val="21"/>
              </w:rPr>
              <w:t>月1日起至本项目投标截止之日止）获</w:t>
            </w:r>
            <w:r>
              <w:rPr>
                <w:rFonts w:hint="eastAsia" w:ascii="宋体" w:hAnsi="宋体" w:cs="黑体"/>
                <w:szCs w:val="21"/>
                <w:lang w:val="en-US" w:eastAsia="zh-CN"/>
              </w:rPr>
              <w:t>副</w:t>
            </w:r>
            <w:r>
              <w:rPr>
                <w:rFonts w:hint="eastAsia" w:ascii="宋体" w:hAnsi="宋体" w:cs="黑体"/>
                <w:szCs w:val="21"/>
              </w:rPr>
              <w:t>省级或以上的建设工程类或结构工程类荣誉的，得5分，本项最高得5分。</w:t>
            </w:r>
          </w:p>
          <w:p>
            <w:pPr>
              <w:pStyle w:val="48"/>
              <w:numPr>
                <w:ilvl w:val="255"/>
                <w:numId w:val="0"/>
              </w:numPr>
              <w:rPr>
                <w:rFonts w:hint="eastAsia" w:ascii="宋体" w:hAnsi="宋体" w:cs="黑体"/>
                <w:szCs w:val="21"/>
                <w:lang w:eastAsia="zh-CN"/>
              </w:rPr>
            </w:pPr>
            <w:r>
              <w:rPr>
                <w:rFonts w:hint="eastAsia" w:ascii="宋体" w:hAnsi="宋体" w:cs="黑体"/>
                <w:szCs w:val="21"/>
              </w:rPr>
              <w:t>3.近5年（自2018年</w:t>
            </w:r>
            <w:r>
              <w:rPr>
                <w:rFonts w:hint="eastAsia" w:ascii="宋体" w:hAnsi="宋体" w:cs="黑体"/>
                <w:szCs w:val="21"/>
                <w:lang w:val="en-US" w:eastAsia="zh-CN"/>
              </w:rPr>
              <w:t>10</w:t>
            </w:r>
            <w:r>
              <w:rPr>
                <w:rFonts w:hint="eastAsia" w:ascii="宋体" w:hAnsi="宋体" w:cs="黑体"/>
                <w:szCs w:val="21"/>
              </w:rPr>
              <w:t>月1日起至本项目投标截止之日止）参与过编</w:t>
            </w:r>
            <w:r>
              <w:rPr>
                <w:rFonts w:hint="eastAsia" w:ascii="宋体" w:hAnsi="宋体" w:cs="黑体"/>
                <w:szCs w:val="21"/>
                <w:lang w:val="en-US" w:eastAsia="zh-CN"/>
              </w:rPr>
              <w:t>制</w:t>
            </w:r>
            <w:r>
              <w:rPr>
                <w:rFonts w:hint="eastAsia" w:ascii="宋体" w:hAnsi="宋体" w:cs="黑体"/>
                <w:szCs w:val="21"/>
              </w:rPr>
              <w:t>国家、行业、地方标准每提供一项得5分，最高得5分</w:t>
            </w:r>
            <w:r>
              <w:rPr>
                <w:rFonts w:hint="eastAsia" w:ascii="宋体" w:hAnsi="宋体" w:cs="黑体"/>
                <w:szCs w:val="21"/>
                <w:lang w:eastAsia="zh-CN"/>
              </w:rPr>
              <w:t>。</w:t>
            </w:r>
          </w:p>
          <w:p>
            <w:pPr>
              <w:numPr>
                <w:ilvl w:val="0"/>
                <w:numId w:val="5"/>
              </w:numPr>
              <w:ind w:left="0" w:hanging="318"/>
              <w:jc w:val="left"/>
              <w:rPr>
                <w:rFonts w:ascii="宋体" w:hAnsi="宋体"/>
                <w:b/>
                <w:szCs w:val="21"/>
              </w:rPr>
            </w:pPr>
            <w:r>
              <w:rPr>
                <w:rFonts w:hint="eastAsia" w:ascii="宋体" w:hAnsi="宋体"/>
                <w:b/>
                <w:szCs w:val="21"/>
              </w:rPr>
              <w:t>（2）证明文件</w:t>
            </w:r>
          </w:p>
          <w:p>
            <w:pPr>
              <w:pStyle w:val="48"/>
              <w:numPr>
                <w:ilvl w:val="255"/>
                <w:numId w:val="0"/>
              </w:numPr>
              <w:rPr>
                <w:rFonts w:hint="eastAsia" w:ascii="宋体" w:hAnsi="宋体" w:eastAsia="宋体" w:cs="黑体"/>
                <w:szCs w:val="21"/>
                <w:lang w:eastAsia="zh-CN"/>
              </w:rPr>
            </w:pPr>
            <w:r>
              <w:rPr>
                <w:rFonts w:hint="eastAsia" w:ascii="宋体" w:hAnsi="宋体" w:cs="黑体"/>
                <w:szCs w:val="21"/>
              </w:rPr>
              <w:t>1.投标人</w:t>
            </w:r>
            <w:r>
              <w:rPr>
                <w:rFonts w:ascii="宋体" w:hAnsi="宋体" w:cs="黑体"/>
                <w:szCs w:val="21"/>
              </w:rPr>
              <w:t>提供</w:t>
            </w:r>
            <w:r>
              <w:rPr>
                <w:rFonts w:hint="eastAsia" w:ascii="宋体" w:hAnsi="宋体" w:cs="黑体"/>
                <w:szCs w:val="21"/>
              </w:rPr>
              <w:t>证书或荣誉的扫描件，原件备查</w:t>
            </w:r>
            <w:r>
              <w:rPr>
                <w:rFonts w:hint="eastAsia" w:ascii="宋体" w:hAnsi="宋体" w:cs="黑体"/>
                <w:szCs w:val="21"/>
                <w:lang w:eastAsia="zh-CN"/>
              </w:rPr>
              <w:t>。</w:t>
            </w:r>
          </w:p>
          <w:p>
            <w:pPr>
              <w:pStyle w:val="48"/>
              <w:numPr>
                <w:ilvl w:val="255"/>
                <w:numId w:val="0"/>
              </w:numPr>
              <w:rPr>
                <w:rFonts w:ascii="宋体" w:hAnsi="宋体" w:cs="黑体"/>
                <w:szCs w:val="21"/>
              </w:rPr>
            </w:pPr>
            <w:r>
              <w:rPr>
                <w:rFonts w:hint="eastAsia" w:ascii="宋体" w:hAnsi="宋体" w:cs="黑体"/>
                <w:szCs w:val="21"/>
              </w:rPr>
              <w:t>2.投标人提供编制</w:t>
            </w:r>
            <w:r>
              <w:rPr>
                <w:rFonts w:ascii="宋体" w:hAnsi="宋体" w:cs="黑体"/>
                <w:szCs w:val="21"/>
              </w:rPr>
              <w:t>标准</w:t>
            </w:r>
            <w:r>
              <w:rPr>
                <w:rFonts w:hint="eastAsia" w:ascii="宋体" w:hAnsi="宋体" w:cs="黑体"/>
                <w:szCs w:val="21"/>
              </w:rPr>
              <w:t>的</w:t>
            </w:r>
            <w:r>
              <w:rPr>
                <w:rFonts w:ascii="宋体" w:hAnsi="宋体" w:cs="黑体"/>
                <w:szCs w:val="21"/>
              </w:rPr>
              <w:t>封面页、前言页</w:t>
            </w:r>
            <w:r>
              <w:rPr>
                <w:rFonts w:hint="eastAsia" w:ascii="宋体" w:hAnsi="宋体" w:cs="黑体"/>
                <w:szCs w:val="21"/>
              </w:rPr>
              <w:t>扫描件，需体现投标人单位。</w:t>
            </w:r>
          </w:p>
          <w:p>
            <w:pPr>
              <w:rPr>
                <w:rFonts w:ascii="宋体" w:hAnsi="宋体"/>
                <w:szCs w:val="21"/>
              </w:rPr>
            </w:pPr>
            <w:r>
              <w:rPr>
                <w:rFonts w:hint="eastAsia" w:ascii="宋体" w:hAnsi="宋体"/>
                <w:szCs w:val="21"/>
                <w:lang w:val="en-US" w:eastAsia="zh-CN"/>
              </w:rPr>
              <w:t>3</w:t>
            </w:r>
            <w:r>
              <w:rPr>
                <w:rFonts w:hint="eastAsia" w:ascii="宋体" w:hAnsi="宋体"/>
                <w:szCs w:val="21"/>
              </w:rPr>
              <w:t>.未按照招标文件要求提供或不满足要求或评审委员会无法判断的不得分。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80" w:type="dxa"/>
            <w:vMerge w:val="restart"/>
            <w:tcBorders>
              <w:top w:val="single" w:color="000000" w:sz="8" w:space="0"/>
              <w:left w:val="single" w:color="000000" w:sz="8" w:space="0"/>
              <w:right w:val="single" w:color="000000" w:sz="8" w:space="0"/>
            </w:tcBorders>
          </w:tcPr>
          <w:p>
            <w:pPr>
              <w:jc w:val="center"/>
              <w:rPr>
                <w:rFonts w:ascii="宋体" w:hAnsi="宋体" w:cs="宋体"/>
                <w:b/>
                <w:bCs/>
                <w:sz w:val="24"/>
              </w:rPr>
            </w:pPr>
            <w:r>
              <w:rPr>
                <w:b/>
                <w:bCs/>
              </w:rPr>
              <w:t>3</w:t>
            </w:r>
          </w:p>
        </w:tc>
        <w:tc>
          <w:tcPr>
            <w:tcW w:w="3063" w:type="dxa"/>
            <w:gridSpan w:val="3"/>
            <w:tcBorders>
              <w:top w:val="single" w:color="000000" w:sz="8" w:space="0"/>
              <w:left w:val="single" w:color="000000" w:sz="8" w:space="0"/>
              <w:bottom w:val="single" w:color="000000" w:sz="8" w:space="0"/>
              <w:right w:val="single" w:color="000000" w:sz="8" w:space="0"/>
            </w:tcBorders>
          </w:tcPr>
          <w:p>
            <w:pPr>
              <w:jc w:val="center"/>
              <w:rPr>
                <w:rFonts w:ascii="宋体" w:hAnsi="宋体" w:cs="宋体"/>
                <w:b/>
                <w:bCs/>
                <w:sz w:val="24"/>
              </w:rPr>
            </w:pPr>
            <w:r>
              <w:rPr>
                <w:b/>
                <w:bCs/>
              </w:rPr>
              <w:t>技术部分</w:t>
            </w:r>
          </w:p>
        </w:tc>
        <w:tc>
          <w:tcPr>
            <w:tcW w:w="5579"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b/>
                <w:bCs/>
                <w:sz w:val="24"/>
              </w:rPr>
            </w:pPr>
            <w:r>
              <w:rPr>
                <w:rFonts w:hint="eastAsia" w:ascii="宋体" w:hAnsi="宋体" w:cs="宋体"/>
                <w:b/>
                <w:bCs/>
                <w:sz w:val="24"/>
              </w:rPr>
              <w:t>（填写分值）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04" w:hRule="atLeast"/>
        </w:trPr>
        <w:tc>
          <w:tcPr>
            <w:tcW w:w="680" w:type="dxa"/>
            <w:vMerge w:val="continue"/>
            <w:tcBorders>
              <w:left w:val="single" w:color="000000" w:sz="8" w:space="0"/>
              <w:right w:val="single" w:color="000000" w:sz="8" w:space="0"/>
            </w:tcBorders>
            <w:vAlign w:val="center"/>
          </w:tcPr>
          <w:p>
            <w:pPr>
              <w:rPr>
                <w:rFonts w:ascii="宋体" w:hAnsi="宋体" w:cs="宋体"/>
                <w:b/>
                <w:bCs/>
                <w:sz w:val="24"/>
              </w:rPr>
            </w:pPr>
          </w:p>
        </w:tc>
        <w:tc>
          <w:tcPr>
            <w:tcW w:w="8642" w:type="dxa"/>
            <w:gridSpan w:val="4"/>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rFonts w:hint="eastAsia" w:ascii="宋体" w:hAnsi="宋体" w:cs="宋体"/>
                <w:szCs w:val="21"/>
              </w:rPr>
              <w:t>55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80" w:type="dxa"/>
            <w:vMerge w:val="continue"/>
            <w:tcBorders>
              <w:left w:val="single" w:color="000000" w:sz="8" w:space="0"/>
              <w:right w:val="single" w:color="000000" w:sz="8" w:space="0"/>
            </w:tcBorders>
            <w:shd w:val="clear" w:color="auto" w:fill="E6EFFA"/>
            <w:vAlign w:val="center"/>
          </w:tcPr>
          <w:p>
            <w:pPr>
              <w:rPr>
                <w:rFonts w:ascii="宋体" w:hAnsi="宋体" w:cs="宋体"/>
                <w:b/>
                <w:bCs/>
                <w:sz w:val="24"/>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pPr>
              <w:jc w:val="center"/>
              <w:rPr>
                <w:rFonts w:ascii="宋体" w:hAnsi="宋体" w:cs="宋体"/>
                <w:szCs w:val="21"/>
              </w:rPr>
            </w:pPr>
            <w:r>
              <w:rPr>
                <w:szCs w:val="21"/>
              </w:rPr>
              <w:t>序号</w:t>
            </w:r>
          </w:p>
        </w:tc>
        <w:tc>
          <w:tcPr>
            <w:tcW w:w="1588" w:type="dxa"/>
            <w:tcBorders>
              <w:top w:val="outset" w:color="000000" w:sz="6" w:space="0"/>
              <w:left w:val="outset" w:color="000000" w:sz="6" w:space="0"/>
              <w:bottom w:val="outset" w:color="000000" w:sz="6" w:space="0"/>
              <w:right w:val="outset" w:color="000000" w:sz="6" w:space="0"/>
            </w:tcBorders>
            <w:shd w:val="clear" w:color="auto" w:fill="E6EFFA"/>
            <w:vAlign w:val="center"/>
          </w:tcPr>
          <w:p>
            <w:pPr>
              <w:jc w:val="center"/>
              <w:rPr>
                <w:rFonts w:ascii="宋体" w:hAnsi="宋体" w:cs="宋体"/>
                <w:szCs w:val="21"/>
              </w:rPr>
            </w:pPr>
            <w:r>
              <w:rPr>
                <w:szCs w:val="21"/>
              </w:rPr>
              <w:t>评分因素</w:t>
            </w:r>
          </w:p>
        </w:tc>
        <w:tc>
          <w:tcPr>
            <w:tcW w:w="795" w:type="dxa"/>
            <w:tcBorders>
              <w:top w:val="outset" w:color="000000" w:sz="6" w:space="0"/>
              <w:left w:val="outset" w:color="000000" w:sz="6" w:space="0"/>
              <w:bottom w:val="outset" w:color="000000" w:sz="6" w:space="0"/>
              <w:right w:val="outset" w:color="000000" w:sz="6" w:space="0"/>
            </w:tcBorders>
            <w:shd w:val="clear" w:color="auto" w:fill="E6EFFA"/>
            <w:vAlign w:val="center"/>
          </w:tcPr>
          <w:p>
            <w:pPr>
              <w:jc w:val="center"/>
              <w:rPr>
                <w:rFonts w:ascii="宋体" w:hAnsi="宋体" w:cs="宋体"/>
                <w:szCs w:val="21"/>
              </w:rPr>
            </w:pPr>
            <w:r>
              <w:rPr>
                <w:rFonts w:hint="eastAsia" w:ascii="宋体" w:hAnsi="宋体" w:cs="宋体"/>
                <w:szCs w:val="21"/>
              </w:rPr>
              <w:t>分值范围</w:t>
            </w:r>
          </w:p>
        </w:tc>
        <w:tc>
          <w:tcPr>
            <w:tcW w:w="5579" w:type="dxa"/>
            <w:tcBorders>
              <w:top w:val="outset" w:color="000000" w:sz="6" w:space="0"/>
              <w:left w:val="outset" w:color="000000" w:sz="6" w:space="0"/>
              <w:bottom w:val="outset" w:color="000000" w:sz="6" w:space="0"/>
              <w:right w:val="outset" w:color="000000" w:sz="6" w:space="0"/>
            </w:tcBorders>
            <w:shd w:val="clear" w:color="auto" w:fill="E6EFFA"/>
            <w:vAlign w:val="center"/>
          </w:tcPr>
          <w:p>
            <w:pPr>
              <w:jc w:val="center"/>
              <w:rPr>
                <w:rFonts w:ascii="宋体" w:hAnsi="宋体" w:cs="宋体"/>
                <w:szCs w:val="21"/>
              </w:rPr>
            </w:pPr>
            <w:r>
              <w:rPr>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80" w:type="dxa"/>
            <w:vMerge w:val="continue"/>
            <w:tcBorders>
              <w:left w:val="single" w:color="000000" w:sz="8" w:space="0"/>
              <w:right w:val="single" w:color="000000" w:sz="8" w:space="0"/>
            </w:tcBorders>
            <w:vAlign w:val="center"/>
          </w:tcPr>
          <w:p>
            <w:pPr>
              <w:pStyle w:val="10"/>
            </w:pPr>
          </w:p>
        </w:tc>
        <w:tc>
          <w:tcPr>
            <w:tcW w:w="680" w:type="dxa"/>
            <w:tcBorders>
              <w:top w:val="single" w:color="000000" w:sz="8" w:space="0"/>
              <w:left w:val="single" w:color="000000" w:sz="8" w:space="0"/>
              <w:bottom w:val="single" w:color="000000" w:sz="8" w:space="0"/>
              <w:right w:val="single" w:color="000000" w:sz="8" w:space="0"/>
            </w:tcBorders>
            <w:vAlign w:val="center"/>
          </w:tcPr>
          <w:p>
            <w:pPr>
              <w:jc w:val="center"/>
              <w:rPr>
                <w:rFonts w:cs="仿宋_GB2312" w:asciiTheme="minorEastAsia" w:hAnsiTheme="minorEastAsia" w:eastAsiaTheme="minorEastAsia"/>
                <w:szCs w:val="21"/>
                <w:lang w:val="zh-CN"/>
              </w:rPr>
            </w:pPr>
            <w:r>
              <w:rPr>
                <w:rFonts w:hint="eastAsia" w:cs="仿宋_GB2312" w:asciiTheme="minorEastAsia" w:hAnsiTheme="minorEastAsia" w:eastAsiaTheme="minorEastAsia"/>
                <w:szCs w:val="21"/>
                <w:lang w:val="zh-CN"/>
              </w:rPr>
              <w:t>1</w:t>
            </w:r>
          </w:p>
        </w:tc>
        <w:tc>
          <w:tcPr>
            <w:tcW w:w="1588" w:type="dxa"/>
            <w:tcBorders>
              <w:top w:val="single" w:color="000000" w:sz="8" w:space="0"/>
              <w:left w:val="single" w:color="000000" w:sz="8" w:space="0"/>
              <w:bottom w:val="single" w:color="000000" w:sz="8" w:space="0"/>
              <w:right w:val="single" w:color="000000" w:sz="8" w:space="0"/>
            </w:tcBorders>
            <w:vAlign w:val="center"/>
          </w:tcPr>
          <w:p>
            <w:pPr>
              <w:rPr>
                <w:rFonts w:cs="仿宋_GB2312" w:asciiTheme="minorEastAsia" w:hAnsiTheme="minorEastAsia" w:eastAsiaTheme="minorEastAsia"/>
                <w:szCs w:val="21"/>
                <w:lang w:val="zh-CN"/>
              </w:rPr>
            </w:pPr>
            <w:r>
              <w:rPr>
                <w:rFonts w:hint="eastAsia" w:cs="仿宋_GB2312" w:asciiTheme="minorEastAsia" w:hAnsiTheme="minorEastAsia" w:eastAsiaTheme="minorEastAsia"/>
                <w:szCs w:val="21"/>
                <w:lang w:val="zh-CN"/>
              </w:rPr>
              <w:t>项目服务方案</w:t>
            </w:r>
          </w:p>
        </w:tc>
        <w:tc>
          <w:tcPr>
            <w:tcW w:w="795"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cs="仿宋_GB2312" w:asciiTheme="minorEastAsia" w:hAnsiTheme="minorEastAsia" w:eastAsiaTheme="minorEastAsia"/>
                <w:szCs w:val="21"/>
                <w:lang w:val="zh-CN"/>
              </w:rPr>
            </w:pPr>
            <w:r>
              <w:rPr>
                <w:rFonts w:hint="eastAsia" w:ascii="宋体" w:hAnsi="宋体"/>
                <w:szCs w:val="21"/>
              </w:rPr>
              <w:t>20</w:t>
            </w:r>
          </w:p>
        </w:tc>
        <w:tc>
          <w:tcPr>
            <w:tcW w:w="5579" w:type="dxa"/>
            <w:tcBorders>
              <w:top w:val="single" w:color="000000" w:sz="8" w:space="0"/>
              <w:left w:val="single" w:color="000000" w:sz="8" w:space="0"/>
              <w:bottom w:val="single" w:color="000000" w:sz="8" w:space="0"/>
              <w:right w:val="single" w:color="000000" w:sz="8" w:space="0"/>
            </w:tcBorders>
            <w:vAlign w:val="center"/>
          </w:tcPr>
          <w:p>
            <w:pPr>
              <w:numPr>
                <w:ilvl w:val="0"/>
                <w:numId w:val="5"/>
              </w:numPr>
              <w:ind w:left="0" w:hanging="318"/>
              <w:jc w:val="left"/>
              <w:rPr>
                <w:rFonts w:ascii="宋体" w:hAnsi="宋体"/>
                <w:b/>
                <w:szCs w:val="21"/>
              </w:rPr>
            </w:pPr>
            <w:r>
              <w:rPr>
                <w:rFonts w:hint="eastAsia" w:ascii="宋体" w:hAnsi="宋体"/>
                <w:b/>
                <w:szCs w:val="21"/>
              </w:rPr>
              <w:t>（1）评审标准</w:t>
            </w:r>
          </w:p>
          <w:p>
            <w:pPr>
              <w:snapToGrid w:val="0"/>
              <w:rPr>
                <w:rFonts w:ascii="宋体" w:hAnsi="宋体" w:cs="宋体"/>
                <w:szCs w:val="21"/>
              </w:rPr>
            </w:pPr>
            <w:r>
              <w:rPr>
                <w:rFonts w:hint="eastAsia" w:ascii="宋体" w:hAnsi="宋体" w:cs="宋体"/>
                <w:szCs w:val="21"/>
              </w:rPr>
              <w:t>根据招标文件的需求，制定贴切本项目的实施方案，方案内容包括但不限于：</w:t>
            </w:r>
          </w:p>
          <w:p>
            <w:pPr>
              <w:numPr>
                <w:ilvl w:val="0"/>
                <w:numId w:val="6"/>
              </w:numPr>
              <w:snapToGrid w:val="0"/>
              <w:rPr>
                <w:rFonts w:hint="eastAsia" w:ascii="宋体" w:hAnsi="宋体" w:cs="宋体"/>
                <w:szCs w:val="21"/>
              </w:rPr>
            </w:pPr>
            <w:r>
              <w:rPr>
                <w:rFonts w:hint="eastAsia" w:ascii="宋体" w:hAnsi="宋体" w:cs="宋体"/>
                <w:szCs w:val="21"/>
              </w:rPr>
              <w:t>工作措施</w:t>
            </w:r>
            <w:r>
              <w:rPr>
                <w:rFonts w:hint="eastAsia" w:ascii="宋体" w:hAnsi="宋体" w:cs="宋体"/>
                <w:szCs w:val="21"/>
                <w:lang w:eastAsia="zh-CN"/>
              </w:rPr>
              <w:t>；</w:t>
            </w:r>
          </w:p>
          <w:p>
            <w:pPr>
              <w:numPr>
                <w:ilvl w:val="0"/>
                <w:numId w:val="6"/>
              </w:numPr>
              <w:snapToGrid w:val="0"/>
              <w:rPr>
                <w:rFonts w:ascii="宋体" w:hAnsi="宋体" w:cs="宋体"/>
                <w:szCs w:val="21"/>
                <w:highlight w:val="none"/>
              </w:rPr>
            </w:pPr>
            <w:r>
              <w:rPr>
                <w:rFonts w:hint="eastAsia" w:ascii="宋体" w:hAnsi="宋体" w:cs="宋体"/>
                <w:szCs w:val="21"/>
                <w:highlight w:val="none"/>
              </w:rPr>
              <w:t>工作</w:t>
            </w:r>
            <w:r>
              <w:rPr>
                <w:rFonts w:hint="eastAsia" w:ascii="宋体" w:hAnsi="宋体" w:cs="宋体"/>
                <w:szCs w:val="21"/>
                <w:highlight w:val="none"/>
                <w:lang w:val="en-US" w:eastAsia="zh-CN"/>
              </w:rPr>
              <w:t>方式方法</w:t>
            </w:r>
            <w:r>
              <w:rPr>
                <w:rFonts w:hint="eastAsia" w:ascii="宋体" w:hAnsi="宋体" w:cs="宋体"/>
                <w:szCs w:val="21"/>
                <w:highlight w:val="none"/>
                <w:lang w:eastAsia="zh-CN"/>
              </w:rPr>
              <w:t>；</w:t>
            </w:r>
          </w:p>
          <w:p>
            <w:pPr>
              <w:numPr>
                <w:ilvl w:val="0"/>
                <w:numId w:val="6"/>
              </w:numPr>
              <w:snapToGrid w:val="0"/>
              <w:rPr>
                <w:rFonts w:ascii="宋体" w:hAnsi="宋体" w:cs="宋体"/>
                <w:szCs w:val="21"/>
              </w:rPr>
            </w:pPr>
            <w:r>
              <w:rPr>
                <w:rFonts w:hint="eastAsia" w:ascii="宋体" w:hAnsi="宋体" w:cs="宋体"/>
                <w:szCs w:val="21"/>
              </w:rPr>
              <w:t>工作流程</w:t>
            </w:r>
            <w:r>
              <w:rPr>
                <w:rFonts w:hint="eastAsia" w:ascii="宋体" w:hAnsi="宋体" w:cs="宋体"/>
                <w:szCs w:val="21"/>
                <w:lang w:eastAsia="zh-CN"/>
              </w:rPr>
              <w:t>；</w:t>
            </w:r>
          </w:p>
          <w:p>
            <w:pPr>
              <w:numPr>
                <w:ilvl w:val="0"/>
                <w:numId w:val="6"/>
              </w:numPr>
              <w:snapToGrid w:val="0"/>
              <w:rPr>
                <w:rFonts w:ascii="宋体" w:hAnsi="宋体" w:cs="宋体"/>
                <w:szCs w:val="21"/>
              </w:rPr>
            </w:pPr>
            <w:r>
              <w:rPr>
                <w:rFonts w:hint="eastAsia" w:ascii="宋体" w:hAnsi="宋体" w:cs="宋体"/>
                <w:szCs w:val="21"/>
              </w:rPr>
              <w:t>人员安排及管理。</w:t>
            </w:r>
          </w:p>
          <w:p>
            <w:pPr>
              <w:numPr>
                <w:ilvl w:val="0"/>
                <w:numId w:val="7"/>
              </w:numPr>
              <w:snapToGrid w:val="0"/>
              <w:rPr>
                <w:rFonts w:hint="eastAsia" w:ascii="宋体" w:hAnsi="宋体" w:cs="宋体"/>
                <w:szCs w:val="21"/>
              </w:rPr>
            </w:pPr>
            <w:r>
              <w:rPr>
                <w:rFonts w:hint="eastAsia" w:ascii="宋体" w:hAnsi="宋体" w:cs="宋体"/>
                <w:szCs w:val="21"/>
              </w:rPr>
              <w:t>根据投标人项目服务方案响应情况横向对比打分</w:t>
            </w:r>
            <w:r>
              <w:rPr>
                <w:rFonts w:hint="eastAsia" w:ascii="宋体" w:hAnsi="宋体" w:cs="宋体"/>
                <w:szCs w:val="21"/>
                <w:lang w:eastAsia="zh-CN"/>
              </w:rPr>
              <w:t>，</w:t>
            </w:r>
            <w:r>
              <w:rPr>
                <w:rFonts w:hint="eastAsia" w:ascii="宋体" w:hAnsi="宋体" w:cs="宋体"/>
                <w:szCs w:val="21"/>
              </w:rPr>
              <w:t>每达到1项得1分，最高得4分</w:t>
            </w:r>
            <w:r>
              <w:rPr>
                <w:rFonts w:hint="eastAsia" w:ascii="宋体" w:hAnsi="宋体" w:cs="宋体"/>
                <w:szCs w:val="21"/>
                <w:lang w:eastAsia="zh-CN"/>
              </w:rPr>
              <w:t>，</w:t>
            </w:r>
            <w:r>
              <w:rPr>
                <w:rFonts w:hint="eastAsia" w:ascii="宋体" w:hAnsi="宋体" w:cs="宋体"/>
                <w:szCs w:val="21"/>
              </w:rPr>
              <w:t>未提供服务方案的不得分。</w:t>
            </w:r>
          </w:p>
          <w:p>
            <w:pPr>
              <w:rPr>
                <w:rFonts w:ascii="宋体" w:hAnsi="宋体" w:cs="宋体"/>
                <w:szCs w:val="21"/>
              </w:rPr>
            </w:pPr>
            <w:r>
              <w:rPr>
                <w:rFonts w:hint="eastAsia"/>
                <w:szCs w:val="21"/>
                <w:highlight w:val="none"/>
              </w:rPr>
              <w:t>2.在此基础上，</w:t>
            </w:r>
            <w:r>
              <w:rPr>
                <w:rFonts w:hint="eastAsia" w:ascii="宋体" w:hAnsi="宋体" w:cs="宋体"/>
                <w:szCs w:val="21"/>
              </w:rPr>
              <w:t>专家根据各供应商的具体响应内容按照量化的评审因素指标进一步评审。</w:t>
            </w:r>
          </w:p>
          <w:p>
            <w:pPr>
              <w:snapToGrid w:val="0"/>
              <w:rPr>
                <w:rFonts w:ascii="宋体" w:hAnsi="宋体" w:cs="宋体"/>
                <w:szCs w:val="21"/>
              </w:rPr>
            </w:pPr>
            <w:r>
              <w:rPr>
                <w:rFonts w:hint="eastAsia"/>
                <w:szCs w:val="21"/>
                <w:highlight w:val="none"/>
              </w:rPr>
              <w:t>（1）</w:t>
            </w:r>
            <w:r>
              <w:rPr>
                <w:rFonts w:hint="eastAsia" w:ascii="宋体" w:hAnsi="宋体" w:cs="宋体"/>
                <w:szCs w:val="21"/>
              </w:rPr>
              <w:t>服务方案完善可行、内容全面具体、针对性强、可操作性强，</w:t>
            </w:r>
            <w:r>
              <w:rPr>
                <w:rFonts w:hint="eastAsia" w:ascii="宋体" w:hAnsi="宋体" w:cs="宋体"/>
                <w:szCs w:val="21"/>
                <w:lang w:val="en-US" w:eastAsia="zh-CN"/>
              </w:rPr>
              <w:t>加16</w:t>
            </w:r>
            <w:r>
              <w:rPr>
                <w:rFonts w:hint="eastAsia" w:ascii="宋体" w:hAnsi="宋体" w:cs="宋体"/>
                <w:szCs w:val="21"/>
              </w:rPr>
              <w:t>分；</w:t>
            </w:r>
          </w:p>
          <w:p>
            <w:pPr>
              <w:snapToGrid w:val="0"/>
              <w:rPr>
                <w:rFonts w:ascii="宋体" w:hAnsi="宋体" w:cs="宋体"/>
                <w:szCs w:val="21"/>
              </w:rPr>
            </w:pPr>
            <w:r>
              <w:rPr>
                <w:rFonts w:hint="eastAsia"/>
                <w:szCs w:val="21"/>
                <w:highlight w:val="none"/>
              </w:rPr>
              <w:t>（</w:t>
            </w:r>
            <w:r>
              <w:rPr>
                <w:rFonts w:hint="eastAsia"/>
                <w:szCs w:val="21"/>
                <w:highlight w:val="none"/>
                <w:lang w:val="en-US" w:eastAsia="zh-CN"/>
              </w:rPr>
              <w:t>2</w:t>
            </w:r>
            <w:r>
              <w:rPr>
                <w:rFonts w:hint="eastAsia"/>
                <w:szCs w:val="21"/>
                <w:highlight w:val="none"/>
              </w:rPr>
              <w:t>）</w:t>
            </w:r>
            <w:r>
              <w:rPr>
                <w:rFonts w:hint="eastAsia" w:ascii="宋体" w:hAnsi="宋体" w:cs="宋体"/>
                <w:szCs w:val="21"/>
              </w:rPr>
              <w:t>服务方案内容较全面、针对性较强、可操作性较强，</w:t>
            </w:r>
            <w:r>
              <w:rPr>
                <w:rFonts w:hint="eastAsia" w:ascii="宋体" w:hAnsi="宋体" w:cs="宋体"/>
                <w:szCs w:val="21"/>
                <w:lang w:val="en-US" w:eastAsia="zh-CN"/>
              </w:rPr>
              <w:t>加10</w:t>
            </w:r>
            <w:r>
              <w:rPr>
                <w:rFonts w:hint="eastAsia" w:ascii="宋体" w:hAnsi="宋体" w:cs="宋体"/>
                <w:szCs w:val="21"/>
              </w:rPr>
              <w:t>分；</w:t>
            </w:r>
          </w:p>
          <w:p>
            <w:pPr>
              <w:snapToGrid w:val="0"/>
              <w:rPr>
                <w:rFonts w:ascii="宋体" w:hAnsi="宋体" w:cs="宋体"/>
                <w:szCs w:val="21"/>
              </w:rPr>
            </w:pPr>
            <w:r>
              <w:rPr>
                <w:rFonts w:hint="eastAsia"/>
                <w:szCs w:val="21"/>
                <w:highlight w:val="none"/>
              </w:rPr>
              <w:t>（</w:t>
            </w:r>
            <w:r>
              <w:rPr>
                <w:rFonts w:hint="eastAsia"/>
                <w:szCs w:val="21"/>
                <w:highlight w:val="none"/>
                <w:lang w:val="en-US" w:eastAsia="zh-CN"/>
              </w:rPr>
              <w:t>3</w:t>
            </w:r>
            <w:r>
              <w:rPr>
                <w:rFonts w:hint="eastAsia"/>
                <w:szCs w:val="21"/>
                <w:highlight w:val="none"/>
              </w:rPr>
              <w:t>）</w:t>
            </w:r>
            <w:r>
              <w:rPr>
                <w:rFonts w:hint="eastAsia" w:ascii="宋体" w:hAnsi="宋体" w:cs="宋体"/>
                <w:szCs w:val="21"/>
              </w:rPr>
              <w:t>服务方案内容完整性、针对性、可操作性均一般，</w:t>
            </w:r>
            <w:r>
              <w:rPr>
                <w:rFonts w:hint="eastAsia" w:ascii="宋体" w:hAnsi="宋体" w:cs="宋体"/>
                <w:szCs w:val="21"/>
                <w:lang w:val="en-US" w:eastAsia="zh-CN"/>
              </w:rPr>
              <w:t>加5</w:t>
            </w:r>
            <w:r>
              <w:rPr>
                <w:rFonts w:hint="eastAsia" w:ascii="宋体" w:hAnsi="宋体" w:cs="宋体"/>
                <w:szCs w:val="21"/>
              </w:rPr>
              <w:t>分；</w:t>
            </w:r>
          </w:p>
          <w:p>
            <w:pPr>
              <w:snapToGrid w:val="0"/>
              <w:rPr>
                <w:rFonts w:ascii="宋体" w:hAnsi="宋体" w:cs="宋体"/>
                <w:szCs w:val="21"/>
              </w:rPr>
            </w:pPr>
            <w:r>
              <w:rPr>
                <w:rFonts w:hint="eastAsia"/>
                <w:szCs w:val="21"/>
                <w:highlight w:val="none"/>
              </w:rPr>
              <w:t>（</w:t>
            </w:r>
            <w:r>
              <w:rPr>
                <w:rFonts w:hint="eastAsia"/>
                <w:szCs w:val="21"/>
                <w:highlight w:val="none"/>
                <w:lang w:val="en-US" w:eastAsia="zh-CN"/>
              </w:rPr>
              <w:t>4</w:t>
            </w:r>
            <w:r>
              <w:rPr>
                <w:rFonts w:hint="eastAsia"/>
                <w:szCs w:val="21"/>
                <w:highlight w:val="none"/>
              </w:rPr>
              <w:t>）</w:t>
            </w:r>
            <w:r>
              <w:rPr>
                <w:rFonts w:hint="eastAsia" w:ascii="宋体" w:hAnsi="宋体" w:cs="宋体"/>
                <w:szCs w:val="21"/>
              </w:rPr>
              <w:t>服务方案内容不科学、不完整、针对性较弱，</w:t>
            </w:r>
            <w:r>
              <w:rPr>
                <w:rFonts w:hint="eastAsia" w:ascii="宋体" w:hAnsi="宋体" w:cs="宋体"/>
                <w:szCs w:val="21"/>
                <w:lang w:val="en-US" w:eastAsia="zh-CN"/>
              </w:rPr>
              <w:t>加2</w:t>
            </w:r>
            <w:r>
              <w:rPr>
                <w:rFonts w:hint="eastAsia" w:ascii="宋体" w:hAnsi="宋体" w:cs="宋体"/>
                <w:szCs w:val="21"/>
              </w:rPr>
              <w:t>分；</w:t>
            </w:r>
          </w:p>
          <w:p>
            <w:pPr>
              <w:snapToGrid w:val="0"/>
              <w:rPr>
                <w:rFonts w:ascii="宋体" w:hAnsi="宋体" w:cs="宋体"/>
                <w:szCs w:val="21"/>
              </w:rPr>
            </w:pPr>
            <w:r>
              <w:rPr>
                <w:rFonts w:hint="eastAsia"/>
                <w:szCs w:val="21"/>
                <w:highlight w:val="none"/>
              </w:rPr>
              <w:t>（</w:t>
            </w:r>
            <w:r>
              <w:rPr>
                <w:rFonts w:hint="eastAsia"/>
                <w:szCs w:val="21"/>
                <w:highlight w:val="none"/>
                <w:lang w:val="en-US" w:eastAsia="zh-CN"/>
              </w:rPr>
              <w:t>5</w:t>
            </w:r>
            <w:r>
              <w:rPr>
                <w:rFonts w:hint="eastAsia"/>
                <w:szCs w:val="21"/>
                <w:highlight w:val="none"/>
              </w:rPr>
              <w:t>）</w:t>
            </w:r>
            <w:r>
              <w:rPr>
                <w:rFonts w:hint="eastAsia" w:ascii="宋体" w:hAnsi="宋体" w:cs="宋体"/>
                <w:szCs w:val="21"/>
              </w:rPr>
              <w:t>不提供不得分。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80" w:type="dxa"/>
            <w:vMerge w:val="continue"/>
            <w:tcBorders>
              <w:left w:val="single" w:color="000000" w:sz="8" w:space="0"/>
              <w:right w:val="single" w:color="000000" w:sz="8" w:space="0"/>
            </w:tcBorders>
            <w:vAlign w:val="center"/>
          </w:tcPr>
          <w:p>
            <w:pPr>
              <w:pStyle w:val="10"/>
            </w:pPr>
          </w:p>
        </w:tc>
        <w:tc>
          <w:tcPr>
            <w:tcW w:w="680" w:type="dxa"/>
            <w:tcBorders>
              <w:top w:val="single" w:color="000000" w:sz="8" w:space="0"/>
              <w:left w:val="single" w:color="000000" w:sz="8" w:space="0"/>
              <w:bottom w:val="single" w:color="000000" w:sz="8" w:space="0"/>
              <w:right w:val="single" w:color="000000" w:sz="8" w:space="0"/>
            </w:tcBorders>
            <w:vAlign w:val="center"/>
          </w:tcPr>
          <w:p>
            <w:pPr>
              <w:jc w:val="center"/>
              <w:rPr>
                <w:rFonts w:cs="仿宋_GB2312" w:asciiTheme="minorEastAsia" w:hAnsiTheme="minorEastAsia" w:eastAsiaTheme="minorEastAsia"/>
                <w:szCs w:val="21"/>
                <w:lang w:val="zh-CN"/>
              </w:rPr>
            </w:pPr>
            <w:r>
              <w:rPr>
                <w:rFonts w:hint="eastAsia" w:cs="仿宋_GB2312" w:asciiTheme="minorEastAsia" w:hAnsiTheme="minorEastAsia" w:eastAsiaTheme="minorEastAsia"/>
                <w:szCs w:val="21"/>
                <w:lang w:val="zh-CN"/>
              </w:rPr>
              <w:t>2</w:t>
            </w:r>
          </w:p>
        </w:tc>
        <w:tc>
          <w:tcPr>
            <w:tcW w:w="1588" w:type="dxa"/>
            <w:tcBorders>
              <w:top w:val="single" w:color="000000" w:sz="8" w:space="0"/>
              <w:left w:val="single" w:color="000000" w:sz="8" w:space="0"/>
              <w:bottom w:val="single" w:color="000000" w:sz="8" w:space="0"/>
              <w:right w:val="single" w:color="000000" w:sz="8" w:space="0"/>
            </w:tcBorders>
            <w:vAlign w:val="center"/>
          </w:tcPr>
          <w:p>
            <w:pPr>
              <w:rPr>
                <w:rFonts w:cs="仿宋_GB2312" w:asciiTheme="minorEastAsia" w:hAnsiTheme="minorEastAsia" w:eastAsiaTheme="minorEastAsia"/>
                <w:szCs w:val="21"/>
                <w:lang w:val="zh-CN"/>
              </w:rPr>
            </w:pPr>
            <w:r>
              <w:rPr>
                <w:rFonts w:hint="eastAsia" w:cs="仿宋_GB2312" w:asciiTheme="minorEastAsia" w:hAnsiTheme="minorEastAsia" w:eastAsiaTheme="minorEastAsia"/>
                <w:szCs w:val="21"/>
                <w:lang w:val="zh-CN"/>
              </w:rPr>
              <w:t>重难点分析</w:t>
            </w:r>
            <w:r>
              <w:rPr>
                <w:rFonts w:hint="eastAsia" w:ascii="宋体" w:hAnsi="宋体" w:cs="宋体"/>
                <w:szCs w:val="21"/>
              </w:rPr>
              <w:t>、应对措施及相关的合理化建议</w:t>
            </w:r>
          </w:p>
        </w:tc>
        <w:tc>
          <w:tcPr>
            <w:tcW w:w="795"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cs="仿宋_GB2312" w:asciiTheme="minorEastAsia" w:hAnsiTheme="minorEastAsia" w:eastAsiaTheme="minorEastAsia"/>
                <w:szCs w:val="21"/>
                <w:lang w:val="zh-CN"/>
              </w:rPr>
            </w:pPr>
            <w:r>
              <w:rPr>
                <w:rFonts w:hint="eastAsia" w:ascii="宋体" w:hAnsi="宋体"/>
                <w:szCs w:val="21"/>
              </w:rPr>
              <w:t>20</w:t>
            </w:r>
          </w:p>
        </w:tc>
        <w:tc>
          <w:tcPr>
            <w:tcW w:w="5579" w:type="dxa"/>
            <w:tcBorders>
              <w:top w:val="single" w:color="000000" w:sz="8" w:space="0"/>
              <w:left w:val="single" w:color="000000" w:sz="8" w:space="0"/>
              <w:bottom w:val="single" w:color="000000" w:sz="8" w:space="0"/>
              <w:right w:val="single" w:color="000000" w:sz="8" w:space="0"/>
            </w:tcBorders>
            <w:vAlign w:val="center"/>
          </w:tcPr>
          <w:p>
            <w:pPr>
              <w:numPr>
                <w:ilvl w:val="0"/>
                <w:numId w:val="5"/>
              </w:numPr>
              <w:ind w:left="0" w:hanging="318"/>
              <w:jc w:val="left"/>
              <w:rPr>
                <w:rFonts w:ascii="宋体" w:hAnsi="宋体"/>
                <w:b/>
                <w:szCs w:val="21"/>
              </w:rPr>
            </w:pPr>
            <w:r>
              <w:rPr>
                <w:rFonts w:hint="eastAsia" w:ascii="宋体" w:hAnsi="宋体"/>
                <w:b/>
                <w:szCs w:val="21"/>
              </w:rPr>
              <w:t>（1）评审标准</w:t>
            </w:r>
          </w:p>
          <w:p>
            <w:pPr>
              <w:rPr>
                <w:rFonts w:ascii="宋体" w:hAnsi="宋体" w:cs="宋体"/>
                <w:szCs w:val="21"/>
              </w:rPr>
            </w:pPr>
            <w:r>
              <w:rPr>
                <w:rFonts w:hint="eastAsia" w:ascii="宋体" w:hAnsi="宋体" w:cs="宋体"/>
                <w:szCs w:val="21"/>
              </w:rPr>
              <w:t>投标人提供的项目重点难点分析、应对措施及相关的合理化建议须包含以下内容：</w:t>
            </w:r>
          </w:p>
          <w:p>
            <w:pPr>
              <w:rPr>
                <w:rFonts w:ascii="宋体" w:hAnsi="宋体" w:cs="宋体"/>
                <w:szCs w:val="21"/>
              </w:rPr>
            </w:pPr>
            <w:r>
              <w:rPr>
                <w:rFonts w:hint="eastAsia" w:ascii="宋体" w:hAnsi="宋体" w:cs="宋体"/>
                <w:szCs w:val="21"/>
              </w:rPr>
              <w:t>（1）提供符合本项目相关重点难点分析；</w:t>
            </w:r>
          </w:p>
          <w:p>
            <w:pPr>
              <w:rPr>
                <w:rFonts w:ascii="宋体" w:hAnsi="宋体" w:cs="宋体"/>
                <w:szCs w:val="21"/>
              </w:rPr>
            </w:pPr>
            <w:r>
              <w:rPr>
                <w:rFonts w:hint="eastAsia" w:ascii="宋体" w:hAnsi="宋体" w:cs="宋体"/>
                <w:szCs w:val="21"/>
              </w:rPr>
              <w:t>（2）针对重点难点分析提出的应对措施；</w:t>
            </w:r>
          </w:p>
          <w:p>
            <w:pPr>
              <w:rPr>
                <w:rFonts w:ascii="宋体" w:hAnsi="宋体" w:cs="宋体"/>
                <w:szCs w:val="21"/>
              </w:rPr>
            </w:pPr>
            <w:r>
              <w:rPr>
                <w:rFonts w:hint="eastAsia" w:ascii="宋体" w:hAnsi="宋体" w:cs="宋体"/>
                <w:szCs w:val="21"/>
              </w:rPr>
              <w:t>（3）结合上述内容提出相关的合理化建议。</w:t>
            </w:r>
          </w:p>
          <w:p>
            <w:pPr>
              <w:rPr>
                <w:rFonts w:ascii="宋体" w:hAnsi="宋体" w:cs="宋体"/>
                <w:szCs w:val="21"/>
              </w:rPr>
            </w:pPr>
            <w:r>
              <w:rPr>
                <w:rFonts w:hint="eastAsia" w:ascii="宋体" w:hAnsi="宋体" w:cs="宋体"/>
                <w:szCs w:val="21"/>
              </w:rPr>
              <w:t>考察以上项目重点难点分析、应对措施及相关的合理化建议，如果全部满足得10分，满足任意两点得6分，满足任意一点得3分，未满足不得分。</w:t>
            </w:r>
          </w:p>
          <w:p>
            <w:pPr>
              <w:rPr>
                <w:rFonts w:ascii="宋体" w:hAnsi="宋体" w:cs="宋体"/>
                <w:szCs w:val="21"/>
              </w:rPr>
            </w:pPr>
            <w:r>
              <w:rPr>
                <w:rFonts w:hint="eastAsia" w:ascii="宋体" w:hAnsi="宋体" w:cs="宋体"/>
                <w:szCs w:val="21"/>
              </w:rPr>
              <w:t>在此基础上，专家根据各供应商的具体响应内容按照量化的评审因素指标进一步评审。</w:t>
            </w:r>
          </w:p>
          <w:p>
            <w:pPr>
              <w:rPr>
                <w:rFonts w:ascii="宋体" w:hAnsi="宋体" w:cs="宋体"/>
                <w:szCs w:val="21"/>
              </w:rPr>
            </w:pPr>
            <w:r>
              <w:rPr>
                <w:rFonts w:hint="eastAsia" w:ascii="宋体" w:hAnsi="宋体" w:cs="宋体"/>
                <w:szCs w:val="21"/>
              </w:rPr>
              <w:t>评审为优（项目重点难点分析透彻、应对措施及相关的合理化建议完善）的加10分；</w:t>
            </w:r>
          </w:p>
          <w:p>
            <w:pPr>
              <w:rPr>
                <w:rFonts w:ascii="宋体" w:hAnsi="宋体" w:cs="宋体"/>
                <w:szCs w:val="21"/>
              </w:rPr>
            </w:pPr>
            <w:r>
              <w:rPr>
                <w:rFonts w:hint="eastAsia" w:ascii="宋体" w:hAnsi="宋体" w:cs="宋体"/>
                <w:szCs w:val="21"/>
              </w:rPr>
              <w:t>评审为良（项目重点难点分析较透彻、应对措施及相关的合理化建议较完善）的加5分；</w:t>
            </w:r>
          </w:p>
          <w:p>
            <w:pPr>
              <w:rPr>
                <w:rFonts w:ascii="宋体" w:hAnsi="宋体" w:cs="宋体"/>
                <w:szCs w:val="21"/>
              </w:rPr>
            </w:pPr>
            <w:r>
              <w:rPr>
                <w:rFonts w:hint="eastAsia" w:ascii="宋体" w:hAnsi="宋体" w:cs="宋体"/>
                <w:szCs w:val="21"/>
              </w:rPr>
              <w:t>评审为中（项目重点难点分析一般、应对措施及相关的合理化建议一般）的加3分；</w:t>
            </w:r>
          </w:p>
          <w:p>
            <w:pPr>
              <w:rPr>
                <w:rFonts w:ascii="宋体" w:hAnsi="宋体" w:cs="宋体"/>
                <w:szCs w:val="21"/>
              </w:rPr>
            </w:pPr>
            <w:r>
              <w:rPr>
                <w:rFonts w:hint="eastAsia" w:ascii="宋体" w:hAnsi="宋体" w:cs="宋体"/>
                <w:szCs w:val="21"/>
              </w:rPr>
              <w:t>不提供不得分。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80" w:type="dxa"/>
            <w:vMerge w:val="continue"/>
            <w:tcBorders>
              <w:left w:val="single" w:color="000000" w:sz="8" w:space="0"/>
              <w:right w:val="single" w:color="000000" w:sz="8" w:space="0"/>
            </w:tcBorders>
            <w:vAlign w:val="center"/>
          </w:tcPr>
          <w:p>
            <w:pPr>
              <w:pStyle w:val="10"/>
            </w:pPr>
          </w:p>
        </w:tc>
        <w:tc>
          <w:tcPr>
            <w:tcW w:w="680" w:type="dxa"/>
            <w:tcBorders>
              <w:top w:val="single" w:color="000000" w:sz="8" w:space="0"/>
              <w:left w:val="single" w:color="000000" w:sz="8" w:space="0"/>
              <w:bottom w:val="single" w:color="000000" w:sz="8" w:space="0"/>
              <w:right w:val="single" w:color="000000" w:sz="8" w:space="0"/>
            </w:tcBorders>
            <w:vAlign w:val="center"/>
          </w:tcPr>
          <w:p>
            <w:pPr>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3</w:t>
            </w:r>
          </w:p>
        </w:tc>
        <w:tc>
          <w:tcPr>
            <w:tcW w:w="1588" w:type="dxa"/>
            <w:tcBorders>
              <w:top w:val="single" w:color="000000" w:sz="8" w:space="0"/>
              <w:left w:val="single" w:color="000000" w:sz="8" w:space="0"/>
              <w:bottom w:val="single" w:color="000000" w:sz="8" w:space="0"/>
              <w:right w:val="single" w:color="000000" w:sz="8" w:space="0"/>
            </w:tcBorders>
            <w:vAlign w:val="center"/>
          </w:tcPr>
          <w:p>
            <w:pPr>
              <w:rPr>
                <w:rFonts w:cs="仿宋_GB2312" w:asciiTheme="minorEastAsia" w:hAnsiTheme="minorEastAsia" w:eastAsiaTheme="minorEastAsia"/>
                <w:szCs w:val="21"/>
                <w:lang w:val="zh-CN"/>
              </w:rPr>
            </w:pPr>
            <w:r>
              <w:rPr>
                <w:rFonts w:hint="eastAsia" w:cs="仿宋_GB2312" w:asciiTheme="minorEastAsia" w:hAnsiTheme="minorEastAsia" w:eastAsiaTheme="minorEastAsia"/>
                <w:szCs w:val="21"/>
                <w:lang w:val="zh-CN"/>
              </w:rPr>
              <w:t>拟安排的项目负责人情况(仅限1人）</w:t>
            </w:r>
          </w:p>
        </w:tc>
        <w:tc>
          <w:tcPr>
            <w:tcW w:w="795" w:type="dxa"/>
            <w:tcBorders>
              <w:top w:val="single" w:color="000000" w:sz="8" w:space="0"/>
              <w:left w:val="single" w:color="000000" w:sz="8" w:space="0"/>
              <w:bottom w:val="single" w:color="000000" w:sz="8" w:space="0"/>
              <w:right w:val="single" w:color="000000" w:sz="8" w:space="0"/>
            </w:tcBorders>
            <w:vAlign w:val="center"/>
          </w:tcPr>
          <w:p>
            <w:pPr>
              <w:jc w:val="center"/>
              <w:rPr>
                <w:rFonts w:cs="仿宋_GB2312" w:asciiTheme="minorEastAsia" w:hAnsiTheme="minorEastAsia" w:eastAsiaTheme="minorEastAsia"/>
                <w:szCs w:val="21"/>
              </w:rPr>
            </w:pPr>
            <w:r>
              <w:rPr>
                <w:rFonts w:hint="eastAsia" w:ascii="宋体" w:hAnsi="宋体" w:cs="宋体"/>
                <w:szCs w:val="21"/>
              </w:rPr>
              <w:t>5</w:t>
            </w:r>
          </w:p>
        </w:tc>
        <w:tc>
          <w:tcPr>
            <w:tcW w:w="5579" w:type="dxa"/>
            <w:tcBorders>
              <w:top w:val="single" w:color="000000" w:sz="8" w:space="0"/>
              <w:left w:val="single" w:color="000000" w:sz="8" w:space="0"/>
              <w:bottom w:val="single" w:color="000000" w:sz="8" w:space="0"/>
              <w:right w:val="single" w:color="000000" w:sz="8" w:space="0"/>
            </w:tcBorders>
            <w:vAlign w:val="center"/>
          </w:tcPr>
          <w:p>
            <w:pPr>
              <w:rPr>
                <w:rFonts w:cs="仿宋_GB2312" w:asciiTheme="minorEastAsia" w:hAnsiTheme="minorEastAsia" w:eastAsiaTheme="minorEastAsia"/>
                <w:b/>
                <w:bCs/>
                <w:szCs w:val="21"/>
              </w:rPr>
            </w:pPr>
            <w:r>
              <w:rPr>
                <w:rFonts w:hint="eastAsia" w:cs="仿宋_GB2312" w:asciiTheme="minorEastAsia" w:hAnsiTheme="minorEastAsia" w:eastAsiaTheme="minorEastAsia"/>
                <w:b/>
                <w:bCs/>
                <w:szCs w:val="21"/>
              </w:rPr>
              <w:t>（1）评审标准</w:t>
            </w:r>
          </w:p>
          <w:p>
            <w:pPr>
              <w:rPr>
                <w:rFonts w:cs="仿宋_GB2312" w:asciiTheme="minorEastAsia" w:hAnsiTheme="minorEastAsia" w:eastAsiaTheme="minorEastAsia"/>
                <w:szCs w:val="21"/>
                <w:lang w:val="zh-CN"/>
              </w:rPr>
            </w:pPr>
            <w:r>
              <w:rPr>
                <w:rFonts w:hint="eastAsia" w:cs="仿宋_GB2312" w:asciiTheme="minorEastAsia" w:hAnsiTheme="minorEastAsia" w:eastAsiaTheme="minorEastAsia"/>
                <w:szCs w:val="21"/>
                <w:lang w:val="zh-CN"/>
              </w:rPr>
              <w:t>①</w:t>
            </w:r>
            <w:r>
              <w:rPr>
                <w:rFonts w:cs="仿宋_GB2312" w:asciiTheme="minorEastAsia" w:hAnsiTheme="minorEastAsia" w:eastAsiaTheme="minorEastAsia"/>
                <w:szCs w:val="21"/>
                <w:lang w:val="zh-CN"/>
              </w:rPr>
              <w:t>具有博士学位得</w:t>
            </w:r>
            <w:r>
              <w:rPr>
                <w:rFonts w:hint="eastAsia" w:cs="仿宋_GB2312" w:asciiTheme="minorEastAsia" w:hAnsiTheme="minorEastAsia" w:eastAsiaTheme="minorEastAsia"/>
                <w:szCs w:val="21"/>
                <w:lang w:val="zh-CN"/>
              </w:rPr>
              <w:t>2分</w:t>
            </w:r>
            <w:r>
              <w:rPr>
                <w:rFonts w:cs="仿宋_GB2312" w:asciiTheme="minorEastAsia" w:hAnsiTheme="minorEastAsia" w:eastAsiaTheme="minorEastAsia"/>
                <w:szCs w:val="21"/>
                <w:lang w:val="zh-CN"/>
              </w:rPr>
              <w:t>，具有硕士研究生学位得</w:t>
            </w:r>
            <w:r>
              <w:rPr>
                <w:rFonts w:hint="eastAsia" w:cs="仿宋_GB2312" w:asciiTheme="minorEastAsia" w:hAnsiTheme="minorEastAsia" w:eastAsiaTheme="minorEastAsia"/>
                <w:szCs w:val="21"/>
                <w:lang w:val="zh-CN"/>
              </w:rPr>
              <w:t>1分</w:t>
            </w:r>
            <w:r>
              <w:rPr>
                <w:rFonts w:cs="仿宋_GB2312" w:asciiTheme="minorEastAsia" w:hAnsiTheme="minorEastAsia" w:eastAsiaTheme="minorEastAsia"/>
                <w:szCs w:val="21"/>
                <w:lang w:val="zh-CN"/>
              </w:rPr>
              <w:t>，其他情况不得分；</w:t>
            </w:r>
          </w:p>
          <w:p>
            <w:pPr>
              <w:rPr>
                <w:rFonts w:cs="仿宋_GB2312" w:asciiTheme="minorEastAsia" w:hAnsiTheme="minorEastAsia" w:eastAsiaTheme="minorEastAsia"/>
                <w:szCs w:val="21"/>
                <w:lang w:val="zh-CN"/>
              </w:rPr>
            </w:pPr>
            <w:r>
              <w:rPr>
                <w:rFonts w:hint="eastAsia" w:cs="仿宋_GB2312" w:asciiTheme="minorEastAsia" w:hAnsiTheme="minorEastAsia" w:eastAsiaTheme="minorEastAsia"/>
                <w:szCs w:val="21"/>
                <w:lang w:val="zh-CN"/>
              </w:rPr>
              <w:t>②</w:t>
            </w:r>
            <w:r>
              <w:rPr>
                <w:rFonts w:cs="仿宋_GB2312" w:asciiTheme="minorEastAsia" w:hAnsiTheme="minorEastAsia" w:eastAsiaTheme="minorEastAsia"/>
                <w:szCs w:val="21"/>
                <w:lang w:val="zh-CN"/>
              </w:rPr>
              <w:t>具有建设工程类专业正高级工程师职称得</w:t>
            </w:r>
            <w:r>
              <w:rPr>
                <w:rFonts w:hint="eastAsia" w:cs="仿宋_GB2312" w:asciiTheme="minorEastAsia" w:hAnsiTheme="minorEastAsia" w:eastAsiaTheme="minorEastAsia"/>
                <w:szCs w:val="21"/>
                <w:lang w:val="zh-CN"/>
              </w:rPr>
              <w:t>2分</w:t>
            </w:r>
            <w:r>
              <w:rPr>
                <w:rFonts w:cs="仿宋_GB2312" w:asciiTheme="minorEastAsia" w:hAnsiTheme="minorEastAsia" w:eastAsiaTheme="minorEastAsia"/>
                <w:szCs w:val="21"/>
                <w:lang w:val="zh-CN"/>
              </w:rPr>
              <w:t>，具有建设工程类专业副高级工程师职称得</w:t>
            </w:r>
            <w:r>
              <w:rPr>
                <w:rFonts w:hint="eastAsia" w:cs="仿宋_GB2312" w:asciiTheme="minorEastAsia" w:hAnsiTheme="minorEastAsia" w:eastAsiaTheme="minorEastAsia"/>
                <w:szCs w:val="21"/>
                <w:lang w:val="zh-CN"/>
              </w:rPr>
              <w:t>1分</w:t>
            </w:r>
            <w:r>
              <w:rPr>
                <w:rFonts w:cs="仿宋_GB2312" w:asciiTheme="minorEastAsia" w:hAnsiTheme="minorEastAsia" w:eastAsiaTheme="minorEastAsia"/>
                <w:szCs w:val="21"/>
                <w:lang w:val="zh-CN"/>
              </w:rPr>
              <w:t>，其他情况不得分；</w:t>
            </w:r>
          </w:p>
          <w:p>
            <w:pPr>
              <w:rPr>
                <w:rFonts w:cs="仿宋_GB2312" w:asciiTheme="minorEastAsia" w:hAnsiTheme="minorEastAsia" w:eastAsiaTheme="minorEastAsia"/>
                <w:szCs w:val="21"/>
                <w:lang w:val="zh-CN"/>
              </w:rPr>
            </w:pPr>
            <w:r>
              <w:rPr>
                <w:rFonts w:hint="eastAsia" w:cs="仿宋_GB2312" w:asciiTheme="minorEastAsia" w:hAnsiTheme="minorEastAsia" w:eastAsiaTheme="minorEastAsia"/>
                <w:szCs w:val="21"/>
                <w:lang w:val="zh-CN"/>
              </w:rPr>
              <w:t>③</w:t>
            </w:r>
            <w:r>
              <w:rPr>
                <w:rFonts w:cs="仿宋_GB2312" w:asciiTheme="minorEastAsia" w:hAnsiTheme="minorEastAsia" w:eastAsiaTheme="minorEastAsia"/>
                <w:szCs w:val="21"/>
                <w:lang w:val="zh-CN"/>
              </w:rPr>
              <w:t>具有一级注册结构工程师证书得</w:t>
            </w:r>
            <w:r>
              <w:rPr>
                <w:rFonts w:hint="eastAsia" w:cs="仿宋_GB2312" w:asciiTheme="minorEastAsia" w:hAnsiTheme="minorEastAsia" w:eastAsiaTheme="minorEastAsia"/>
                <w:szCs w:val="21"/>
                <w:lang w:val="zh-CN"/>
              </w:rPr>
              <w:t>1分</w:t>
            </w:r>
            <w:r>
              <w:rPr>
                <w:rFonts w:cs="仿宋_GB2312" w:asciiTheme="minorEastAsia" w:hAnsiTheme="minorEastAsia" w:eastAsiaTheme="minorEastAsia"/>
                <w:szCs w:val="21"/>
                <w:lang w:val="zh-CN"/>
              </w:rPr>
              <w:t>，其他情况不得分</w:t>
            </w:r>
            <w:r>
              <w:rPr>
                <w:rFonts w:hint="eastAsia" w:cs="仿宋_GB2312" w:asciiTheme="minorEastAsia" w:hAnsiTheme="minorEastAsia" w:eastAsiaTheme="minorEastAsia"/>
                <w:szCs w:val="21"/>
                <w:lang w:val="zh-CN"/>
              </w:rPr>
              <w:t>。</w:t>
            </w:r>
          </w:p>
          <w:p>
            <w:pPr>
              <w:rPr>
                <w:rFonts w:cs="仿宋_GB2312" w:asciiTheme="minorEastAsia" w:hAnsiTheme="minorEastAsia" w:eastAsiaTheme="minorEastAsia"/>
                <w:b/>
                <w:bCs/>
                <w:szCs w:val="21"/>
                <w:lang w:val="zh-CN"/>
              </w:rPr>
            </w:pPr>
            <w:r>
              <w:rPr>
                <w:rFonts w:hint="eastAsia" w:cs="仿宋_GB2312" w:asciiTheme="minorEastAsia" w:hAnsiTheme="minorEastAsia" w:eastAsiaTheme="minorEastAsia"/>
                <w:b/>
                <w:bCs/>
                <w:szCs w:val="21"/>
              </w:rPr>
              <w:t>（2）证明文件</w:t>
            </w:r>
          </w:p>
          <w:p>
            <w:pPr>
              <w:rPr>
                <w:rFonts w:cs="仿宋_GB2312" w:asciiTheme="minorEastAsia" w:hAnsiTheme="minorEastAsia" w:eastAsiaTheme="minorEastAsia"/>
                <w:szCs w:val="21"/>
                <w:lang w:val="zh-CN"/>
              </w:rPr>
            </w:pPr>
            <w:r>
              <w:rPr>
                <w:rFonts w:hint="eastAsia" w:cs="仿宋_GB2312" w:asciiTheme="minorEastAsia" w:hAnsiTheme="minorEastAsia" w:eastAsiaTheme="minorEastAsia"/>
                <w:szCs w:val="21"/>
                <w:lang w:val="zh-CN"/>
              </w:rPr>
              <w:t>1.要求提供职称证书、资质证书、以及投标前投标人为其缴纳的社保部门颁发的</w:t>
            </w:r>
            <w:r>
              <w:rPr>
                <w:rFonts w:hint="eastAsia" w:cs="仿宋_GB2312" w:asciiTheme="minorEastAsia" w:hAnsiTheme="minorEastAsia" w:eastAsiaTheme="minorEastAsia"/>
                <w:szCs w:val="21"/>
              </w:rPr>
              <w:t>3</w:t>
            </w:r>
            <w:r>
              <w:rPr>
                <w:rFonts w:hint="eastAsia" w:cs="仿宋_GB2312" w:asciiTheme="minorEastAsia" w:hAnsiTheme="minorEastAsia" w:eastAsiaTheme="minorEastAsia"/>
                <w:szCs w:val="21"/>
                <w:lang w:val="zh-CN"/>
              </w:rPr>
              <w:t>个月（2023年</w:t>
            </w:r>
            <w:r>
              <w:rPr>
                <w:rFonts w:hint="eastAsia" w:cs="仿宋_GB2312" w:asciiTheme="minorEastAsia" w:hAnsiTheme="minorEastAsia" w:eastAsiaTheme="minorEastAsia"/>
                <w:szCs w:val="21"/>
                <w:lang w:val="en-US" w:eastAsia="zh-CN"/>
              </w:rPr>
              <w:t>8</w:t>
            </w:r>
            <w:r>
              <w:rPr>
                <w:rFonts w:hint="eastAsia" w:cs="仿宋_GB2312" w:asciiTheme="minorEastAsia" w:hAnsiTheme="minorEastAsia" w:eastAsiaTheme="minorEastAsia"/>
                <w:szCs w:val="21"/>
                <w:lang w:val="zh-CN"/>
              </w:rPr>
              <w:t>月至2023年</w:t>
            </w:r>
            <w:r>
              <w:rPr>
                <w:rFonts w:hint="eastAsia" w:cs="仿宋_GB2312" w:asciiTheme="minorEastAsia" w:hAnsiTheme="minorEastAsia" w:eastAsiaTheme="minorEastAsia"/>
                <w:szCs w:val="21"/>
                <w:lang w:val="en-US" w:eastAsia="zh-CN"/>
              </w:rPr>
              <w:t>10</w:t>
            </w:r>
            <w:r>
              <w:rPr>
                <w:rFonts w:hint="eastAsia" w:cs="仿宋_GB2312" w:asciiTheme="minorEastAsia" w:hAnsiTheme="minorEastAsia" w:eastAsiaTheme="minorEastAsia"/>
                <w:szCs w:val="21"/>
                <w:lang w:val="zh-CN"/>
              </w:rPr>
              <w:t>月）社保清单作为得分依据，若企业成立不足三个月则提供承诺函，承诺自有员工（格式自拟）。</w:t>
            </w:r>
          </w:p>
          <w:p>
            <w:pPr>
              <w:rPr>
                <w:rFonts w:cs="仿宋_GB2312" w:asciiTheme="minorEastAsia" w:hAnsiTheme="minorEastAsia" w:eastAsiaTheme="minorEastAsia"/>
                <w:szCs w:val="21"/>
                <w:lang w:val="zh-CN"/>
              </w:rPr>
            </w:pPr>
            <w:r>
              <w:rPr>
                <w:rFonts w:hint="eastAsia" w:cs="仿宋_GB2312" w:asciiTheme="minorEastAsia" w:hAnsiTheme="minorEastAsia" w:eastAsiaTheme="minorEastAsia"/>
                <w:szCs w:val="21"/>
                <w:lang w:val="zh-CN"/>
              </w:rPr>
              <w:t>2. 以上资料均要求提供复印件或扫描件，原件备查。评分中出现无证明资料或专家无法凭所提供资料判断是否得分的情况，一律作不得分处理。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80" w:type="dxa"/>
            <w:tcBorders>
              <w:left w:val="single" w:color="000000" w:sz="8" w:space="0"/>
              <w:right w:val="single" w:color="000000" w:sz="8" w:space="0"/>
            </w:tcBorders>
            <w:vAlign w:val="center"/>
          </w:tcPr>
          <w:p>
            <w:pPr>
              <w:pStyle w:val="10"/>
            </w:pPr>
          </w:p>
        </w:tc>
        <w:tc>
          <w:tcPr>
            <w:tcW w:w="680" w:type="dxa"/>
            <w:tcBorders>
              <w:top w:val="single" w:color="000000" w:sz="8" w:space="0"/>
              <w:left w:val="single" w:color="000000" w:sz="8" w:space="0"/>
              <w:bottom w:val="single" w:color="000000" w:sz="8" w:space="0"/>
              <w:right w:val="single" w:color="000000" w:sz="8" w:space="0"/>
            </w:tcBorders>
            <w:vAlign w:val="center"/>
          </w:tcPr>
          <w:p>
            <w:pPr>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4</w:t>
            </w:r>
          </w:p>
        </w:tc>
        <w:tc>
          <w:tcPr>
            <w:tcW w:w="1588" w:type="dxa"/>
            <w:tcBorders>
              <w:top w:val="single" w:color="000000" w:sz="8" w:space="0"/>
              <w:left w:val="single" w:color="000000" w:sz="8" w:space="0"/>
              <w:bottom w:val="single" w:color="000000" w:sz="8" w:space="0"/>
              <w:right w:val="single" w:color="000000" w:sz="8" w:space="0"/>
            </w:tcBorders>
            <w:vAlign w:val="center"/>
          </w:tcPr>
          <w:p>
            <w:pPr>
              <w:rPr>
                <w:rFonts w:cs="仿宋_GB2312" w:asciiTheme="minorEastAsia" w:hAnsiTheme="minorEastAsia" w:eastAsiaTheme="minorEastAsia"/>
                <w:szCs w:val="21"/>
                <w:lang w:val="zh-CN"/>
              </w:rPr>
            </w:pPr>
            <w:r>
              <w:rPr>
                <w:rFonts w:hint="eastAsia" w:cs="仿宋_GB2312" w:asciiTheme="minorEastAsia" w:hAnsiTheme="minorEastAsia" w:eastAsiaTheme="minorEastAsia"/>
                <w:szCs w:val="21"/>
                <w:lang w:val="zh-CN"/>
              </w:rPr>
              <w:t>拟安排的项目团队成员情况（项目负责人除外）</w:t>
            </w:r>
          </w:p>
        </w:tc>
        <w:tc>
          <w:tcPr>
            <w:tcW w:w="795" w:type="dxa"/>
            <w:tcBorders>
              <w:top w:val="single" w:color="000000" w:sz="8" w:space="0"/>
              <w:left w:val="single" w:color="000000" w:sz="8" w:space="0"/>
              <w:bottom w:val="single" w:color="000000" w:sz="8" w:space="0"/>
              <w:right w:val="single" w:color="000000" w:sz="8" w:space="0"/>
            </w:tcBorders>
            <w:vAlign w:val="center"/>
          </w:tcPr>
          <w:p>
            <w:pPr>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10</w:t>
            </w:r>
          </w:p>
        </w:tc>
        <w:tc>
          <w:tcPr>
            <w:tcW w:w="5579" w:type="dxa"/>
            <w:tcBorders>
              <w:top w:val="single" w:color="000000" w:sz="8" w:space="0"/>
              <w:left w:val="single" w:color="000000" w:sz="8" w:space="0"/>
              <w:bottom w:val="single" w:color="000000" w:sz="8" w:space="0"/>
              <w:right w:val="single" w:color="000000" w:sz="8" w:space="0"/>
            </w:tcBorders>
            <w:vAlign w:val="center"/>
          </w:tcPr>
          <w:p>
            <w:pPr>
              <w:rPr>
                <w:rFonts w:cs="仿宋_GB2312" w:asciiTheme="minorEastAsia" w:hAnsiTheme="minorEastAsia" w:eastAsiaTheme="minorEastAsia"/>
                <w:b/>
                <w:bCs/>
                <w:szCs w:val="21"/>
              </w:rPr>
            </w:pPr>
            <w:r>
              <w:rPr>
                <w:rFonts w:hint="eastAsia" w:cs="仿宋_GB2312" w:asciiTheme="minorEastAsia" w:hAnsiTheme="minorEastAsia" w:eastAsiaTheme="minorEastAsia"/>
                <w:b/>
                <w:bCs/>
                <w:szCs w:val="21"/>
              </w:rPr>
              <w:t>（1）评审标准</w:t>
            </w:r>
          </w:p>
          <w:p>
            <w:pPr>
              <w:pStyle w:val="48"/>
              <w:numPr>
                <w:ilvl w:val="255"/>
                <w:numId w:val="0"/>
              </w:numPr>
              <w:rPr>
                <w:rFonts w:cs="仿宋_GB2312" w:asciiTheme="minorEastAsia" w:hAnsiTheme="minorEastAsia" w:eastAsiaTheme="minorEastAsia"/>
                <w:szCs w:val="21"/>
                <w:lang w:val="zh-CN"/>
              </w:rPr>
            </w:pPr>
            <w:r>
              <w:rPr>
                <w:rFonts w:hint="eastAsia" w:cs="仿宋_GB2312" w:asciiTheme="minorEastAsia" w:hAnsiTheme="minorEastAsia" w:eastAsiaTheme="minorEastAsia"/>
                <w:szCs w:val="21"/>
              </w:rPr>
              <w:t>1.</w:t>
            </w:r>
            <w:r>
              <w:rPr>
                <w:rFonts w:cs="仿宋_GB2312" w:asciiTheme="minorEastAsia" w:hAnsiTheme="minorEastAsia" w:eastAsiaTheme="minorEastAsia"/>
                <w:szCs w:val="21"/>
                <w:lang w:val="zh-CN"/>
              </w:rPr>
              <w:t>拟派检测团队中（不含项目负责人）从事相关检测工作10年以上并具有</w:t>
            </w:r>
            <w:r>
              <w:rPr>
                <w:rFonts w:hint="eastAsia" w:cs="仿宋_GB2312" w:asciiTheme="minorEastAsia" w:hAnsiTheme="minorEastAsia" w:eastAsiaTheme="minorEastAsia"/>
                <w:szCs w:val="21"/>
                <w:lang w:val="zh-CN"/>
              </w:rPr>
              <w:t>一级</w:t>
            </w:r>
            <w:r>
              <w:rPr>
                <w:rFonts w:hint="eastAsia" w:cs="仿宋_GB2312" w:asciiTheme="minorEastAsia" w:hAnsiTheme="minorEastAsia" w:eastAsiaTheme="minorEastAsia"/>
                <w:szCs w:val="21"/>
                <w:lang w:val="en-US" w:eastAsia="zh-CN"/>
              </w:rPr>
              <w:t>注</w:t>
            </w:r>
            <w:r>
              <w:rPr>
                <w:rFonts w:cs="仿宋_GB2312" w:asciiTheme="minorEastAsia" w:hAnsiTheme="minorEastAsia" w:eastAsiaTheme="minorEastAsia"/>
                <w:szCs w:val="21"/>
                <w:lang w:val="zh-CN"/>
              </w:rPr>
              <w:t>册结构工程师证书，每有一人得</w:t>
            </w:r>
            <w:r>
              <w:rPr>
                <w:rFonts w:hint="eastAsia" w:cs="仿宋_GB2312" w:asciiTheme="minorEastAsia" w:hAnsiTheme="minorEastAsia" w:eastAsiaTheme="minorEastAsia"/>
                <w:szCs w:val="21"/>
                <w:lang w:val="zh-CN"/>
              </w:rPr>
              <w:t>2分</w:t>
            </w:r>
            <w:r>
              <w:rPr>
                <w:rFonts w:cs="仿宋_GB2312" w:asciiTheme="minorEastAsia" w:hAnsiTheme="minorEastAsia" w:eastAsiaTheme="minorEastAsia"/>
                <w:szCs w:val="21"/>
                <w:lang w:val="zh-CN"/>
              </w:rPr>
              <w:t>，此项满分得</w:t>
            </w:r>
            <w:r>
              <w:rPr>
                <w:rFonts w:hint="eastAsia" w:cs="仿宋_GB2312" w:asciiTheme="minorEastAsia" w:hAnsiTheme="minorEastAsia" w:eastAsiaTheme="minorEastAsia"/>
                <w:szCs w:val="21"/>
                <w:lang w:val="zh-CN"/>
              </w:rPr>
              <w:t>4分</w:t>
            </w:r>
            <w:r>
              <w:rPr>
                <w:rFonts w:cs="仿宋_GB2312" w:asciiTheme="minorEastAsia" w:hAnsiTheme="minorEastAsia" w:eastAsiaTheme="minorEastAsia"/>
                <w:szCs w:val="21"/>
                <w:lang w:val="zh-CN"/>
              </w:rPr>
              <w:t>。</w:t>
            </w:r>
          </w:p>
          <w:p>
            <w:pPr>
              <w:pStyle w:val="48"/>
              <w:numPr>
                <w:ilvl w:val="255"/>
                <w:numId w:val="0"/>
              </w:numPr>
              <w:rPr>
                <w:rFonts w:cs="仿宋_GB2312" w:asciiTheme="minorEastAsia" w:hAnsiTheme="minorEastAsia" w:eastAsiaTheme="minorEastAsia"/>
                <w:szCs w:val="21"/>
                <w:lang w:val="zh-CN"/>
              </w:rPr>
            </w:pPr>
            <w:r>
              <w:rPr>
                <w:rFonts w:hint="eastAsia" w:cs="仿宋_GB2312" w:asciiTheme="minorEastAsia" w:hAnsiTheme="minorEastAsia" w:eastAsiaTheme="minorEastAsia"/>
                <w:szCs w:val="21"/>
              </w:rPr>
              <w:t>2.</w:t>
            </w:r>
            <w:r>
              <w:rPr>
                <w:rFonts w:cs="仿宋_GB2312" w:asciiTheme="minorEastAsia" w:hAnsiTheme="minorEastAsia" w:eastAsiaTheme="minorEastAsia"/>
                <w:szCs w:val="21"/>
                <w:lang w:val="zh-CN"/>
              </w:rPr>
              <w:t>拟派检测团队中（不含项目负责人）具有（建筑类、结构类）副高级工程师或以上职称，每有一人得</w:t>
            </w:r>
            <w:r>
              <w:rPr>
                <w:rFonts w:hint="eastAsia" w:cs="仿宋_GB2312" w:asciiTheme="minorEastAsia" w:hAnsiTheme="minorEastAsia" w:eastAsiaTheme="minorEastAsia"/>
                <w:szCs w:val="21"/>
                <w:lang w:val="zh-CN"/>
              </w:rPr>
              <w:t>1分</w:t>
            </w:r>
            <w:r>
              <w:rPr>
                <w:rFonts w:cs="仿宋_GB2312" w:asciiTheme="minorEastAsia" w:hAnsiTheme="minorEastAsia" w:eastAsiaTheme="minorEastAsia"/>
                <w:szCs w:val="21"/>
                <w:lang w:val="zh-CN"/>
              </w:rPr>
              <w:t>，此项满分得</w:t>
            </w:r>
            <w:r>
              <w:rPr>
                <w:rFonts w:hint="eastAsia" w:cs="仿宋_GB2312" w:asciiTheme="minorEastAsia" w:hAnsiTheme="minorEastAsia" w:eastAsiaTheme="minorEastAsia"/>
                <w:szCs w:val="21"/>
                <w:lang w:val="zh-CN"/>
              </w:rPr>
              <w:t>4分</w:t>
            </w:r>
            <w:r>
              <w:rPr>
                <w:rFonts w:cs="仿宋_GB2312" w:asciiTheme="minorEastAsia" w:hAnsiTheme="minorEastAsia" w:eastAsiaTheme="minorEastAsia"/>
                <w:szCs w:val="21"/>
                <w:lang w:val="zh-CN"/>
              </w:rPr>
              <w:t>。</w:t>
            </w:r>
          </w:p>
          <w:p>
            <w:pPr>
              <w:pStyle w:val="48"/>
              <w:numPr>
                <w:ilvl w:val="255"/>
                <w:numId w:val="0"/>
              </w:numPr>
              <w:rPr>
                <w:rFonts w:cs="仿宋_GB2312" w:asciiTheme="minorEastAsia" w:hAnsiTheme="minorEastAsia" w:eastAsiaTheme="minorEastAsia"/>
                <w:szCs w:val="21"/>
                <w:lang w:val="zh-CN"/>
              </w:rPr>
            </w:pPr>
            <w:r>
              <w:rPr>
                <w:rFonts w:hint="eastAsia" w:cs="仿宋_GB2312" w:asciiTheme="minorEastAsia" w:hAnsiTheme="minorEastAsia" w:eastAsiaTheme="minorEastAsia"/>
                <w:szCs w:val="21"/>
              </w:rPr>
              <w:t>3.</w:t>
            </w:r>
            <w:r>
              <w:rPr>
                <w:rFonts w:cs="仿宋_GB2312" w:asciiTheme="minorEastAsia" w:hAnsiTheme="minorEastAsia" w:eastAsiaTheme="minorEastAsia"/>
                <w:szCs w:val="21"/>
                <w:lang w:val="zh-CN"/>
              </w:rPr>
              <w:t>拟派检测团队中（不含项目负责人）具有（建筑类、结构类）</w:t>
            </w:r>
            <w:r>
              <w:rPr>
                <w:rFonts w:hint="eastAsia" w:cs="仿宋_GB2312" w:asciiTheme="minorEastAsia" w:hAnsiTheme="minorEastAsia" w:eastAsiaTheme="minorEastAsia"/>
                <w:szCs w:val="21"/>
                <w:lang w:val="zh-CN"/>
              </w:rPr>
              <w:t>中级</w:t>
            </w:r>
            <w:r>
              <w:rPr>
                <w:rFonts w:cs="仿宋_GB2312" w:asciiTheme="minorEastAsia" w:hAnsiTheme="minorEastAsia" w:eastAsiaTheme="minorEastAsia"/>
                <w:szCs w:val="21"/>
                <w:lang w:val="zh-CN"/>
              </w:rPr>
              <w:t>工程师或以上职称，每有一人得</w:t>
            </w:r>
            <w:r>
              <w:rPr>
                <w:rFonts w:hint="eastAsia" w:cs="仿宋_GB2312" w:asciiTheme="minorEastAsia" w:hAnsiTheme="minorEastAsia" w:eastAsiaTheme="minorEastAsia"/>
                <w:szCs w:val="21"/>
                <w:lang w:val="zh-CN"/>
              </w:rPr>
              <w:t>0.5分</w:t>
            </w:r>
            <w:r>
              <w:rPr>
                <w:rFonts w:cs="仿宋_GB2312" w:asciiTheme="minorEastAsia" w:hAnsiTheme="minorEastAsia" w:eastAsiaTheme="minorEastAsia"/>
                <w:szCs w:val="21"/>
                <w:lang w:val="zh-CN"/>
              </w:rPr>
              <w:t>，此项满分得</w:t>
            </w:r>
            <w:r>
              <w:rPr>
                <w:rFonts w:hint="eastAsia" w:cs="仿宋_GB2312" w:asciiTheme="minorEastAsia" w:hAnsiTheme="minorEastAsia" w:eastAsiaTheme="minorEastAsia"/>
                <w:szCs w:val="21"/>
                <w:lang w:val="zh-CN"/>
              </w:rPr>
              <w:t>2分</w:t>
            </w:r>
            <w:r>
              <w:rPr>
                <w:rFonts w:cs="仿宋_GB2312" w:asciiTheme="minorEastAsia" w:hAnsiTheme="minorEastAsia" w:eastAsiaTheme="minorEastAsia"/>
                <w:szCs w:val="21"/>
                <w:lang w:val="zh-CN"/>
              </w:rPr>
              <w:t>。</w:t>
            </w:r>
          </w:p>
          <w:p>
            <w:pPr>
              <w:rPr>
                <w:rFonts w:cs="仿宋_GB2312" w:asciiTheme="minorEastAsia" w:hAnsiTheme="minorEastAsia" w:eastAsiaTheme="minorEastAsia"/>
                <w:szCs w:val="21"/>
                <w:lang w:val="zh-CN"/>
              </w:rPr>
            </w:pPr>
            <w:r>
              <w:rPr>
                <w:rFonts w:hint="eastAsia" w:cs="仿宋_GB2312" w:asciiTheme="minorEastAsia" w:hAnsiTheme="minorEastAsia" w:eastAsiaTheme="minorEastAsia"/>
                <w:szCs w:val="21"/>
                <w:lang w:val="zh-CN"/>
              </w:rPr>
              <w:t>同一人员按照最高项得分取值，不重复计算得分。</w:t>
            </w:r>
          </w:p>
          <w:p>
            <w:pPr>
              <w:rPr>
                <w:rFonts w:cs="仿宋_GB2312" w:asciiTheme="minorEastAsia" w:hAnsiTheme="minorEastAsia" w:eastAsiaTheme="minorEastAsia"/>
                <w:b/>
                <w:bCs/>
                <w:szCs w:val="21"/>
                <w:lang w:val="zh-CN"/>
              </w:rPr>
            </w:pPr>
            <w:r>
              <w:rPr>
                <w:rFonts w:hint="eastAsia" w:cs="仿宋_GB2312" w:asciiTheme="minorEastAsia" w:hAnsiTheme="minorEastAsia" w:eastAsiaTheme="minorEastAsia"/>
                <w:b/>
                <w:bCs/>
                <w:szCs w:val="21"/>
              </w:rPr>
              <w:t>（2）证明文件</w:t>
            </w:r>
          </w:p>
          <w:p>
            <w:pPr>
              <w:rPr>
                <w:rFonts w:cs="仿宋_GB2312" w:asciiTheme="minorEastAsia" w:hAnsiTheme="minorEastAsia" w:eastAsiaTheme="minorEastAsia"/>
                <w:szCs w:val="21"/>
                <w:lang w:val="zh-CN"/>
              </w:rPr>
            </w:pPr>
            <w:r>
              <w:rPr>
                <w:rFonts w:hint="eastAsia" w:cs="仿宋_GB2312" w:asciiTheme="minorEastAsia" w:hAnsiTheme="minorEastAsia" w:eastAsiaTheme="minorEastAsia"/>
                <w:szCs w:val="21"/>
              </w:rPr>
              <w:t>1.</w:t>
            </w:r>
            <w:r>
              <w:rPr>
                <w:rFonts w:hint="eastAsia" w:cs="仿宋_GB2312" w:asciiTheme="minorEastAsia" w:hAnsiTheme="minorEastAsia" w:eastAsiaTheme="minorEastAsia"/>
                <w:szCs w:val="21"/>
                <w:lang w:val="zh-CN"/>
              </w:rPr>
              <w:t>要求提供资质证书、相关证明材料以及投标前投标人为其缴纳的社保部门颁发的3个月（2023年</w:t>
            </w:r>
            <w:r>
              <w:rPr>
                <w:rFonts w:hint="eastAsia" w:cs="仿宋_GB2312" w:asciiTheme="minorEastAsia" w:hAnsiTheme="minorEastAsia" w:eastAsiaTheme="minorEastAsia"/>
                <w:szCs w:val="21"/>
                <w:lang w:val="en-US" w:eastAsia="zh-CN"/>
              </w:rPr>
              <w:t>8</w:t>
            </w:r>
            <w:r>
              <w:rPr>
                <w:rFonts w:hint="eastAsia" w:cs="仿宋_GB2312" w:asciiTheme="minorEastAsia" w:hAnsiTheme="minorEastAsia" w:eastAsiaTheme="minorEastAsia"/>
                <w:szCs w:val="21"/>
                <w:lang w:val="zh-CN"/>
              </w:rPr>
              <w:t>月至2023年</w:t>
            </w:r>
            <w:r>
              <w:rPr>
                <w:rFonts w:hint="eastAsia" w:cs="仿宋_GB2312" w:asciiTheme="minorEastAsia" w:hAnsiTheme="minorEastAsia" w:eastAsiaTheme="minorEastAsia"/>
                <w:szCs w:val="21"/>
                <w:lang w:val="en-US" w:eastAsia="zh-CN"/>
              </w:rPr>
              <w:t>10</w:t>
            </w:r>
            <w:r>
              <w:rPr>
                <w:rFonts w:hint="eastAsia" w:cs="仿宋_GB2312" w:asciiTheme="minorEastAsia" w:hAnsiTheme="minorEastAsia" w:eastAsiaTheme="minorEastAsia"/>
                <w:szCs w:val="21"/>
                <w:lang w:val="zh-CN"/>
              </w:rPr>
              <w:t>月）社保清单作为得分依据，若企业成立不足三个月则提供承诺函，承诺自有员工（格式自拟）。</w:t>
            </w:r>
          </w:p>
          <w:p>
            <w:pPr>
              <w:rPr>
                <w:rFonts w:cs="仿宋_GB2312" w:asciiTheme="minorEastAsia" w:hAnsiTheme="minorEastAsia" w:eastAsiaTheme="minorEastAsia"/>
                <w:szCs w:val="21"/>
                <w:lang w:val="zh-CN"/>
              </w:rPr>
            </w:pPr>
            <w:r>
              <w:rPr>
                <w:rFonts w:hint="eastAsia" w:cs="仿宋_GB2312" w:asciiTheme="minorEastAsia" w:hAnsiTheme="minorEastAsia" w:eastAsiaTheme="minorEastAsia"/>
                <w:szCs w:val="21"/>
              </w:rPr>
              <w:t>2.</w:t>
            </w:r>
            <w:r>
              <w:rPr>
                <w:rFonts w:hint="eastAsia" w:cs="仿宋_GB2312" w:asciiTheme="minorEastAsia" w:hAnsiTheme="minorEastAsia" w:eastAsiaTheme="minorEastAsia"/>
                <w:szCs w:val="21"/>
                <w:lang w:val="zh-CN"/>
              </w:rPr>
              <w:t xml:space="preserve"> 以上资料均要求提供复印件或扫描件，原件备查。评分中出现无证明资料或专家无法凭所提供资料判断是否得分的情况，一律作不得分处理。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80" w:type="dxa"/>
            <w:tcBorders>
              <w:left w:val="single" w:color="000000" w:sz="8" w:space="0"/>
              <w:right w:val="single" w:color="000000" w:sz="8" w:space="0"/>
            </w:tcBorders>
          </w:tcPr>
          <w:p>
            <w:pPr>
              <w:jc w:val="center"/>
              <w:rPr>
                <w:rFonts w:ascii="宋体" w:hAnsi="宋体" w:cs="宋体"/>
                <w:b/>
                <w:bCs/>
                <w:sz w:val="24"/>
              </w:rPr>
            </w:pPr>
            <w:r>
              <w:rPr>
                <w:b/>
                <w:bCs/>
              </w:rPr>
              <w:t>4</w:t>
            </w:r>
          </w:p>
        </w:tc>
        <w:tc>
          <w:tcPr>
            <w:tcW w:w="3063" w:type="dxa"/>
            <w:gridSpan w:val="3"/>
            <w:tcBorders>
              <w:top w:val="single" w:color="000000" w:sz="8" w:space="0"/>
              <w:left w:val="single" w:color="000000" w:sz="8" w:space="0"/>
              <w:bottom w:val="single" w:color="000000" w:sz="8" w:space="0"/>
              <w:right w:val="single" w:color="000000" w:sz="8" w:space="0"/>
            </w:tcBorders>
          </w:tcPr>
          <w:p>
            <w:pPr>
              <w:jc w:val="center"/>
              <w:rPr>
                <w:rFonts w:cs="仿宋_GB2312" w:asciiTheme="minorEastAsia" w:hAnsiTheme="minorEastAsia" w:eastAsiaTheme="minorEastAsia"/>
                <w:szCs w:val="21"/>
              </w:rPr>
            </w:pPr>
            <w:r>
              <w:rPr>
                <w:rFonts w:hint="eastAsia"/>
                <w:b/>
                <w:bCs/>
              </w:rPr>
              <w:t>诚信</w:t>
            </w:r>
            <w:r>
              <w:rPr>
                <w:b/>
                <w:bCs/>
              </w:rPr>
              <w:t>部分</w:t>
            </w:r>
          </w:p>
        </w:tc>
        <w:tc>
          <w:tcPr>
            <w:tcW w:w="5579" w:type="dxa"/>
            <w:tcBorders>
              <w:top w:val="single" w:color="000000" w:sz="8" w:space="0"/>
              <w:left w:val="single" w:color="000000" w:sz="8" w:space="0"/>
              <w:bottom w:val="single" w:color="000000" w:sz="8" w:space="0"/>
              <w:right w:val="single" w:color="000000" w:sz="8" w:space="0"/>
            </w:tcBorders>
            <w:vAlign w:val="center"/>
          </w:tcPr>
          <w:p>
            <w:pPr>
              <w:jc w:val="center"/>
              <w:rPr>
                <w:rFonts w:cs="仿宋_GB2312" w:asciiTheme="minorEastAsia" w:hAnsiTheme="minorEastAsia" w:eastAsiaTheme="minorEastAsia"/>
                <w:szCs w:val="21"/>
              </w:rPr>
            </w:pPr>
            <w:r>
              <w:rPr>
                <w:rFonts w:ascii="Times New Roman" w:hAnsi="Times New Roman" w:cs="Times New Roman"/>
                <w:b/>
                <w:bCs/>
                <w:sz w:val="24"/>
              </w:rPr>
              <w:t>≥</w:t>
            </w:r>
            <w:r>
              <w:rPr>
                <w:rFonts w:hint="eastAsia" w:ascii="Times New Roman" w:hAnsi="Times New Roman" w:cs="Times New Roman"/>
                <w:b/>
                <w:bCs/>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80" w:type="dxa"/>
            <w:tcBorders>
              <w:left w:val="single" w:color="000000" w:sz="8" w:space="0"/>
              <w:right w:val="single" w:color="000000" w:sz="8" w:space="0"/>
            </w:tcBorders>
            <w:vAlign w:val="center"/>
          </w:tcPr>
          <w:p>
            <w:pPr>
              <w:pStyle w:val="10"/>
            </w:pPr>
          </w:p>
        </w:tc>
        <w:tc>
          <w:tcPr>
            <w:tcW w:w="8642" w:type="dxa"/>
            <w:gridSpan w:val="4"/>
            <w:tcBorders>
              <w:top w:val="single" w:color="000000" w:sz="8" w:space="0"/>
              <w:left w:val="single" w:color="000000" w:sz="8" w:space="0"/>
              <w:bottom w:val="single" w:color="000000" w:sz="8" w:space="0"/>
              <w:right w:val="single" w:color="000000" w:sz="8" w:space="0"/>
            </w:tcBorders>
          </w:tcPr>
          <w:p>
            <w:pPr>
              <w:jc w:val="center"/>
              <w:rPr>
                <w:rFonts w:cs="仿宋_GB2312" w:asciiTheme="minorEastAsia" w:hAnsiTheme="minorEastAsia" w:eastAsiaTheme="minorEastAsia"/>
                <w:szCs w:val="21"/>
              </w:rPr>
            </w:pPr>
            <w:r>
              <w:rPr>
                <w:rFonts w:hint="eastAsia" w:ascii="宋体" w:hAnsi="宋体" w:cs="宋体"/>
                <w:szCs w:val="21"/>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80" w:type="dxa"/>
            <w:tcBorders>
              <w:left w:val="single" w:color="000000" w:sz="8" w:space="0"/>
              <w:right w:val="single" w:color="000000" w:sz="8" w:space="0"/>
            </w:tcBorders>
            <w:vAlign w:val="center"/>
          </w:tcPr>
          <w:p>
            <w:pPr>
              <w:pStyle w:val="10"/>
            </w:pPr>
          </w:p>
        </w:tc>
        <w:tc>
          <w:tcPr>
            <w:tcW w:w="680"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szCs w:val="21"/>
              </w:rPr>
            </w:pPr>
            <w:r>
              <w:rPr>
                <w:szCs w:val="21"/>
              </w:rPr>
              <w:t>序号</w:t>
            </w:r>
          </w:p>
        </w:tc>
        <w:tc>
          <w:tcPr>
            <w:tcW w:w="1588"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szCs w:val="21"/>
                <w:lang w:val="zh-CN"/>
              </w:rPr>
            </w:pPr>
            <w:r>
              <w:rPr>
                <w:szCs w:val="21"/>
              </w:rPr>
              <w:t>评分因素</w:t>
            </w:r>
          </w:p>
        </w:tc>
        <w:tc>
          <w:tcPr>
            <w:tcW w:w="795"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szCs w:val="21"/>
              </w:rPr>
            </w:pPr>
            <w:r>
              <w:rPr>
                <w:rFonts w:hint="eastAsia" w:ascii="宋体" w:hAnsi="宋体" w:cs="宋体"/>
                <w:szCs w:val="21"/>
              </w:rPr>
              <w:t>分值范围</w:t>
            </w:r>
          </w:p>
        </w:tc>
        <w:tc>
          <w:tcPr>
            <w:tcW w:w="5579"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szCs w:val="21"/>
              </w:rPr>
            </w:pPr>
            <w:r>
              <w:rPr>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80" w:type="dxa"/>
            <w:tcBorders>
              <w:left w:val="single" w:color="000000" w:sz="8" w:space="0"/>
              <w:bottom w:val="single" w:color="000000" w:sz="8" w:space="0"/>
              <w:right w:val="single" w:color="000000" w:sz="8" w:space="0"/>
            </w:tcBorders>
            <w:vAlign w:val="center"/>
          </w:tcPr>
          <w:p>
            <w:pPr>
              <w:pStyle w:val="10"/>
            </w:pPr>
          </w:p>
        </w:tc>
        <w:tc>
          <w:tcPr>
            <w:tcW w:w="680"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szCs w:val="21"/>
              </w:rPr>
            </w:pPr>
            <w:r>
              <w:rPr>
                <w:szCs w:val="21"/>
              </w:rPr>
              <w:t>1</w:t>
            </w:r>
          </w:p>
        </w:tc>
        <w:tc>
          <w:tcPr>
            <w:tcW w:w="1588"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szCs w:val="21"/>
                <w:lang w:val="zh-CN"/>
              </w:rPr>
            </w:pPr>
            <w:r>
              <w:rPr>
                <w:rFonts w:hint="eastAsia"/>
                <w:szCs w:val="21"/>
              </w:rPr>
              <w:t>诚信管理情况</w:t>
            </w:r>
          </w:p>
        </w:tc>
        <w:tc>
          <w:tcPr>
            <w:tcW w:w="795"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5</w:t>
            </w:r>
          </w:p>
        </w:tc>
        <w:tc>
          <w:tcPr>
            <w:tcW w:w="5579" w:type="dxa"/>
            <w:tcBorders>
              <w:top w:val="single" w:color="000000" w:sz="8" w:space="0"/>
              <w:left w:val="single" w:color="000000" w:sz="8" w:space="0"/>
              <w:bottom w:val="single" w:color="000000" w:sz="8" w:space="0"/>
              <w:right w:val="single" w:color="000000" w:sz="8" w:space="0"/>
            </w:tcBorders>
            <w:vAlign w:val="center"/>
          </w:tcPr>
          <w:p>
            <w:pPr>
              <w:jc w:val="left"/>
              <w:rPr>
                <w:rFonts w:ascii="宋体" w:hAnsi="宋体" w:cs="宋体"/>
                <w:szCs w:val="21"/>
                <w:highlight w:val="yellow"/>
              </w:rPr>
            </w:pPr>
            <w:r>
              <w:rPr>
                <w:szCs w:val="21"/>
              </w:rPr>
              <w:t>根据《深圳市财政委员会关于印发〈深圳市政府采购供应商诚信管理暂行办法操作细则〉的通知》（深财购[2017]42号）的要求，投标人在参与政府采购活动中存在</w:t>
            </w:r>
            <w:r>
              <w:rPr>
                <w:rFonts w:hint="eastAsia"/>
                <w:szCs w:val="21"/>
              </w:rPr>
              <w:t>被记入诚信档案的情形（被禁止参与政府采购活动除外）</w:t>
            </w:r>
            <w:r>
              <w:rPr>
                <w:szCs w:val="21"/>
              </w:rPr>
              <w:t>且在主管部门相关处理措施实施期限内的，本项不得分，否则得满分。投标人无需提供任何证明材料，由工作人员向评审委员会提供相关信息。</w:t>
            </w:r>
          </w:p>
        </w:tc>
      </w:tr>
    </w:tbl>
    <w:p>
      <w:pPr>
        <w:spacing w:line="440" w:lineRule="exact"/>
        <w:ind w:firstLine="562" w:firstLineChars="200"/>
        <w:rPr>
          <w:rFonts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六、质量保证及售后服务</w:t>
      </w:r>
      <w:r>
        <w:rPr>
          <w:rFonts w:hint="eastAsia" w:ascii="仿宋_GB2312" w:hAnsi="仿宋_GB2312" w:eastAsia="仿宋_GB2312" w:cs="仿宋_GB2312"/>
          <w:b/>
          <w:bCs/>
          <w:color w:val="auto"/>
          <w:kern w:val="0"/>
          <w:sz w:val="28"/>
          <w:szCs w:val="28"/>
          <w:lang w:eastAsia="zh-CN"/>
        </w:rPr>
        <w:t>：</w:t>
      </w:r>
      <w:r>
        <w:rPr>
          <w:rFonts w:hint="eastAsia" w:ascii="仿宋" w:hAnsi="仿宋" w:eastAsia="仿宋" w:cs="仿宋"/>
          <w:b w:val="0"/>
          <w:bCs w:val="0"/>
          <w:color w:val="auto"/>
          <w:sz w:val="28"/>
          <w:szCs w:val="28"/>
          <w:lang w:val="en-US" w:eastAsia="zh-CN"/>
        </w:rPr>
        <w:t>提交完整的检测报告。</w:t>
      </w:r>
    </w:p>
    <w:p>
      <w:pPr>
        <w:widowControl/>
        <w:spacing w:line="440" w:lineRule="exact"/>
        <w:ind w:firstLine="562" w:firstLineChars="200"/>
        <w:jc w:val="left"/>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rPr>
        <w:t>八、付款方式</w:t>
      </w:r>
      <w:r>
        <w:rPr>
          <w:rFonts w:hint="eastAsia" w:ascii="仿宋" w:hAnsi="仿宋" w:eastAsia="仿宋" w:cs="仿宋"/>
          <w:b/>
          <w:bCs/>
          <w:color w:val="auto"/>
          <w:sz w:val="28"/>
          <w:szCs w:val="28"/>
          <w:lang w:eastAsia="zh-CN"/>
        </w:rPr>
        <w:t>：</w:t>
      </w:r>
      <w:r>
        <w:rPr>
          <w:rFonts w:hint="eastAsia" w:ascii="仿宋" w:hAnsi="仿宋" w:eastAsia="仿宋" w:cs="仿宋"/>
          <w:b w:val="0"/>
          <w:bCs w:val="0"/>
          <w:color w:val="auto"/>
          <w:sz w:val="28"/>
          <w:szCs w:val="28"/>
          <w:lang w:eastAsia="zh-CN"/>
        </w:rPr>
        <w:t>合同签订后15</w:t>
      </w:r>
      <w:r>
        <w:rPr>
          <w:rFonts w:hint="eastAsia" w:ascii="仿宋" w:hAnsi="仿宋" w:eastAsia="仿宋" w:cs="仿宋"/>
          <w:b w:val="0"/>
          <w:bCs w:val="0"/>
          <w:color w:val="auto"/>
          <w:sz w:val="28"/>
          <w:szCs w:val="28"/>
          <w:lang w:val="en-US" w:eastAsia="zh-CN"/>
        </w:rPr>
        <w:t>个</w:t>
      </w:r>
      <w:r>
        <w:rPr>
          <w:rFonts w:hint="eastAsia" w:ascii="仿宋" w:hAnsi="仿宋" w:eastAsia="仿宋" w:cs="仿宋"/>
          <w:b w:val="0"/>
          <w:bCs w:val="0"/>
          <w:color w:val="auto"/>
          <w:sz w:val="28"/>
          <w:szCs w:val="28"/>
          <w:lang w:eastAsia="zh-CN"/>
        </w:rPr>
        <w:t>工作日内支付50%预付款；乙方提交全部报告并通过甲方签收确认后15个工作日之内付清尾款。</w:t>
      </w:r>
    </w:p>
    <w:p>
      <w:pPr>
        <w:spacing w:line="440" w:lineRule="exact"/>
        <w:ind w:firstLine="562" w:firstLineChars="200"/>
        <w:rPr>
          <w:rFonts w:hint="eastAsia" w:ascii="仿宋" w:hAnsi="仿宋" w:eastAsia="仿宋" w:cs="仿宋"/>
          <w:color w:val="auto"/>
          <w:sz w:val="28"/>
          <w:szCs w:val="28"/>
          <w:lang w:eastAsia="zh-CN"/>
        </w:rPr>
      </w:pPr>
      <w:r>
        <w:rPr>
          <w:rFonts w:hint="eastAsia" w:ascii="仿宋" w:hAnsi="仿宋" w:eastAsia="仿宋" w:cs="仿宋"/>
          <w:b/>
          <w:bCs/>
          <w:color w:val="auto"/>
          <w:sz w:val="28"/>
          <w:szCs w:val="28"/>
        </w:rPr>
        <w:t>九、项目地点</w:t>
      </w:r>
      <w:r>
        <w:rPr>
          <w:rFonts w:hint="eastAsia" w:ascii="仿宋" w:hAnsi="仿宋" w:eastAsia="仿宋" w:cs="仿宋"/>
          <w:b/>
          <w:bCs/>
          <w:color w:val="auto"/>
          <w:sz w:val="28"/>
          <w:szCs w:val="28"/>
          <w:lang w:eastAsia="zh-CN"/>
        </w:rPr>
        <w:t>：</w:t>
      </w:r>
      <w:r>
        <w:rPr>
          <w:rFonts w:hint="eastAsia" w:ascii="仿宋" w:hAnsi="仿宋" w:eastAsia="仿宋" w:cs="仿宋"/>
          <w:b w:val="0"/>
          <w:bCs w:val="0"/>
          <w:color w:val="auto"/>
          <w:sz w:val="28"/>
          <w:szCs w:val="28"/>
        </w:rPr>
        <w:t>深圳市龙岗区第七人民医院指定地点</w:t>
      </w:r>
      <w:r>
        <w:rPr>
          <w:rFonts w:hint="eastAsia" w:ascii="仿宋" w:hAnsi="仿宋" w:eastAsia="仿宋" w:cs="仿宋"/>
          <w:b w:val="0"/>
          <w:bCs w:val="0"/>
          <w:color w:val="auto"/>
          <w:sz w:val="28"/>
          <w:szCs w:val="28"/>
          <w:lang w:eastAsia="zh-CN"/>
        </w:rPr>
        <w:t>。</w:t>
      </w:r>
    </w:p>
    <w:p>
      <w:pPr>
        <w:snapToGrid w:val="0"/>
        <w:spacing w:line="500" w:lineRule="exact"/>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十、签订合同</w:t>
      </w:r>
    </w:p>
    <w:p>
      <w:pPr>
        <w:snapToGrid w:val="0"/>
        <w:spacing w:line="500" w:lineRule="exact"/>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采购人和中标供应商应当自中标通知书发出之日起十日内，按照招标文件和中标供应商的投标文件订立书面合同</w:t>
      </w:r>
      <w:r>
        <w:rPr>
          <w:rFonts w:hint="eastAsia" w:ascii="仿宋" w:hAnsi="仿宋" w:eastAsia="仿宋" w:cs="仿宋"/>
          <w:color w:val="auto"/>
          <w:sz w:val="28"/>
          <w:szCs w:val="28"/>
          <w:lang w:eastAsia="zh-CN"/>
        </w:rPr>
        <w:t>。</w:t>
      </w:r>
    </w:p>
    <w:p>
      <w:pPr>
        <w:pStyle w:val="10"/>
        <w:rPr>
          <w:rFonts w:hint="eastAsia" w:ascii="仿宋" w:hAnsi="仿宋" w:eastAsia="仿宋" w:cs="仿宋"/>
          <w:color w:val="auto"/>
          <w:sz w:val="28"/>
          <w:szCs w:val="28"/>
          <w:lang w:eastAsia="zh-CN"/>
        </w:rPr>
      </w:pPr>
    </w:p>
    <w:p>
      <w:pPr>
        <w:pStyle w:val="16"/>
        <w:rPr>
          <w:rFonts w:hint="eastAsia" w:ascii="仿宋" w:hAnsi="仿宋" w:eastAsia="仿宋" w:cs="仿宋"/>
          <w:color w:val="auto"/>
          <w:sz w:val="28"/>
          <w:szCs w:val="28"/>
          <w:lang w:eastAsia="zh-CN"/>
        </w:rPr>
      </w:pPr>
    </w:p>
    <w:p>
      <w:pPr>
        <w:pStyle w:val="16"/>
        <w:rPr>
          <w:rFonts w:hint="eastAsia" w:ascii="仿宋" w:hAnsi="仿宋" w:eastAsia="仿宋" w:cs="仿宋"/>
          <w:color w:val="auto"/>
          <w:sz w:val="28"/>
          <w:szCs w:val="28"/>
          <w:lang w:eastAsia="zh-CN"/>
        </w:rPr>
      </w:pPr>
    </w:p>
    <w:p>
      <w:pPr>
        <w:pStyle w:val="16"/>
        <w:rPr>
          <w:rFonts w:hint="eastAsia" w:ascii="仿宋" w:hAnsi="仿宋" w:eastAsia="仿宋" w:cs="仿宋"/>
          <w:color w:val="auto"/>
          <w:sz w:val="28"/>
          <w:szCs w:val="28"/>
          <w:lang w:eastAsia="zh-CN"/>
        </w:rPr>
      </w:pPr>
    </w:p>
    <w:p>
      <w:pPr>
        <w:pStyle w:val="16"/>
        <w:rPr>
          <w:rFonts w:hint="eastAsia" w:ascii="仿宋" w:hAnsi="仿宋" w:eastAsia="仿宋" w:cs="仿宋"/>
          <w:color w:val="auto"/>
          <w:sz w:val="28"/>
          <w:szCs w:val="28"/>
          <w:lang w:eastAsia="zh-CN"/>
        </w:rPr>
      </w:pPr>
    </w:p>
    <w:p>
      <w:pPr>
        <w:pStyle w:val="16"/>
        <w:rPr>
          <w:rFonts w:hint="eastAsia" w:ascii="仿宋" w:hAnsi="仿宋" w:eastAsia="仿宋" w:cs="仿宋"/>
          <w:color w:val="auto"/>
          <w:sz w:val="28"/>
          <w:szCs w:val="28"/>
          <w:lang w:eastAsia="zh-CN"/>
        </w:rPr>
      </w:pPr>
    </w:p>
    <w:p>
      <w:pPr>
        <w:pStyle w:val="16"/>
        <w:rPr>
          <w:rFonts w:hint="eastAsia" w:ascii="仿宋" w:hAnsi="仿宋" w:eastAsia="仿宋" w:cs="仿宋"/>
          <w:color w:val="auto"/>
          <w:sz w:val="28"/>
          <w:szCs w:val="28"/>
          <w:lang w:eastAsia="zh-CN"/>
        </w:rPr>
      </w:pPr>
    </w:p>
    <w:p>
      <w:pPr>
        <w:pStyle w:val="16"/>
        <w:rPr>
          <w:rFonts w:hint="eastAsia" w:ascii="仿宋" w:hAnsi="仿宋" w:eastAsia="仿宋" w:cs="仿宋"/>
          <w:color w:val="auto"/>
          <w:sz w:val="28"/>
          <w:szCs w:val="28"/>
          <w:lang w:eastAsia="zh-CN"/>
        </w:rPr>
      </w:pPr>
    </w:p>
    <w:p>
      <w:pPr>
        <w:pStyle w:val="16"/>
        <w:rPr>
          <w:rFonts w:hint="eastAsia" w:ascii="仿宋" w:hAnsi="仿宋" w:eastAsia="仿宋" w:cs="仿宋"/>
          <w:color w:val="auto"/>
          <w:sz w:val="28"/>
          <w:szCs w:val="28"/>
          <w:lang w:eastAsia="zh-CN"/>
        </w:rPr>
      </w:pPr>
    </w:p>
    <w:p>
      <w:pPr>
        <w:pStyle w:val="16"/>
        <w:rPr>
          <w:rFonts w:hint="eastAsia" w:ascii="仿宋" w:hAnsi="仿宋" w:eastAsia="仿宋" w:cs="仿宋"/>
          <w:color w:val="auto"/>
          <w:sz w:val="28"/>
          <w:szCs w:val="28"/>
          <w:lang w:eastAsia="zh-CN"/>
        </w:rPr>
      </w:pPr>
    </w:p>
    <w:p>
      <w:pPr>
        <w:pStyle w:val="16"/>
        <w:rPr>
          <w:rFonts w:hint="eastAsia" w:ascii="仿宋" w:hAnsi="仿宋" w:eastAsia="仿宋" w:cs="仿宋"/>
          <w:color w:val="auto"/>
          <w:sz w:val="28"/>
          <w:szCs w:val="28"/>
          <w:lang w:eastAsia="zh-CN"/>
        </w:rPr>
      </w:pPr>
    </w:p>
    <w:p>
      <w:pPr>
        <w:pStyle w:val="16"/>
        <w:rPr>
          <w:rFonts w:hint="eastAsia" w:ascii="仿宋" w:hAnsi="仿宋" w:eastAsia="仿宋" w:cs="仿宋"/>
          <w:color w:val="auto"/>
          <w:sz w:val="28"/>
          <w:szCs w:val="28"/>
          <w:lang w:eastAsia="zh-CN"/>
        </w:rPr>
      </w:pPr>
    </w:p>
    <w:p>
      <w:pPr>
        <w:pStyle w:val="16"/>
        <w:rPr>
          <w:rFonts w:hint="eastAsia" w:ascii="仿宋" w:hAnsi="仿宋" w:eastAsia="仿宋" w:cs="仿宋"/>
          <w:color w:val="auto"/>
          <w:sz w:val="28"/>
          <w:szCs w:val="28"/>
          <w:lang w:eastAsia="zh-CN"/>
        </w:rPr>
      </w:pPr>
    </w:p>
    <w:p>
      <w:pPr>
        <w:pStyle w:val="16"/>
        <w:rPr>
          <w:rFonts w:hint="eastAsia" w:ascii="仿宋" w:hAnsi="仿宋" w:eastAsia="仿宋" w:cs="仿宋"/>
          <w:color w:val="auto"/>
          <w:sz w:val="28"/>
          <w:szCs w:val="28"/>
          <w:lang w:eastAsia="zh-CN"/>
        </w:rPr>
      </w:pPr>
    </w:p>
    <w:p>
      <w:pPr>
        <w:pStyle w:val="16"/>
        <w:rPr>
          <w:rFonts w:hint="eastAsia" w:ascii="仿宋" w:hAnsi="仿宋" w:eastAsia="仿宋" w:cs="仿宋"/>
          <w:color w:val="auto"/>
          <w:sz w:val="28"/>
          <w:szCs w:val="28"/>
          <w:lang w:eastAsia="zh-CN"/>
        </w:rPr>
      </w:pPr>
    </w:p>
    <w:p>
      <w:pPr>
        <w:pStyle w:val="16"/>
        <w:rPr>
          <w:rFonts w:hint="eastAsia" w:ascii="仿宋" w:hAnsi="仿宋" w:eastAsia="仿宋" w:cs="仿宋"/>
          <w:color w:val="auto"/>
          <w:sz w:val="28"/>
          <w:szCs w:val="28"/>
          <w:lang w:eastAsia="zh-CN"/>
        </w:rPr>
      </w:pPr>
    </w:p>
    <w:p>
      <w:pPr>
        <w:pStyle w:val="16"/>
        <w:rPr>
          <w:rFonts w:hint="eastAsia" w:ascii="仿宋" w:hAnsi="仿宋" w:eastAsia="仿宋" w:cs="仿宋"/>
          <w:color w:val="auto"/>
          <w:sz w:val="28"/>
          <w:szCs w:val="28"/>
          <w:lang w:eastAsia="zh-CN"/>
        </w:rPr>
      </w:pPr>
    </w:p>
    <w:p>
      <w:pPr>
        <w:pStyle w:val="16"/>
        <w:rPr>
          <w:rFonts w:hint="eastAsia" w:ascii="仿宋" w:hAnsi="仿宋" w:eastAsia="仿宋" w:cs="仿宋"/>
          <w:color w:val="auto"/>
          <w:sz w:val="28"/>
          <w:szCs w:val="28"/>
          <w:lang w:eastAsia="zh-CN"/>
        </w:rPr>
      </w:pPr>
    </w:p>
    <w:p>
      <w:pPr>
        <w:pStyle w:val="16"/>
        <w:rPr>
          <w:rFonts w:hint="eastAsia" w:ascii="仿宋" w:hAnsi="仿宋" w:eastAsia="仿宋" w:cs="仿宋"/>
          <w:color w:val="auto"/>
          <w:sz w:val="28"/>
          <w:szCs w:val="28"/>
          <w:lang w:eastAsia="zh-CN"/>
        </w:rPr>
      </w:pPr>
    </w:p>
    <w:p>
      <w:pPr>
        <w:pStyle w:val="16"/>
        <w:rPr>
          <w:rFonts w:hint="eastAsia" w:ascii="仿宋" w:hAnsi="仿宋" w:eastAsia="仿宋" w:cs="仿宋"/>
          <w:color w:val="auto"/>
          <w:sz w:val="28"/>
          <w:szCs w:val="28"/>
          <w:lang w:eastAsia="zh-CN"/>
        </w:rPr>
      </w:pPr>
    </w:p>
    <w:p>
      <w:pPr>
        <w:pStyle w:val="16"/>
        <w:rPr>
          <w:rFonts w:hint="eastAsia" w:ascii="仿宋" w:hAnsi="仿宋" w:eastAsia="仿宋" w:cs="仿宋"/>
          <w:color w:val="auto"/>
          <w:sz w:val="28"/>
          <w:szCs w:val="28"/>
          <w:lang w:eastAsia="zh-CN"/>
        </w:rPr>
      </w:pPr>
    </w:p>
    <w:p>
      <w:pPr>
        <w:spacing w:line="360" w:lineRule="auto"/>
        <w:jc w:val="center"/>
        <w:rPr>
          <w:rFonts w:hint="eastAsia" w:ascii="宋体" w:hAnsi="宋体" w:cs="宋体"/>
          <w:b w:val="0"/>
          <w:bCs w:val="0"/>
          <w:sz w:val="44"/>
          <w:szCs w:val="44"/>
        </w:rPr>
      </w:pPr>
      <w:r>
        <w:rPr>
          <w:rFonts w:hint="eastAsia" w:ascii="宋体" w:hAnsi="宋体" w:cs="宋体"/>
          <w:b w:val="0"/>
          <w:bCs w:val="0"/>
          <w:sz w:val="44"/>
          <w:szCs w:val="44"/>
          <w:lang w:val="en-US" w:eastAsia="zh-CN"/>
        </w:rPr>
        <w:t xml:space="preserve">第三章 </w:t>
      </w:r>
      <w:r>
        <w:rPr>
          <w:rFonts w:hint="eastAsia" w:ascii="宋体" w:hAnsi="宋体" w:cs="宋体"/>
          <w:b w:val="0"/>
          <w:bCs w:val="0"/>
          <w:sz w:val="44"/>
          <w:szCs w:val="44"/>
        </w:rPr>
        <w:t>投标文件初审表</w:t>
      </w:r>
    </w:p>
    <w:p>
      <w:pPr>
        <w:jc w:val="center"/>
        <w:rPr>
          <w:rFonts w:hint="eastAsia" w:ascii="仿宋" w:hAnsi="仿宋" w:eastAsia="仿宋" w:cs="仿宋"/>
          <w:b/>
          <w:sz w:val="22"/>
          <w:szCs w:val="28"/>
        </w:rPr>
      </w:pPr>
    </w:p>
    <w:p>
      <w:pPr>
        <w:jc w:val="center"/>
        <w:rPr>
          <w:rFonts w:ascii="仿宋" w:hAnsi="仿宋" w:eastAsia="仿宋" w:cs="仿宋"/>
          <w:sz w:val="32"/>
          <w:szCs w:val="40"/>
        </w:rPr>
      </w:pPr>
      <w:r>
        <w:rPr>
          <w:rFonts w:hint="eastAsia" w:ascii="仿宋" w:hAnsi="仿宋" w:eastAsia="仿宋" w:cs="仿宋"/>
          <w:b/>
          <w:sz w:val="32"/>
          <w:szCs w:val="40"/>
        </w:rPr>
        <w:t>（凡有下列情形之一的，投标文件无效，投标作废标处理）</w:t>
      </w:r>
    </w:p>
    <w:tbl>
      <w:tblPr>
        <w:tblStyle w:val="20"/>
        <w:tblW w:w="9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7929"/>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24" w:type="dxa"/>
            <w:gridSpan w:val="2"/>
            <w:noWrap/>
            <w:vAlign w:val="top"/>
          </w:tcPr>
          <w:p>
            <w:pPr>
              <w:jc w:val="center"/>
              <w:rPr>
                <w:rFonts w:ascii="宋体" w:hAnsi="宋体" w:cs="宋体"/>
                <w:sz w:val="22"/>
                <w:szCs w:val="22"/>
              </w:rPr>
            </w:pPr>
            <w:r>
              <w:rPr>
                <w:rFonts w:hint="eastAsia" w:ascii="宋体" w:hAnsi="宋体" w:cs="宋体"/>
                <w:b/>
                <w:bCs/>
                <w:sz w:val="24"/>
                <w:szCs w:val="24"/>
              </w:rPr>
              <w:t>资格性检查表</w:t>
            </w:r>
          </w:p>
        </w:tc>
        <w:tc>
          <w:tcPr>
            <w:tcW w:w="1200" w:type="dxa"/>
            <w:noWrap/>
            <w:vAlign w:val="top"/>
          </w:tcPr>
          <w:p>
            <w:pPr>
              <w:jc w:val="center"/>
              <w:rPr>
                <w:rFonts w:ascii="宋体" w:hAnsi="宋体" w:cs="宋体"/>
                <w:b/>
                <w:bCs/>
                <w:sz w:val="24"/>
                <w:szCs w:val="24"/>
              </w:rPr>
            </w:pPr>
            <w:r>
              <w:rPr>
                <w:rFonts w:hint="eastAsia" w:ascii="宋体" w:hAnsi="宋体" w:cs="宋体"/>
                <w:b/>
                <w:bCs/>
                <w:sz w:val="24"/>
                <w:szCs w:val="24"/>
              </w:rPr>
              <w:t>自查情况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95" w:type="dxa"/>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7929" w:type="dxa"/>
            <w:noWrap/>
            <w:vAlign w:val="center"/>
          </w:tcPr>
          <w:p>
            <w:pPr>
              <w:rPr>
                <w:rFonts w:hint="eastAsia" w:ascii="宋体" w:hAnsi="宋体" w:eastAsia="宋体" w:cs="宋体"/>
                <w:bCs/>
                <w:color w:val="FF0000"/>
                <w:sz w:val="24"/>
                <w:szCs w:val="24"/>
              </w:rPr>
            </w:pPr>
            <w:r>
              <w:rPr>
                <w:rFonts w:hint="eastAsia" w:ascii="宋体" w:hAnsi="宋体" w:eastAsia="宋体" w:cs="宋体"/>
                <w:bCs/>
                <w:sz w:val="24"/>
                <w:szCs w:val="24"/>
              </w:rPr>
              <w:t>投标人不具备招标文件所列的资格要求，或未提交相应的资格证明资料（“参与公开采购供应商资质要求”，其中未列示的资格要求不得导致废标）</w:t>
            </w:r>
          </w:p>
        </w:tc>
        <w:tc>
          <w:tcPr>
            <w:tcW w:w="1200" w:type="dxa"/>
            <w:noWrap/>
            <w:vAlign w:val="top"/>
          </w:tcPr>
          <w:p>
            <w:pP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8624" w:type="dxa"/>
            <w:gridSpan w:val="2"/>
            <w:noWrap/>
            <w:vAlign w:val="center"/>
          </w:tcPr>
          <w:p>
            <w:pPr>
              <w:jc w:val="center"/>
              <w:rPr>
                <w:rFonts w:hint="eastAsia" w:ascii="宋体" w:hAnsi="宋体" w:eastAsia="宋体" w:cs="宋体"/>
                <w:bCs/>
                <w:sz w:val="24"/>
                <w:szCs w:val="24"/>
              </w:rPr>
            </w:pPr>
            <w:r>
              <w:rPr>
                <w:rFonts w:hint="eastAsia" w:ascii="宋体" w:hAnsi="宋体" w:eastAsia="宋体" w:cs="宋体"/>
                <w:b/>
                <w:sz w:val="24"/>
                <w:szCs w:val="24"/>
              </w:rPr>
              <w:t>符合性检查表</w:t>
            </w:r>
          </w:p>
        </w:tc>
        <w:tc>
          <w:tcPr>
            <w:tcW w:w="1200" w:type="dxa"/>
            <w:noWrap/>
            <w:vAlign w:val="top"/>
          </w:tcPr>
          <w:p>
            <w:pPr>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5" w:hRule="atLeast"/>
          <w:jc w:val="center"/>
        </w:trPr>
        <w:tc>
          <w:tcPr>
            <w:tcW w:w="695" w:type="dxa"/>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7929" w:type="dxa"/>
            <w:noWrap/>
            <w:vAlign w:val="center"/>
          </w:tcPr>
          <w:p>
            <w:pPr>
              <w:rPr>
                <w:rFonts w:hint="eastAsia" w:ascii="宋体" w:hAnsi="宋体" w:eastAsia="宋体" w:cs="宋体"/>
                <w:bCs/>
                <w:sz w:val="24"/>
                <w:szCs w:val="24"/>
              </w:rPr>
            </w:pPr>
            <w:r>
              <w:rPr>
                <w:rFonts w:hint="eastAsia" w:ascii="宋体" w:hAnsi="宋体" w:eastAsia="宋体" w:cs="宋体"/>
                <w:bCs/>
                <w:sz w:val="24"/>
                <w:szCs w:val="24"/>
              </w:rPr>
              <w:t>将一个包中的内容拆开投标</w:t>
            </w:r>
          </w:p>
        </w:tc>
        <w:tc>
          <w:tcPr>
            <w:tcW w:w="1200" w:type="dxa"/>
            <w:noWrap/>
            <w:vAlign w:val="top"/>
          </w:tcPr>
          <w:p>
            <w:pP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95" w:type="dxa"/>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7929" w:type="dxa"/>
            <w:noWrap/>
            <w:vAlign w:val="center"/>
          </w:tcPr>
          <w:p>
            <w:pPr>
              <w:rPr>
                <w:rFonts w:hint="eastAsia" w:ascii="宋体" w:hAnsi="宋体" w:eastAsia="宋体" w:cs="宋体"/>
                <w:bCs/>
                <w:sz w:val="24"/>
                <w:szCs w:val="24"/>
              </w:rPr>
            </w:pPr>
            <w:r>
              <w:rPr>
                <w:rFonts w:hint="eastAsia" w:ascii="宋体" w:hAnsi="宋体" w:eastAsia="宋体" w:cs="宋体"/>
                <w:bCs/>
                <w:sz w:val="24"/>
                <w:szCs w:val="24"/>
              </w:rPr>
              <w:t>招标文件未规定允许有替代方案时，对同一货物投标时，同时提供两套或两套以上的投标方案</w:t>
            </w:r>
          </w:p>
        </w:tc>
        <w:tc>
          <w:tcPr>
            <w:tcW w:w="1200" w:type="dxa"/>
            <w:noWrap/>
            <w:vAlign w:val="top"/>
          </w:tcPr>
          <w:p>
            <w:pP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5" w:type="dxa"/>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7929" w:type="dxa"/>
            <w:noWrap/>
            <w:vAlign w:val="center"/>
          </w:tcPr>
          <w:p>
            <w:pPr>
              <w:rPr>
                <w:rFonts w:hint="eastAsia" w:ascii="宋体" w:hAnsi="宋体" w:eastAsia="宋体" w:cs="宋体"/>
                <w:bCs/>
                <w:sz w:val="24"/>
                <w:szCs w:val="24"/>
              </w:rPr>
            </w:pPr>
            <w:r>
              <w:rPr>
                <w:rFonts w:hint="eastAsia" w:ascii="宋体" w:hAnsi="宋体" w:eastAsia="宋体" w:cs="宋体"/>
                <w:bCs/>
                <w:sz w:val="24"/>
                <w:szCs w:val="24"/>
              </w:rPr>
              <w:t>投标总价或分项报价高于项目预算限额的</w:t>
            </w:r>
          </w:p>
        </w:tc>
        <w:tc>
          <w:tcPr>
            <w:tcW w:w="1200" w:type="dxa"/>
            <w:noWrap/>
            <w:vAlign w:val="top"/>
          </w:tcPr>
          <w:p>
            <w:pP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3" w:hRule="atLeast"/>
          <w:jc w:val="center"/>
        </w:trPr>
        <w:tc>
          <w:tcPr>
            <w:tcW w:w="695" w:type="dxa"/>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4</w:t>
            </w:r>
          </w:p>
        </w:tc>
        <w:tc>
          <w:tcPr>
            <w:tcW w:w="7929" w:type="dxa"/>
            <w:noWrap/>
            <w:vAlign w:val="center"/>
          </w:tcPr>
          <w:p>
            <w:pPr>
              <w:rPr>
                <w:rFonts w:hint="eastAsia" w:ascii="宋体" w:hAnsi="宋体" w:eastAsia="宋体" w:cs="宋体"/>
                <w:bCs/>
                <w:sz w:val="24"/>
                <w:szCs w:val="24"/>
              </w:rPr>
            </w:pPr>
            <w:r>
              <w:rPr>
                <w:rFonts w:hint="eastAsia" w:ascii="宋体" w:hAnsi="宋体" w:eastAsia="宋体" w:cs="宋体"/>
                <w:bCs/>
                <w:sz w:val="24"/>
                <w:szCs w:val="24"/>
              </w:rPr>
              <w:t>投标人的报价明显低于其他通过符合性审查投标人的报价，有可能影响产品质量或者不能诚信履约的，评委会有权要求投标供应商在规定时间内提供书面说明以及必要的证明材料，投标供应商不能证明其报价合理性的，评标委员会应当将其作为无效投标处理；</w:t>
            </w:r>
          </w:p>
        </w:tc>
        <w:tc>
          <w:tcPr>
            <w:tcW w:w="1200" w:type="dxa"/>
            <w:noWrap/>
            <w:vAlign w:val="top"/>
          </w:tcPr>
          <w:p>
            <w:pP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95" w:type="dxa"/>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5</w:t>
            </w:r>
          </w:p>
        </w:tc>
        <w:tc>
          <w:tcPr>
            <w:tcW w:w="7929" w:type="dxa"/>
            <w:noWrap/>
            <w:vAlign w:val="center"/>
          </w:tcPr>
          <w:p>
            <w:pPr>
              <w:rPr>
                <w:rFonts w:hint="eastAsia" w:ascii="宋体" w:hAnsi="宋体" w:eastAsia="宋体" w:cs="宋体"/>
                <w:bCs/>
                <w:sz w:val="24"/>
                <w:szCs w:val="24"/>
              </w:rPr>
            </w:pPr>
            <w:r>
              <w:rPr>
                <w:rFonts w:hint="eastAsia" w:ascii="宋体" w:hAnsi="宋体" w:eastAsia="宋体" w:cs="宋体"/>
                <w:bCs/>
                <w:sz w:val="24"/>
                <w:szCs w:val="24"/>
              </w:rPr>
              <w:t>同一项目出现两个或以上报价、单价汇总与总价不符的，需进行价格修正</w:t>
            </w:r>
          </w:p>
        </w:tc>
        <w:tc>
          <w:tcPr>
            <w:tcW w:w="1200" w:type="dxa"/>
            <w:noWrap/>
            <w:vAlign w:val="center"/>
          </w:tcPr>
          <w:p>
            <w:pP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5" w:type="dxa"/>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6</w:t>
            </w:r>
          </w:p>
        </w:tc>
        <w:tc>
          <w:tcPr>
            <w:tcW w:w="7929" w:type="dxa"/>
            <w:noWrap/>
            <w:vAlign w:val="center"/>
          </w:tcPr>
          <w:p>
            <w:pPr>
              <w:rPr>
                <w:rFonts w:hint="eastAsia" w:ascii="宋体" w:hAnsi="宋体" w:eastAsia="宋体" w:cs="宋体"/>
                <w:bCs/>
                <w:sz w:val="24"/>
                <w:szCs w:val="24"/>
              </w:rPr>
            </w:pPr>
            <w:r>
              <w:rPr>
                <w:rFonts w:hint="eastAsia" w:ascii="宋体" w:hAnsi="宋体" w:eastAsia="宋体" w:cs="宋体"/>
                <w:bCs/>
                <w:sz w:val="24"/>
                <w:szCs w:val="24"/>
              </w:rPr>
              <w:t>投标报价有缺漏项目或对采购文件规定的服务清单项目及数量进行修改；</w:t>
            </w:r>
          </w:p>
        </w:tc>
        <w:tc>
          <w:tcPr>
            <w:tcW w:w="1200" w:type="dxa"/>
            <w:noWrap/>
            <w:vAlign w:val="center"/>
          </w:tcPr>
          <w:p>
            <w:pP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695" w:type="dxa"/>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7</w:t>
            </w:r>
          </w:p>
        </w:tc>
        <w:tc>
          <w:tcPr>
            <w:tcW w:w="7929" w:type="dxa"/>
            <w:noWrap/>
            <w:vAlign w:val="center"/>
          </w:tcPr>
          <w:p>
            <w:pPr>
              <w:rPr>
                <w:rFonts w:hint="eastAsia" w:ascii="宋体" w:hAnsi="宋体" w:eastAsia="宋体" w:cs="宋体"/>
                <w:bCs/>
                <w:sz w:val="24"/>
                <w:szCs w:val="24"/>
              </w:rPr>
            </w:pPr>
            <w:r>
              <w:rPr>
                <w:rFonts w:hint="eastAsia" w:ascii="宋体" w:hAnsi="宋体" w:eastAsia="宋体" w:cs="宋体"/>
                <w:bCs/>
                <w:sz w:val="24"/>
                <w:szCs w:val="24"/>
              </w:rPr>
              <w:t>所投产品、工程、服务在质量、技术、方案等方面没有实质性满足采购文件要求，本项目实质性条款以标注“★”条款为准（是否实质性满足招标文件要求，由评审委员会根据《实质性条款响应情况表》做出评判）；</w:t>
            </w:r>
          </w:p>
        </w:tc>
        <w:tc>
          <w:tcPr>
            <w:tcW w:w="1200" w:type="dxa"/>
            <w:noWrap/>
            <w:vAlign w:val="center"/>
          </w:tcPr>
          <w:p>
            <w:pP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695" w:type="dxa"/>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8</w:t>
            </w:r>
          </w:p>
        </w:tc>
        <w:tc>
          <w:tcPr>
            <w:tcW w:w="7929" w:type="dxa"/>
            <w:noWrap/>
            <w:vAlign w:val="center"/>
          </w:tcPr>
          <w:p>
            <w:pPr>
              <w:rPr>
                <w:rFonts w:hint="eastAsia" w:ascii="宋体" w:hAnsi="宋体" w:eastAsia="宋体" w:cs="宋体"/>
                <w:bCs/>
                <w:sz w:val="24"/>
                <w:szCs w:val="24"/>
              </w:rPr>
            </w:pPr>
            <w:r>
              <w:rPr>
                <w:rFonts w:hint="eastAsia" w:ascii="宋体" w:hAnsi="宋体" w:eastAsia="宋体" w:cs="宋体"/>
                <w:bCs/>
                <w:sz w:val="24"/>
                <w:szCs w:val="24"/>
              </w:rPr>
              <w:t>《投标函》、《采购投标承诺函》未按采购文件规定的格式和内容响应；未按采购文件对投标文件组成的要求提供投标文件的（投标文件组成不完整）；未按照招标文件要求提供单独密封的开标一览表；投标文件的数量、密封、签字盖章不符合采购文件要求或未提供投标文件电子文档；未按照采购文件规定的样式及要求填写 “法定代表人（负责人）资格证明书”或“投标文件签署授权委托书”或“分项报价清单”；</w:t>
            </w:r>
          </w:p>
        </w:tc>
        <w:tc>
          <w:tcPr>
            <w:tcW w:w="1200" w:type="dxa"/>
            <w:noWrap/>
            <w:vAlign w:val="center"/>
          </w:tcPr>
          <w:p>
            <w:pP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95" w:type="dxa"/>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9</w:t>
            </w:r>
          </w:p>
        </w:tc>
        <w:tc>
          <w:tcPr>
            <w:tcW w:w="7929" w:type="dxa"/>
            <w:noWrap/>
            <w:vAlign w:val="center"/>
          </w:tcPr>
          <w:p>
            <w:pPr>
              <w:rPr>
                <w:rFonts w:hint="eastAsia" w:ascii="宋体" w:hAnsi="宋体" w:eastAsia="宋体" w:cs="宋体"/>
                <w:bCs/>
                <w:sz w:val="24"/>
                <w:szCs w:val="24"/>
              </w:rPr>
            </w:pPr>
            <w:r>
              <w:rPr>
                <w:rFonts w:hint="eastAsia" w:ascii="宋体" w:hAnsi="宋体" w:eastAsia="宋体" w:cs="宋体"/>
                <w:bCs/>
                <w:sz w:val="24"/>
                <w:szCs w:val="24"/>
              </w:rPr>
              <w:t>与其他投标供应商的投标文件存在异常雷同现象的；</w:t>
            </w:r>
          </w:p>
        </w:tc>
        <w:tc>
          <w:tcPr>
            <w:tcW w:w="1200" w:type="dxa"/>
            <w:noWrap/>
            <w:vAlign w:val="center"/>
          </w:tcPr>
          <w:p>
            <w:pP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95" w:type="dxa"/>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10</w:t>
            </w:r>
          </w:p>
        </w:tc>
        <w:tc>
          <w:tcPr>
            <w:tcW w:w="7929" w:type="dxa"/>
            <w:noWrap/>
            <w:vAlign w:val="center"/>
          </w:tcPr>
          <w:p>
            <w:pPr>
              <w:rPr>
                <w:rFonts w:hint="eastAsia" w:ascii="宋体" w:hAnsi="宋体" w:eastAsia="宋体" w:cs="宋体"/>
                <w:bCs/>
                <w:sz w:val="24"/>
                <w:szCs w:val="24"/>
              </w:rPr>
            </w:pPr>
            <w:r>
              <w:rPr>
                <w:rFonts w:hint="eastAsia" w:ascii="宋体" w:hAnsi="宋体" w:eastAsia="宋体" w:cs="宋体"/>
                <w:bCs/>
                <w:sz w:val="24"/>
                <w:szCs w:val="24"/>
              </w:rPr>
              <w:t>招标文件规定的其他投标无效情形；</w:t>
            </w:r>
          </w:p>
        </w:tc>
        <w:tc>
          <w:tcPr>
            <w:tcW w:w="1200" w:type="dxa"/>
            <w:noWrap/>
            <w:vAlign w:val="center"/>
          </w:tcPr>
          <w:p>
            <w:pPr>
              <w:jc w:val="left"/>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95" w:type="dxa"/>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11</w:t>
            </w:r>
          </w:p>
        </w:tc>
        <w:tc>
          <w:tcPr>
            <w:tcW w:w="7929" w:type="dxa"/>
            <w:noWrap/>
            <w:vAlign w:val="center"/>
          </w:tcPr>
          <w:p>
            <w:pPr>
              <w:rPr>
                <w:rFonts w:hint="eastAsia" w:ascii="宋体" w:hAnsi="宋体" w:eastAsia="宋体" w:cs="宋体"/>
                <w:bCs/>
                <w:sz w:val="24"/>
                <w:szCs w:val="24"/>
              </w:rPr>
            </w:pPr>
            <w:r>
              <w:rPr>
                <w:rFonts w:hint="eastAsia" w:ascii="宋体" w:hAnsi="宋体" w:eastAsia="宋体" w:cs="宋体"/>
                <w:bCs/>
                <w:sz w:val="24"/>
                <w:szCs w:val="24"/>
              </w:rPr>
              <w:t>法律、法规规定的其他情形。</w:t>
            </w:r>
          </w:p>
        </w:tc>
        <w:tc>
          <w:tcPr>
            <w:tcW w:w="1200" w:type="dxa"/>
            <w:noWrap/>
            <w:vAlign w:val="center"/>
          </w:tcPr>
          <w:p>
            <w:pPr>
              <w:jc w:val="left"/>
              <w:rPr>
                <w:rFonts w:ascii="宋体" w:hAnsi="宋体" w:cs="宋体"/>
                <w:bCs/>
                <w:sz w:val="24"/>
                <w:szCs w:val="24"/>
              </w:rPr>
            </w:pPr>
          </w:p>
        </w:tc>
      </w:tr>
    </w:tbl>
    <w:p>
      <w:pPr>
        <w:rPr>
          <w:rFonts w:hint="eastAsia"/>
          <w:lang w:val="en-US" w:eastAsia="zh-CN"/>
        </w:rPr>
      </w:pPr>
    </w:p>
    <w:p>
      <w:pPr>
        <w:pStyle w:val="29"/>
        <w:rPr>
          <w:rFonts w:hint="eastAsia"/>
          <w:lang w:val="en-US" w:eastAsia="zh-CN"/>
        </w:rPr>
      </w:pPr>
    </w:p>
    <w:p>
      <w:pPr>
        <w:numPr>
          <w:ilvl w:val="0"/>
          <w:numId w:val="8"/>
        </w:numPr>
        <w:spacing w:line="360" w:lineRule="auto"/>
        <w:ind w:left="2882" w:leftChars="0" w:firstLine="0" w:firstLineChars="0"/>
        <w:jc w:val="both"/>
        <w:rPr>
          <w:rFonts w:hint="eastAsia" w:ascii="宋体" w:hAnsi="宋体" w:cs="宋体"/>
          <w:b w:val="0"/>
          <w:bCs w:val="0"/>
          <w:sz w:val="44"/>
          <w:szCs w:val="44"/>
        </w:rPr>
      </w:pPr>
      <w:r>
        <w:rPr>
          <w:rFonts w:hint="eastAsia" w:ascii="宋体" w:hAnsi="宋体" w:cs="宋体"/>
          <w:b w:val="0"/>
          <w:bCs w:val="0"/>
          <w:sz w:val="44"/>
          <w:szCs w:val="44"/>
        </w:rPr>
        <w:t>投标须知</w:t>
      </w:r>
    </w:p>
    <w:p>
      <w:pPr>
        <w:pStyle w:val="10"/>
        <w:numPr>
          <w:ilvl w:val="0"/>
          <w:numId w:val="0"/>
        </w:numPr>
        <w:rPr>
          <w:rFonts w:hint="eastAsia"/>
        </w:rPr>
      </w:pPr>
    </w:p>
    <w:p>
      <w:pPr>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lang w:val="en-US" w:eastAsia="zh-CN"/>
        </w:rPr>
        <w:t>一、</w:t>
      </w:r>
      <w:r>
        <w:rPr>
          <w:rFonts w:hint="eastAsia" w:ascii="仿宋" w:hAnsi="仿宋" w:eastAsia="仿宋" w:cs="仿宋"/>
          <w:b/>
          <w:bCs/>
          <w:sz w:val="28"/>
          <w:szCs w:val="28"/>
        </w:rPr>
        <w:t>为充分体现公平、公正、公开原则，择优选择供应商，参加投标的单位必须满足本项目投标供应商的资质要求。 </w:t>
      </w:r>
    </w:p>
    <w:p>
      <w:pPr>
        <w:numPr>
          <w:ilvl w:val="0"/>
          <w:numId w:val="0"/>
        </w:num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1.本项目的潜在供应商应在</w:t>
      </w:r>
      <w:r>
        <w:rPr>
          <w:rFonts w:hint="eastAsia" w:ascii="仿宋" w:hAnsi="仿宋" w:eastAsia="仿宋" w:cs="仿宋"/>
          <w:sz w:val="28"/>
          <w:szCs w:val="28"/>
          <w:lang w:val="en-US" w:eastAsia="zh-CN"/>
        </w:rPr>
        <w:t>递交</w:t>
      </w:r>
      <w:r>
        <w:rPr>
          <w:rFonts w:hint="eastAsia" w:ascii="仿宋" w:hAnsi="仿宋" w:eastAsia="仿宋" w:cs="仿宋"/>
          <w:sz w:val="28"/>
          <w:szCs w:val="28"/>
        </w:rPr>
        <w:t>投标</w:t>
      </w:r>
      <w:r>
        <w:rPr>
          <w:rFonts w:hint="eastAsia" w:ascii="仿宋" w:hAnsi="仿宋" w:eastAsia="仿宋" w:cs="仿宋"/>
          <w:sz w:val="28"/>
          <w:szCs w:val="28"/>
          <w:lang w:val="en-US" w:eastAsia="zh-CN"/>
        </w:rPr>
        <w:t>文件</w:t>
      </w:r>
      <w:r>
        <w:rPr>
          <w:rFonts w:hint="eastAsia" w:ascii="仿宋" w:hAnsi="仿宋" w:eastAsia="仿宋" w:cs="仿宋"/>
          <w:sz w:val="28"/>
          <w:szCs w:val="28"/>
        </w:rPr>
        <w:t>截止日之前到医院招采办报名投标。</w:t>
      </w:r>
    </w:p>
    <w:p>
      <w:pPr>
        <w:numPr>
          <w:ilvl w:val="0"/>
          <w:numId w:val="0"/>
        </w:numPr>
        <w:snapToGrid w:val="0"/>
        <w:spacing w:line="500" w:lineRule="exact"/>
        <w:ind w:firstLine="560" w:firstLineChars="200"/>
        <w:rPr>
          <w:rFonts w:hint="eastAsia" w:ascii="仿宋" w:hAnsi="仿宋" w:eastAsia="仿宋" w:cs="仿宋"/>
          <w:b/>
          <w:bCs/>
          <w:sz w:val="28"/>
          <w:szCs w:val="28"/>
          <w:lang w:eastAsia="zh-CN"/>
        </w:rPr>
      </w:pPr>
      <w:r>
        <w:rPr>
          <w:rFonts w:hint="eastAsia" w:ascii="仿宋" w:hAnsi="仿宋" w:eastAsia="仿宋" w:cs="仿宋"/>
          <w:sz w:val="28"/>
          <w:szCs w:val="28"/>
        </w:rPr>
        <w:t>2.</w:t>
      </w:r>
      <w:r>
        <w:rPr>
          <w:rFonts w:hint="eastAsia" w:ascii="仿宋" w:hAnsi="仿宋" w:eastAsia="仿宋" w:cs="仿宋"/>
          <w:sz w:val="28"/>
          <w:szCs w:val="28"/>
          <w:lang w:val="en-US" w:eastAsia="zh-CN"/>
        </w:rPr>
        <w:t>符合条件</w:t>
      </w:r>
      <w:r>
        <w:rPr>
          <w:rFonts w:hint="eastAsia" w:ascii="仿宋" w:hAnsi="仿宋" w:eastAsia="仿宋" w:cs="仿宋"/>
          <w:sz w:val="28"/>
          <w:szCs w:val="28"/>
        </w:rPr>
        <w:t>的供应商严格按照采购单位提供的招标文件，认真填写投标资料，并在规定时间将</w:t>
      </w:r>
      <w:r>
        <w:rPr>
          <w:rFonts w:hint="eastAsia" w:ascii="仿宋" w:hAnsi="仿宋" w:eastAsia="仿宋" w:cs="仿宋"/>
          <w:b/>
          <w:bCs/>
          <w:sz w:val="28"/>
          <w:szCs w:val="28"/>
        </w:rPr>
        <w:t>投标文件密封</w:t>
      </w:r>
      <w:r>
        <w:rPr>
          <w:rFonts w:hint="eastAsia" w:ascii="仿宋" w:hAnsi="仿宋" w:eastAsia="仿宋" w:cs="仿宋"/>
          <w:sz w:val="28"/>
          <w:szCs w:val="28"/>
        </w:rPr>
        <w:t>送达</w:t>
      </w:r>
      <w:r>
        <w:rPr>
          <w:rFonts w:hint="eastAsia" w:ascii="仿宋" w:hAnsi="仿宋" w:eastAsia="仿宋" w:cs="仿宋"/>
          <w:sz w:val="28"/>
          <w:szCs w:val="28"/>
          <w:lang w:val="en-US" w:eastAsia="zh-CN"/>
        </w:rPr>
        <w:t>指定</w:t>
      </w:r>
      <w:r>
        <w:rPr>
          <w:rFonts w:hint="eastAsia" w:ascii="仿宋" w:hAnsi="仿宋" w:eastAsia="仿宋" w:cs="仿宋"/>
          <w:sz w:val="28"/>
          <w:szCs w:val="28"/>
        </w:rPr>
        <w:t>地点。投标单位法定代表人或授权代表在规定的时间内未递交投标资料的，视为自动放弃</w:t>
      </w:r>
      <w:r>
        <w:rPr>
          <w:rFonts w:hint="eastAsia" w:ascii="仿宋" w:hAnsi="仿宋" w:eastAsia="仿宋" w:cs="仿宋"/>
          <w:sz w:val="28"/>
          <w:szCs w:val="28"/>
          <w:lang w:eastAsia="zh-CN"/>
        </w:rPr>
        <w:t>。</w:t>
      </w:r>
    </w:p>
    <w:p>
      <w:pPr>
        <w:numPr>
          <w:ilvl w:val="0"/>
          <w:numId w:val="0"/>
        </w:numPr>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3.院内公开招标</w:t>
      </w:r>
      <w:r>
        <w:rPr>
          <w:rFonts w:hint="eastAsia" w:ascii="仿宋" w:hAnsi="仿宋" w:eastAsia="仿宋" w:cs="仿宋"/>
          <w:sz w:val="28"/>
          <w:szCs w:val="28"/>
        </w:rPr>
        <w:t>有效投标的供应商不足三家，不得开标。</w:t>
      </w:r>
    </w:p>
    <w:p>
      <w:pPr>
        <w:numPr>
          <w:ilvl w:val="0"/>
          <w:numId w:val="0"/>
        </w:num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存在下列情形的，应予废标：</w:t>
      </w:r>
    </w:p>
    <w:p>
      <w:pPr>
        <w:snapToGrid w:val="0"/>
        <w:spacing w:line="500" w:lineRule="exact"/>
        <w:ind w:firstLine="638" w:firstLineChars="228"/>
        <w:rPr>
          <w:rFonts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符合专业条件的供应商或者对招标文件作实质性响应的供应商不足三家的；</w:t>
      </w:r>
    </w:p>
    <w:p>
      <w:pPr>
        <w:snapToGrid w:val="0"/>
        <w:spacing w:line="500" w:lineRule="exact"/>
        <w:ind w:firstLine="638" w:firstLineChars="228"/>
        <w:rPr>
          <w:rFonts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出现影响采购公正的违法、违规行为的；</w:t>
      </w:r>
    </w:p>
    <w:p>
      <w:pPr>
        <w:snapToGrid w:val="0"/>
        <w:spacing w:line="500" w:lineRule="exact"/>
        <w:ind w:firstLine="638" w:firstLineChars="228"/>
        <w:rPr>
          <w:rFonts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rPr>
        <w:t>投标人的报价均超过采购预算或最高限价，采购人不能支付的；</w:t>
      </w:r>
    </w:p>
    <w:p>
      <w:pPr>
        <w:snapToGrid w:val="0"/>
        <w:spacing w:line="500" w:lineRule="exact"/>
        <w:ind w:firstLine="638" w:firstLineChars="228"/>
        <w:rPr>
          <w:rFonts w:ascii="仿宋" w:hAnsi="仿宋" w:eastAsia="仿宋" w:cs="仿宋"/>
          <w:kern w:val="0"/>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w:t>
      </w:r>
      <w:r>
        <w:rPr>
          <w:rFonts w:hint="eastAsia" w:ascii="仿宋" w:hAnsi="仿宋" w:eastAsia="仿宋" w:cs="仿宋"/>
          <w:sz w:val="28"/>
          <w:szCs w:val="28"/>
        </w:rPr>
        <w:t>因重大变故，采购任务取消的。</w:t>
      </w:r>
    </w:p>
    <w:p>
      <w:pPr>
        <w:numPr>
          <w:ilvl w:val="0"/>
          <w:numId w:val="0"/>
        </w:numPr>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投标文件有效期</w:t>
      </w:r>
    </w:p>
    <w:p>
      <w:pPr>
        <w:snapToGrid w:val="0"/>
        <w:spacing w:line="500" w:lineRule="exact"/>
        <w:ind w:firstLine="638" w:firstLineChars="228"/>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在递交投标文件截止日期之后的60天内有效。</w:t>
      </w:r>
    </w:p>
    <w:p>
      <w:pPr>
        <w:snapToGrid w:val="0"/>
        <w:spacing w:line="500" w:lineRule="exact"/>
        <w:ind w:firstLine="638" w:firstLineChars="228"/>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在原定投标文件有效期满之前，如果出现特殊情况，招采办可以书面形式向供应商提出延长投标文件有效期的要求。</w:t>
      </w:r>
    </w:p>
    <w:p>
      <w:pPr>
        <w:numPr>
          <w:ilvl w:val="0"/>
          <w:numId w:val="0"/>
        </w:numPr>
        <w:snapToGrid w:val="0"/>
        <w:spacing w:line="500" w:lineRule="exact"/>
        <w:ind w:left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二、</w:t>
      </w:r>
      <w:r>
        <w:rPr>
          <w:rFonts w:hint="eastAsia" w:ascii="仿宋_GB2312" w:hAnsi="仿宋_GB2312" w:eastAsia="仿宋_GB2312" w:cs="仿宋_GB2312"/>
          <w:b/>
          <w:bCs/>
          <w:sz w:val="28"/>
          <w:szCs w:val="28"/>
        </w:rPr>
        <w:t>需提供资料及标准</w:t>
      </w:r>
    </w:p>
    <w:p>
      <w:pPr>
        <w:numPr>
          <w:ilvl w:val="0"/>
          <w:numId w:val="0"/>
        </w:numPr>
        <w:snapToGrid w:val="0"/>
        <w:spacing w:line="500" w:lineRule="exact"/>
        <w:ind w:right="-105" w:rightChars="-50" w:firstLine="560" w:firstLineChars="200"/>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sz w:val="28"/>
          <w:szCs w:val="36"/>
          <w:highlight w:val="none"/>
          <w:lang w:eastAsia="zh-CN"/>
        </w:rPr>
        <w:t>（</w:t>
      </w:r>
      <w:r>
        <w:rPr>
          <w:rFonts w:hint="eastAsia" w:ascii="仿宋_GB2312" w:hAnsi="仿宋_GB2312" w:eastAsia="仿宋_GB2312" w:cs="仿宋_GB2312"/>
          <w:sz w:val="28"/>
          <w:szCs w:val="36"/>
          <w:highlight w:val="none"/>
          <w:lang w:val="en-US" w:eastAsia="zh-CN"/>
        </w:rPr>
        <w:t>一</w:t>
      </w:r>
      <w:r>
        <w:rPr>
          <w:rFonts w:hint="eastAsia" w:ascii="仿宋_GB2312" w:hAnsi="仿宋_GB2312" w:eastAsia="仿宋_GB2312" w:cs="仿宋_GB2312"/>
          <w:sz w:val="28"/>
          <w:szCs w:val="36"/>
          <w:highlight w:val="none"/>
          <w:lang w:eastAsia="zh-CN"/>
        </w:rPr>
        <w:t>）</w:t>
      </w:r>
      <w:r>
        <w:rPr>
          <w:rFonts w:hint="eastAsia" w:ascii="仿宋_GB2312" w:hAnsi="仿宋_GB2312" w:eastAsia="仿宋_GB2312" w:cs="仿宋_GB2312"/>
          <w:sz w:val="28"/>
          <w:szCs w:val="36"/>
          <w:highlight w:val="none"/>
        </w:rPr>
        <w:t>投标文件的规定。投标文件</w:t>
      </w:r>
      <w:r>
        <w:rPr>
          <w:rFonts w:hint="eastAsia" w:ascii="仿宋_GB2312" w:hAnsi="仿宋_GB2312" w:eastAsia="仿宋_GB2312" w:cs="仿宋_GB2312"/>
          <w:b/>
          <w:bCs/>
          <w:sz w:val="28"/>
          <w:szCs w:val="36"/>
          <w:highlight w:val="none"/>
        </w:rPr>
        <w:t>须密封装袋</w:t>
      </w:r>
      <w:r>
        <w:rPr>
          <w:rFonts w:hint="eastAsia" w:ascii="仿宋_GB2312" w:hAnsi="仿宋_GB2312" w:eastAsia="仿宋_GB2312" w:cs="仿宋_GB2312"/>
          <w:sz w:val="28"/>
          <w:szCs w:val="36"/>
          <w:highlight w:val="none"/>
        </w:rPr>
        <w:t>，制作</w:t>
      </w:r>
      <w:r>
        <w:rPr>
          <w:rFonts w:hint="eastAsia" w:ascii="仿宋_GB2312" w:hAnsi="仿宋_GB2312" w:eastAsia="仿宋_GB2312" w:cs="仿宋_GB2312"/>
          <w:b/>
          <w:bCs/>
          <w:sz w:val="28"/>
          <w:szCs w:val="36"/>
          <w:highlight w:val="none"/>
        </w:rPr>
        <w:t>一本正本，</w:t>
      </w:r>
      <w:r>
        <w:rPr>
          <w:rFonts w:hint="eastAsia" w:ascii="仿宋_GB2312" w:hAnsi="仿宋_GB2312" w:eastAsia="仿宋_GB2312" w:cs="仿宋_GB2312"/>
          <w:b/>
          <w:bCs/>
          <w:sz w:val="28"/>
          <w:szCs w:val="36"/>
          <w:highlight w:val="none"/>
          <w:lang w:val="en-US" w:eastAsia="zh-CN"/>
        </w:rPr>
        <w:t>2</w:t>
      </w:r>
      <w:r>
        <w:rPr>
          <w:rFonts w:hint="eastAsia" w:ascii="仿宋_GB2312" w:hAnsi="仿宋_GB2312" w:eastAsia="仿宋_GB2312" w:cs="仿宋_GB2312"/>
          <w:b/>
          <w:bCs/>
          <w:sz w:val="28"/>
          <w:szCs w:val="36"/>
          <w:highlight w:val="none"/>
        </w:rPr>
        <w:t>本副本（另：提交一本电子投标文件，用U盘拷贝，U盘不退还）</w:t>
      </w:r>
      <w:r>
        <w:rPr>
          <w:rFonts w:hint="eastAsia" w:ascii="仿宋_GB2312" w:hAnsi="仿宋_GB2312" w:eastAsia="仿宋_GB2312" w:cs="仿宋_GB2312"/>
          <w:sz w:val="28"/>
          <w:szCs w:val="36"/>
          <w:highlight w:val="none"/>
        </w:rPr>
        <w:t>，每份投标文件必须装订且须在封面上清楚标明“</w:t>
      </w:r>
      <w:r>
        <w:rPr>
          <w:rFonts w:hint="eastAsia" w:ascii="仿宋_GB2312" w:hAnsi="仿宋_GB2312" w:eastAsia="仿宋_GB2312" w:cs="仿宋_GB2312"/>
          <w:b/>
          <w:bCs/>
          <w:sz w:val="28"/>
          <w:szCs w:val="36"/>
          <w:highlight w:val="none"/>
        </w:rPr>
        <w:t>正本</w:t>
      </w:r>
      <w:r>
        <w:rPr>
          <w:rFonts w:hint="eastAsia" w:ascii="仿宋_GB2312" w:hAnsi="仿宋_GB2312" w:eastAsia="仿宋_GB2312" w:cs="仿宋_GB2312"/>
          <w:sz w:val="28"/>
          <w:szCs w:val="36"/>
          <w:highlight w:val="none"/>
        </w:rPr>
        <w:t>”或“</w:t>
      </w:r>
      <w:r>
        <w:rPr>
          <w:rFonts w:hint="eastAsia" w:ascii="仿宋_GB2312" w:hAnsi="仿宋_GB2312" w:eastAsia="仿宋_GB2312" w:cs="仿宋_GB2312"/>
          <w:b/>
          <w:bCs/>
          <w:sz w:val="28"/>
          <w:szCs w:val="36"/>
          <w:highlight w:val="none"/>
        </w:rPr>
        <w:t>副本</w:t>
      </w:r>
      <w:r>
        <w:rPr>
          <w:rFonts w:hint="eastAsia" w:ascii="仿宋_GB2312" w:hAnsi="仿宋_GB2312" w:eastAsia="仿宋_GB2312" w:cs="仿宋_GB2312"/>
          <w:sz w:val="28"/>
          <w:szCs w:val="36"/>
          <w:highlight w:val="none"/>
        </w:rPr>
        <w:t>”字样。一旦正本与副本不符，以正本为准。 投标文件不得涂改和增删，如要修改错漏处，必须由同一签署人</w:t>
      </w:r>
      <w:r>
        <w:rPr>
          <w:rFonts w:hint="eastAsia" w:ascii="仿宋_GB2312" w:hAnsi="仿宋_GB2312" w:eastAsia="仿宋_GB2312" w:cs="仿宋_GB2312"/>
          <w:b/>
          <w:bCs/>
          <w:sz w:val="28"/>
          <w:szCs w:val="36"/>
          <w:highlight w:val="none"/>
        </w:rPr>
        <w:t>在修改处签字或盖章</w:t>
      </w:r>
      <w:r>
        <w:rPr>
          <w:rFonts w:hint="eastAsia" w:ascii="仿宋_GB2312" w:hAnsi="仿宋_GB2312" w:eastAsia="仿宋_GB2312" w:cs="仿宋_GB2312"/>
          <w:sz w:val="28"/>
          <w:szCs w:val="36"/>
          <w:highlight w:val="none"/>
        </w:rPr>
        <w:t>。</w:t>
      </w:r>
    </w:p>
    <w:p>
      <w:pPr>
        <w:numPr>
          <w:ilvl w:val="0"/>
          <w:numId w:val="0"/>
        </w:numPr>
        <w:ind w:firstLine="562" w:firstLineChars="20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lang w:val="en-US" w:eastAsia="zh-CN"/>
        </w:rPr>
        <w:t>二</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rPr>
        <w:t>提供本项目开标一览表一份，开标一览表须加盖公章并单独密封，供应商</w:t>
      </w:r>
      <w:r>
        <w:rPr>
          <w:rFonts w:hint="eastAsia" w:ascii="仿宋_GB2312" w:hAnsi="仿宋_GB2312" w:eastAsia="仿宋_GB2312" w:cs="仿宋_GB2312"/>
          <w:b/>
          <w:bCs/>
          <w:sz w:val="28"/>
          <w:szCs w:val="28"/>
          <w:highlight w:val="none"/>
          <w:lang w:val="en-US" w:eastAsia="zh-CN"/>
        </w:rPr>
        <w:t>须</w:t>
      </w:r>
      <w:r>
        <w:rPr>
          <w:rFonts w:hint="eastAsia" w:ascii="仿宋_GB2312" w:hAnsi="仿宋_GB2312" w:eastAsia="仿宋_GB2312" w:cs="仿宋_GB2312"/>
          <w:b/>
          <w:bCs/>
          <w:sz w:val="28"/>
          <w:szCs w:val="28"/>
          <w:highlight w:val="none"/>
        </w:rPr>
        <w:t>在开标一览表上签名确认。</w:t>
      </w:r>
    </w:p>
    <w:p>
      <w:pPr>
        <w:numPr>
          <w:ilvl w:val="0"/>
          <w:numId w:val="0"/>
        </w:numPr>
        <w:ind w:firstLine="560" w:firstLineChars="200"/>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lang w:val="en-US" w:eastAsia="zh-CN"/>
        </w:rPr>
        <w:t>三</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资料封面注有公司名称、地址、联系人、手机号码、办公电话和邮箱地址。</w:t>
      </w:r>
    </w:p>
    <w:p>
      <w:pPr>
        <w:numPr>
          <w:ilvl w:val="0"/>
          <w:numId w:val="9"/>
        </w:numPr>
        <w:snapToGrid w:val="0"/>
        <w:spacing w:line="500" w:lineRule="exact"/>
        <w:ind w:right="-105" w:rightChars="-50" w:hanging="5"/>
        <w:jc w:val="left"/>
        <w:rPr>
          <w:rFonts w:ascii="仿宋_GB2312" w:hAnsi="仿宋_GB2312" w:eastAsia="仿宋_GB2312" w:cs="仿宋_GB2312"/>
          <w:snapToGrid w:val="0"/>
          <w:kern w:val="144"/>
          <w:sz w:val="28"/>
          <w:szCs w:val="28"/>
        </w:rPr>
      </w:pPr>
      <w:r>
        <w:rPr>
          <w:rFonts w:hint="eastAsia" w:ascii="仿宋_GB2312" w:hAnsi="仿宋_GB2312" w:eastAsia="仿宋_GB2312" w:cs="仿宋_GB2312"/>
          <w:snapToGrid w:val="0"/>
          <w:kern w:val="144"/>
          <w:sz w:val="28"/>
          <w:szCs w:val="28"/>
        </w:rPr>
        <w:t>所有资料要有封面、目录、页码、装订成册。</w:t>
      </w:r>
    </w:p>
    <w:p>
      <w:pPr>
        <w:numPr>
          <w:ilvl w:val="0"/>
          <w:numId w:val="9"/>
        </w:numPr>
        <w:snapToGrid w:val="0"/>
        <w:spacing w:line="500" w:lineRule="exact"/>
        <w:ind w:right="-105" w:rightChars="-50" w:hanging="5"/>
        <w:jc w:val="left"/>
        <w:rPr>
          <w:rFonts w:ascii="仿宋_GB2312" w:hAnsi="仿宋_GB2312" w:eastAsia="仿宋_GB2312" w:cs="仿宋_GB2312"/>
          <w:snapToGrid w:val="0"/>
          <w:kern w:val="144"/>
          <w:sz w:val="28"/>
          <w:szCs w:val="28"/>
        </w:rPr>
      </w:pPr>
      <w:r>
        <w:rPr>
          <w:rFonts w:hint="eastAsia" w:ascii="仿宋_GB2312" w:hAnsi="仿宋_GB2312" w:eastAsia="仿宋_GB2312" w:cs="仿宋_GB2312"/>
          <w:snapToGrid w:val="0"/>
          <w:kern w:val="144"/>
          <w:sz w:val="28"/>
          <w:szCs w:val="28"/>
        </w:rPr>
        <w:t>所有资料</w:t>
      </w:r>
      <w:r>
        <w:rPr>
          <w:rFonts w:hint="eastAsia" w:ascii="仿宋_GB2312" w:hAnsi="仿宋_GB2312" w:eastAsia="仿宋_GB2312" w:cs="仿宋_GB2312"/>
          <w:b/>
          <w:bCs/>
          <w:snapToGrid w:val="0"/>
          <w:kern w:val="144"/>
          <w:sz w:val="28"/>
          <w:szCs w:val="28"/>
        </w:rPr>
        <w:t>每页须加盖公章</w:t>
      </w:r>
      <w:r>
        <w:rPr>
          <w:rFonts w:hint="eastAsia" w:ascii="仿宋_GB2312" w:hAnsi="仿宋_GB2312" w:eastAsia="仿宋_GB2312" w:cs="仿宋_GB2312"/>
          <w:snapToGrid w:val="0"/>
          <w:kern w:val="144"/>
          <w:sz w:val="28"/>
          <w:szCs w:val="28"/>
        </w:rPr>
        <w:t>。</w:t>
      </w:r>
    </w:p>
    <w:p>
      <w:pPr>
        <w:numPr>
          <w:ilvl w:val="0"/>
          <w:numId w:val="9"/>
        </w:numPr>
        <w:snapToGrid w:val="0"/>
        <w:spacing w:line="500" w:lineRule="exact"/>
        <w:ind w:right="-105" w:rightChars="-50" w:hanging="5"/>
        <w:jc w:val="left"/>
        <w:rPr>
          <w:rFonts w:ascii="仿宋_GB2312" w:hAnsi="仿宋_GB2312" w:eastAsia="仿宋_GB2312" w:cs="仿宋_GB2312"/>
          <w:snapToGrid w:val="0"/>
          <w:kern w:val="144"/>
          <w:sz w:val="28"/>
          <w:szCs w:val="28"/>
        </w:rPr>
      </w:pPr>
      <w:r>
        <w:rPr>
          <w:rFonts w:hint="eastAsia" w:ascii="仿宋_GB2312" w:hAnsi="仿宋_GB2312" w:eastAsia="仿宋_GB2312" w:cs="仿宋_GB2312"/>
          <w:snapToGrid w:val="0"/>
          <w:kern w:val="144"/>
          <w:sz w:val="28"/>
          <w:szCs w:val="28"/>
        </w:rPr>
        <w:t>所有资料须</w:t>
      </w:r>
      <w:r>
        <w:rPr>
          <w:rFonts w:hint="eastAsia" w:ascii="仿宋_GB2312" w:hAnsi="仿宋_GB2312" w:eastAsia="仿宋_GB2312" w:cs="仿宋_GB2312"/>
          <w:b/>
          <w:bCs/>
          <w:snapToGrid w:val="0"/>
          <w:kern w:val="144"/>
          <w:sz w:val="28"/>
          <w:szCs w:val="28"/>
        </w:rPr>
        <w:t>密封并加盖公章</w:t>
      </w:r>
      <w:r>
        <w:rPr>
          <w:rFonts w:hint="eastAsia" w:ascii="仿宋_GB2312" w:hAnsi="仿宋_GB2312" w:eastAsia="仿宋_GB2312" w:cs="仿宋_GB2312"/>
          <w:snapToGrid w:val="0"/>
          <w:kern w:val="144"/>
          <w:sz w:val="28"/>
          <w:szCs w:val="28"/>
        </w:rPr>
        <w:t>。</w:t>
      </w:r>
    </w:p>
    <w:p>
      <w:pPr>
        <w:numPr>
          <w:ilvl w:val="0"/>
          <w:numId w:val="0"/>
        </w:numPr>
        <w:snapToGrid w:val="0"/>
        <w:spacing w:line="500" w:lineRule="exact"/>
        <w:ind w:right="-105" w:rightChars="-50" w:firstLine="560" w:firstLineChars="200"/>
        <w:rPr>
          <w:rFonts w:ascii="仿宋_GB2312" w:hAnsi="仿宋_GB2312" w:eastAsia="仿宋_GB2312" w:cs="仿宋_GB2312"/>
          <w:snapToGrid w:val="0"/>
          <w:kern w:val="144"/>
          <w:sz w:val="28"/>
          <w:szCs w:val="28"/>
        </w:rPr>
      </w:pPr>
      <w:r>
        <w:rPr>
          <w:rFonts w:hint="eastAsia" w:ascii="仿宋_GB2312" w:hAnsi="仿宋_GB2312" w:eastAsia="仿宋_GB2312" w:cs="仿宋_GB2312"/>
          <w:snapToGrid w:val="0"/>
          <w:kern w:val="144"/>
          <w:sz w:val="28"/>
          <w:szCs w:val="28"/>
          <w:lang w:eastAsia="zh-CN"/>
        </w:rPr>
        <w:t>（</w:t>
      </w:r>
      <w:r>
        <w:rPr>
          <w:rFonts w:hint="eastAsia" w:ascii="仿宋_GB2312" w:hAnsi="仿宋_GB2312" w:eastAsia="仿宋_GB2312" w:cs="仿宋_GB2312"/>
          <w:snapToGrid w:val="0"/>
          <w:kern w:val="144"/>
          <w:sz w:val="28"/>
          <w:szCs w:val="28"/>
          <w:lang w:val="en-US" w:eastAsia="zh-CN"/>
        </w:rPr>
        <w:t>四</w:t>
      </w:r>
      <w:r>
        <w:rPr>
          <w:rFonts w:hint="eastAsia" w:ascii="仿宋_GB2312" w:hAnsi="仿宋_GB2312" w:eastAsia="仿宋_GB2312" w:cs="仿宋_GB2312"/>
          <w:snapToGrid w:val="0"/>
          <w:kern w:val="144"/>
          <w:sz w:val="28"/>
          <w:szCs w:val="28"/>
          <w:lang w:eastAsia="zh-CN"/>
        </w:rPr>
        <w:t>）</w:t>
      </w:r>
      <w:r>
        <w:rPr>
          <w:rFonts w:hint="eastAsia" w:ascii="仿宋_GB2312" w:hAnsi="仿宋_GB2312" w:eastAsia="仿宋_GB2312" w:cs="仿宋_GB2312"/>
          <w:snapToGrid w:val="0"/>
          <w:kern w:val="144"/>
          <w:sz w:val="28"/>
          <w:szCs w:val="28"/>
        </w:rPr>
        <w:t>携带完整资料到招采办报名登记好公司名称、业务代表姓名、联系电话及提供的产品项目。</w:t>
      </w:r>
    </w:p>
    <w:p>
      <w:pPr>
        <w:numPr>
          <w:ilvl w:val="0"/>
          <w:numId w:val="0"/>
        </w:numPr>
        <w:snapToGrid w:val="0"/>
        <w:spacing w:line="500" w:lineRule="exact"/>
        <w:ind w:right="-105" w:rightChars="-50" w:firstLine="560" w:firstLineChars="200"/>
        <w:rPr>
          <w:rFonts w:ascii="仿宋_GB2312" w:hAnsi="仿宋_GB2312" w:eastAsia="仿宋_GB2312" w:cs="仿宋_GB2312"/>
          <w:snapToGrid w:val="0"/>
          <w:kern w:val="144"/>
          <w:sz w:val="28"/>
          <w:szCs w:val="28"/>
        </w:rPr>
      </w:pPr>
      <w:r>
        <w:rPr>
          <w:rFonts w:hint="eastAsia" w:ascii="仿宋_GB2312" w:hAnsi="仿宋_GB2312" w:eastAsia="仿宋_GB2312" w:cs="仿宋_GB2312"/>
          <w:snapToGrid w:val="0"/>
          <w:kern w:val="144"/>
          <w:sz w:val="28"/>
          <w:szCs w:val="28"/>
          <w:lang w:eastAsia="zh-CN"/>
        </w:rPr>
        <w:t>（</w:t>
      </w:r>
      <w:r>
        <w:rPr>
          <w:rFonts w:hint="eastAsia" w:ascii="仿宋_GB2312" w:hAnsi="仿宋_GB2312" w:eastAsia="仿宋_GB2312" w:cs="仿宋_GB2312"/>
          <w:snapToGrid w:val="0"/>
          <w:kern w:val="144"/>
          <w:sz w:val="28"/>
          <w:szCs w:val="28"/>
          <w:lang w:val="en-US" w:eastAsia="zh-CN"/>
        </w:rPr>
        <w:t>五</w:t>
      </w:r>
      <w:r>
        <w:rPr>
          <w:rFonts w:hint="eastAsia" w:ascii="仿宋_GB2312" w:hAnsi="仿宋_GB2312" w:eastAsia="仿宋_GB2312" w:cs="仿宋_GB2312"/>
          <w:snapToGrid w:val="0"/>
          <w:kern w:val="144"/>
          <w:sz w:val="28"/>
          <w:szCs w:val="28"/>
          <w:lang w:eastAsia="zh-CN"/>
        </w:rPr>
        <w:t>）</w:t>
      </w:r>
      <w:r>
        <w:rPr>
          <w:rFonts w:hint="eastAsia" w:ascii="仿宋_GB2312" w:hAnsi="仿宋_GB2312" w:eastAsia="仿宋_GB2312" w:cs="仿宋_GB2312"/>
          <w:snapToGrid w:val="0"/>
          <w:kern w:val="144"/>
          <w:sz w:val="28"/>
          <w:szCs w:val="28"/>
        </w:rPr>
        <w:t>经取得院内公开采购的项目在验收时，其实际质量与其参加院内公开采购时提供的条件不符或在规定时间内拒签合同以及不按合同条款执行合同者均视为不履行合约，我院将其供应商列入我院黑名单及上报有关部门，在一年内不允许该公司参加我院内公开采购活动。</w:t>
      </w:r>
    </w:p>
    <w:p>
      <w:pPr>
        <w:numPr>
          <w:ilvl w:val="0"/>
          <w:numId w:val="0"/>
        </w:numPr>
        <w:snapToGrid w:val="0"/>
        <w:spacing w:line="500" w:lineRule="exact"/>
        <w:ind w:right="-105" w:rightChars="-50" w:firstLine="560" w:firstLineChars="200"/>
        <w:rPr>
          <w:rFonts w:ascii="仿宋_GB2312" w:hAnsi="仿宋_GB2312" w:eastAsia="仿宋_GB2312" w:cs="仿宋_GB2312"/>
          <w:sz w:val="28"/>
          <w:szCs w:val="36"/>
        </w:rPr>
      </w:pP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lang w:val="en-US" w:eastAsia="zh-CN"/>
        </w:rPr>
        <w:t>六</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投标人的产品质量及服务承诺书不能严重低于招标文件中的服务要求标准做出响应，允许出现负偏差，但不得出现严重负偏差。</w:t>
      </w:r>
    </w:p>
    <w:p>
      <w:pPr>
        <w:numPr>
          <w:ilvl w:val="0"/>
          <w:numId w:val="0"/>
        </w:numPr>
        <w:snapToGrid w:val="0"/>
        <w:spacing w:line="500" w:lineRule="exact"/>
        <w:ind w:right="-105" w:rightChars="-50" w:firstLine="560" w:firstLineChars="200"/>
        <w:rPr>
          <w:rFonts w:ascii="仿宋_GB2312" w:hAnsi="仿宋_GB2312" w:eastAsia="仿宋_GB2312" w:cs="仿宋_GB2312"/>
          <w:b/>
          <w:bCs/>
          <w:sz w:val="28"/>
          <w:szCs w:val="28"/>
        </w:rPr>
      </w:pP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lang w:val="en-US" w:eastAsia="zh-CN"/>
        </w:rPr>
        <w:t>七</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评审结束，中标</w:t>
      </w:r>
      <w:r>
        <w:rPr>
          <w:rFonts w:hint="eastAsia" w:ascii="仿宋_GB2312" w:hAnsi="仿宋_GB2312" w:eastAsia="仿宋_GB2312" w:cs="仿宋_GB2312"/>
          <w:sz w:val="28"/>
          <w:szCs w:val="36"/>
          <w:lang w:val="en-US" w:eastAsia="zh-CN"/>
        </w:rPr>
        <w:t>结果</w:t>
      </w:r>
      <w:r>
        <w:rPr>
          <w:rFonts w:hint="eastAsia" w:ascii="仿宋_GB2312" w:hAnsi="仿宋_GB2312" w:eastAsia="仿宋_GB2312" w:cs="仿宋_GB2312"/>
          <w:sz w:val="28"/>
          <w:szCs w:val="36"/>
        </w:rPr>
        <w:t>公示</w:t>
      </w:r>
      <w:r>
        <w:rPr>
          <w:rFonts w:hint="eastAsia" w:ascii="仿宋_GB2312" w:hAnsi="仿宋_GB2312" w:eastAsia="仿宋_GB2312" w:cs="仿宋_GB2312"/>
          <w:b/>
          <w:bCs/>
          <w:sz w:val="28"/>
          <w:szCs w:val="36"/>
        </w:rPr>
        <w:t>3天</w:t>
      </w:r>
      <w:r>
        <w:rPr>
          <w:rFonts w:hint="eastAsia" w:ascii="仿宋_GB2312" w:hAnsi="仿宋_GB2312" w:eastAsia="仿宋_GB2312" w:cs="仿宋_GB2312"/>
          <w:sz w:val="28"/>
          <w:szCs w:val="36"/>
        </w:rPr>
        <w:t>，中标供应商须在</w:t>
      </w:r>
      <w:r>
        <w:rPr>
          <w:rFonts w:hint="eastAsia" w:ascii="仿宋_GB2312" w:hAnsi="仿宋_GB2312" w:eastAsia="仿宋_GB2312" w:cs="仿宋_GB2312"/>
          <w:sz w:val="28"/>
          <w:szCs w:val="36"/>
          <w:lang w:val="en-US" w:eastAsia="zh-CN"/>
        </w:rPr>
        <w:t>收到我院中标通知书后</w:t>
      </w:r>
      <w:r>
        <w:rPr>
          <w:rFonts w:hint="eastAsia" w:ascii="仿宋_GB2312" w:hAnsi="仿宋_GB2312" w:eastAsia="仿宋_GB2312" w:cs="仿宋_GB2312"/>
          <w:b/>
          <w:bCs/>
          <w:sz w:val="28"/>
          <w:szCs w:val="36"/>
        </w:rPr>
        <w:t>10个工作日内</w:t>
      </w:r>
      <w:r>
        <w:rPr>
          <w:rFonts w:hint="eastAsia" w:ascii="仿宋_GB2312" w:hAnsi="仿宋_GB2312" w:eastAsia="仿宋_GB2312" w:cs="仿宋_GB2312"/>
          <w:sz w:val="28"/>
          <w:szCs w:val="36"/>
        </w:rPr>
        <w:t>到我院签署合同，超过</w:t>
      </w:r>
      <w:r>
        <w:rPr>
          <w:rFonts w:hint="eastAsia" w:ascii="仿宋_GB2312" w:hAnsi="仿宋_GB2312" w:eastAsia="仿宋_GB2312" w:cs="仿宋_GB2312"/>
          <w:b/>
          <w:bCs/>
          <w:sz w:val="28"/>
          <w:szCs w:val="36"/>
        </w:rPr>
        <w:t>10个工作日</w:t>
      </w:r>
      <w:r>
        <w:rPr>
          <w:rFonts w:hint="eastAsia" w:ascii="仿宋_GB2312" w:hAnsi="仿宋_GB2312" w:eastAsia="仿宋_GB2312" w:cs="仿宋_GB2312"/>
          <w:sz w:val="28"/>
          <w:szCs w:val="36"/>
        </w:rPr>
        <w:t>未前来签合同的，我院有权宣布本次采购结果作废，重新确定供应商。</w:t>
      </w:r>
    </w:p>
    <w:p>
      <w:pPr>
        <w:spacing w:line="560" w:lineRule="exact"/>
        <w:jc w:val="both"/>
        <w:rPr>
          <w:rFonts w:hint="eastAsia" w:ascii="仿宋" w:hAnsi="仿宋" w:eastAsia="仿宋" w:cs="仿宋"/>
          <w:b/>
          <w:bCs/>
          <w:sz w:val="36"/>
          <w:szCs w:val="36"/>
        </w:rPr>
      </w:pPr>
    </w:p>
    <w:p>
      <w:pPr>
        <w:pStyle w:val="10"/>
        <w:rPr>
          <w:rFonts w:hint="eastAsia"/>
        </w:rPr>
      </w:pPr>
    </w:p>
    <w:p>
      <w:pPr>
        <w:spacing w:line="560" w:lineRule="exact"/>
        <w:jc w:val="both"/>
        <w:rPr>
          <w:rFonts w:hint="eastAsia" w:ascii="仿宋" w:hAnsi="仿宋" w:eastAsia="仿宋" w:cs="仿宋"/>
          <w:b/>
          <w:bCs/>
          <w:sz w:val="36"/>
          <w:szCs w:val="36"/>
        </w:rPr>
      </w:pPr>
    </w:p>
    <w:p>
      <w:pPr>
        <w:numPr>
          <w:ilvl w:val="0"/>
          <w:numId w:val="0"/>
        </w:numPr>
        <w:spacing w:line="560" w:lineRule="exact"/>
        <w:ind w:leftChars="0"/>
        <w:jc w:val="both"/>
        <w:rPr>
          <w:rFonts w:hint="eastAsia" w:ascii="仿宋" w:hAnsi="仿宋" w:eastAsia="仿宋" w:cs="仿宋"/>
          <w:b w:val="0"/>
          <w:bCs w:val="0"/>
          <w:sz w:val="44"/>
          <w:szCs w:val="44"/>
          <w:lang w:val="en-US" w:eastAsia="zh-CN"/>
        </w:rPr>
      </w:pPr>
    </w:p>
    <w:p>
      <w:pPr>
        <w:pStyle w:val="2"/>
        <w:rPr>
          <w:rFonts w:hint="eastAsia" w:ascii="仿宋" w:hAnsi="仿宋" w:eastAsia="仿宋" w:cs="仿宋"/>
          <w:b w:val="0"/>
          <w:bCs w:val="0"/>
          <w:sz w:val="44"/>
          <w:szCs w:val="44"/>
          <w:lang w:val="en-US" w:eastAsia="zh-CN"/>
        </w:rPr>
      </w:pPr>
    </w:p>
    <w:p>
      <w:pPr>
        <w:rPr>
          <w:rFonts w:hint="eastAsia" w:ascii="仿宋" w:hAnsi="仿宋" w:eastAsia="仿宋" w:cs="仿宋"/>
          <w:b w:val="0"/>
          <w:bCs w:val="0"/>
          <w:sz w:val="44"/>
          <w:szCs w:val="44"/>
          <w:lang w:val="en-US" w:eastAsia="zh-CN"/>
        </w:rPr>
      </w:pPr>
    </w:p>
    <w:p>
      <w:pPr>
        <w:pStyle w:val="2"/>
        <w:rPr>
          <w:rFonts w:hint="eastAsia"/>
          <w:lang w:val="en-US" w:eastAsia="zh-CN"/>
        </w:rPr>
      </w:pPr>
    </w:p>
    <w:p>
      <w:pPr>
        <w:numPr>
          <w:ilvl w:val="0"/>
          <w:numId w:val="0"/>
        </w:numPr>
        <w:spacing w:line="560" w:lineRule="exact"/>
        <w:ind w:left="2882" w:leftChars="0"/>
        <w:jc w:val="both"/>
        <w:rPr>
          <w:rFonts w:hint="eastAsia"/>
        </w:rPr>
      </w:pPr>
      <w:r>
        <w:rPr>
          <w:rFonts w:hint="eastAsia" w:ascii="仿宋" w:hAnsi="仿宋" w:eastAsia="仿宋" w:cs="仿宋"/>
          <w:b w:val="0"/>
          <w:bCs w:val="0"/>
          <w:sz w:val="44"/>
          <w:szCs w:val="44"/>
          <w:lang w:val="en-US" w:eastAsia="zh-CN"/>
        </w:rPr>
        <w:t xml:space="preserve">第五章 </w:t>
      </w:r>
      <w:r>
        <w:rPr>
          <w:rFonts w:hint="eastAsia" w:ascii="仿宋" w:hAnsi="仿宋" w:eastAsia="仿宋" w:cs="仿宋"/>
          <w:b w:val="0"/>
          <w:bCs w:val="0"/>
          <w:sz w:val="44"/>
          <w:szCs w:val="44"/>
        </w:rPr>
        <w:t>供应商标书</w:t>
      </w:r>
    </w:p>
    <w:tbl>
      <w:tblPr>
        <w:tblStyle w:val="20"/>
        <w:tblW w:w="8820"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0" w:hRule="atLeast"/>
        </w:trPr>
        <w:tc>
          <w:tcPr>
            <w:tcW w:w="8820" w:type="dxa"/>
            <w:noWrap/>
            <w:vAlign w:val="center"/>
          </w:tcPr>
          <w:p>
            <w:pPr>
              <w:jc w:val="center"/>
              <w:rPr>
                <w:rFonts w:hint="eastAsia" w:ascii="仿宋" w:hAnsi="仿宋" w:eastAsia="仿宋" w:cs="仿宋"/>
                <w:b/>
                <w:bCs/>
                <w:sz w:val="96"/>
                <w:szCs w:val="96"/>
              </w:rPr>
            </w:pPr>
          </w:p>
          <w:p>
            <w:pPr>
              <w:jc w:val="center"/>
              <w:rPr>
                <w:rFonts w:ascii="仿宋" w:hAnsi="仿宋" w:eastAsia="仿宋" w:cs="仿宋"/>
                <w:sz w:val="72"/>
                <w:szCs w:val="72"/>
              </w:rPr>
            </w:pPr>
            <w:r>
              <w:rPr>
                <w:rFonts w:hint="eastAsia" w:ascii="仿宋" w:hAnsi="仿宋" w:eastAsia="仿宋" w:cs="仿宋"/>
                <w:b/>
                <w:bCs/>
                <w:sz w:val="96"/>
                <w:szCs w:val="96"/>
              </w:rPr>
              <w:t>投标书</w:t>
            </w:r>
          </w:p>
          <w:p>
            <w:pPr>
              <w:jc w:val="center"/>
              <w:rPr>
                <w:rFonts w:ascii="仿宋" w:hAnsi="仿宋" w:eastAsia="仿宋" w:cs="仿宋"/>
                <w:sz w:val="72"/>
                <w:szCs w:val="72"/>
              </w:rPr>
            </w:pPr>
          </w:p>
          <w:p>
            <w:pPr>
              <w:rPr>
                <w:rFonts w:ascii="仿宋" w:hAnsi="仿宋" w:eastAsia="仿宋" w:cs="仿宋"/>
                <w:sz w:val="72"/>
                <w:szCs w:val="72"/>
              </w:rPr>
            </w:pPr>
          </w:p>
          <w:p>
            <w:pPr>
              <w:pStyle w:val="32"/>
              <w:spacing w:line="480" w:lineRule="exact"/>
              <w:ind w:left="0" w:leftChars="0" w:firstLine="0" w:firstLineChars="0"/>
              <w:jc w:val="center"/>
              <w:rPr>
                <w:rFonts w:hint="eastAsia" w:ascii="仿宋_GB2312" w:hAnsi="仿宋_GB2312" w:eastAsia="仿宋_GB2312" w:cs="仿宋_GB2312"/>
                <w:sz w:val="44"/>
                <w:szCs w:val="44"/>
                <w:lang w:val="en-US" w:eastAsia="zh-CN"/>
              </w:rPr>
            </w:pPr>
            <w:r>
              <w:rPr>
                <w:rFonts w:hint="eastAsia" w:ascii="仿宋_GB2312" w:hAnsi="仿宋_GB2312" w:eastAsia="仿宋_GB2312" w:cs="仿宋_GB2312"/>
                <w:sz w:val="44"/>
                <w:szCs w:val="44"/>
              </w:rPr>
              <w:t>项目</w:t>
            </w:r>
            <w:r>
              <w:rPr>
                <w:rFonts w:hint="eastAsia" w:ascii="仿宋_GB2312" w:hAnsi="仿宋_GB2312" w:eastAsia="仿宋_GB2312" w:cs="仿宋_GB2312"/>
                <w:sz w:val="44"/>
                <w:szCs w:val="44"/>
                <w:lang w:val="en-US" w:eastAsia="zh-CN"/>
              </w:rPr>
              <w:t>名称:房屋结构安全评估服务项目</w:t>
            </w:r>
          </w:p>
          <w:p>
            <w:pPr>
              <w:pStyle w:val="32"/>
              <w:spacing w:line="480" w:lineRule="exact"/>
              <w:ind w:left="0" w:leftChars="0" w:firstLine="0" w:firstLineChars="0"/>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（深龙</w:t>
            </w:r>
            <w:r>
              <w:rPr>
                <w:rFonts w:hint="eastAsia" w:ascii="仿宋_GB2312" w:hAnsi="仿宋_GB2312" w:eastAsia="仿宋_GB2312" w:cs="仿宋_GB2312"/>
                <w:sz w:val="44"/>
                <w:szCs w:val="44"/>
                <w:lang w:val="en-US" w:eastAsia="zh-CN"/>
              </w:rPr>
              <w:t>七</w:t>
            </w:r>
            <w:r>
              <w:rPr>
                <w:rFonts w:hint="eastAsia" w:ascii="仿宋_GB2312" w:hAnsi="仿宋_GB2312" w:eastAsia="仿宋_GB2312" w:cs="仿宋_GB2312"/>
                <w:sz w:val="44"/>
                <w:szCs w:val="44"/>
              </w:rPr>
              <w:t>医采[LGQY2023ZW01</w:t>
            </w:r>
            <w:r>
              <w:rPr>
                <w:rFonts w:hint="eastAsia" w:ascii="仿宋_GB2312" w:hAnsi="仿宋_GB2312" w:eastAsia="仿宋_GB2312" w:cs="仿宋_GB2312"/>
                <w:sz w:val="44"/>
                <w:szCs w:val="44"/>
                <w:lang w:val="en-US" w:eastAsia="zh-CN"/>
              </w:rPr>
              <w:t>1</w:t>
            </w:r>
            <w:r>
              <w:rPr>
                <w:rFonts w:hint="eastAsia" w:ascii="仿宋_GB2312" w:hAnsi="仿宋_GB2312" w:eastAsia="仿宋_GB2312" w:cs="仿宋_GB2312"/>
                <w:sz w:val="44"/>
                <w:szCs w:val="44"/>
              </w:rPr>
              <w:t>]）</w:t>
            </w:r>
          </w:p>
          <w:p>
            <w:pPr>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采购单位：深圳市龙岗区第</w:t>
            </w:r>
            <w:r>
              <w:rPr>
                <w:rFonts w:hint="eastAsia" w:ascii="仿宋_GB2312" w:hAnsi="仿宋_GB2312" w:eastAsia="仿宋_GB2312" w:cs="仿宋_GB2312"/>
                <w:sz w:val="44"/>
                <w:szCs w:val="44"/>
                <w:lang w:val="en-US" w:eastAsia="zh-CN"/>
              </w:rPr>
              <w:t>七</w:t>
            </w:r>
            <w:r>
              <w:rPr>
                <w:rFonts w:hint="eastAsia" w:ascii="仿宋_GB2312" w:hAnsi="仿宋_GB2312" w:eastAsia="仿宋_GB2312" w:cs="仿宋_GB2312"/>
                <w:sz w:val="44"/>
                <w:szCs w:val="44"/>
              </w:rPr>
              <w:t>人民医院</w:t>
            </w:r>
          </w:p>
          <w:p>
            <w:pPr>
              <w:jc w:val="center"/>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w:t>
            </w:r>
            <w:r>
              <w:rPr>
                <w:rFonts w:hint="eastAsia" w:ascii="仿宋_GB2312" w:hAnsi="仿宋_GB2312" w:eastAsia="仿宋_GB2312" w:cs="仿宋_GB2312"/>
                <w:sz w:val="44"/>
                <w:szCs w:val="44"/>
              </w:rPr>
              <w:t>2023年</w:t>
            </w:r>
            <w:r>
              <w:rPr>
                <w:rFonts w:hint="eastAsia" w:ascii="仿宋_GB2312" w:hAnsi="仿宋_GB2312" w:eastAsia="仿宋_GB2312" w:cs="仿宋_GB2312"/>
                <w:b/>
                <w:sz w:val="44"/>
                <w:szCs w:val="44"/>
              </w:rPr>
              <w:t>）</w:t>
            </w:r>
          </w:p>
          <w:p>
            <w:pPr>
              <w:jc w:val="center"/>
              <w:rPr>
                <w:rFonts w:ascii="仿宋" w:hAnsi="仿宋" w:eastAsia="仿宋" w:cs="仿宋"/>
                <w:b/>
                <w:sz w:val="36"/>
                <w:szCs w:val="36"/>
              </w:rPr>
            </w:pPr>
          </w:p>
          <w:p>
            <w:pPr>
              <w:jc w:val="center"/>
              <w:rPr>
                <w:rFonts w:ascii="仿宋" w:hAnsi="仿宋" w:eastAsia="仿宋" w:cs="仿宋"/>
                <w:b/>
                <w:sz w:val="36"/>
                <w:szCs w:val="36"/>
              </w:rPr>
            </w:pPr>
          </w:p>
          <w:p>
            <w:pPr>
              <w:jc w:val="left"/>
              <w:rPr>
                <w:rFonts w:ascii="仿宋" w:hAnsi="仿宋" w:eastAsia="仿宋" w:cs="仿宋"/>
                <w:b/>
                <w:sz w:val="40"/>
                <w:szCs w:val="40"/>
              </w:rPr>
            </w:pPr>
            <w:r>
              <w:rPr>
                <w:rFonts w:hint="eastAsia" w:ascii="仿宋" w:hAnsi="仿宋" w:eastAsia="仿宋" w:cs="仿宋"/>
                <w:b/>
                <w:sz w:val="40"/>
                <w:szCs w:val="40"/>
              </w:rPr>
              <w:t>投标人：</w:t>
            </w:r>
          </w:p>
          <w:p>
            <w:pPr>
              <w:jc w:val="left"/>
              <w:rPr>
                <w:rFonts w:ascii="仿宋" w:hAnsi="仿宋" w:eastAsia="仿宋" w:cs="仿宋"/>
                <w:b/>
                <w:sz w:val="40"/>
                <w:szCs w:val="40"/>
              </w:rPr>
            </w:pPr>
            <w:r>
              <w:rPr>
                <w:rFonts w:hint="eastAsia" w:ascii="仿宋" w:hAnsi="仿宋" w:eastAsia="仿宋" w:cs="仿宋"/>
                <w:b/>
                <w:sz w:val="40"/>
                <w:szCs w:val="40"/>
              </w:rPr>
              <w:t>地  址：</w:t>
            </w:r>
          </w:p>
          <w:p>
            <w:pPr>
              <w:jc w:val="left"/>
              <w:rPr>
                <w:rFonts w:ascii="仿宋" w:hAnsi="仿宋" w:eastAsia="仿宋" w:cs="仿宋"/>
                <w:b/>
                <w:sz w:val="40"/>
                <w:szCs w:val="40"/>
              </w:rPr>
            </w:pPr>
            <w:r>
              <w:rPr>
                <w:rFonts w:hint="eastAsia" w:ascii="仿宋" w:hAnsi="仿宋" w:eastAsia="仿宋" w:cs="仿宋"/>
                <w:b/>
                <w:sz w:val="40"/>
                <w:szCs w:val="40"/>
              </w:rPr>
              <w:t>联系人：</w:t>
            </w:r>
          </w:p>
          <w:p>
            <w:pPr>
              <w:jc w:val="left"/>
              <w:rPr>
                <w:rFonts w:ascii="仿宋" w:hAnsi="仿宋" w:eastAsia="仿宋" w:cs="仿宋"/>
                <w:b/>
                <w:sz w:val="40"/>
                <w:szCs w:val="40"/>
              </w:rPr>
            </w:pPr>
            <w:r>
              <w:rPr>
                <w:rFonts w:hint="eastAsia" w:ascii="仿宋" w:hAnsi="仿宋" w:eastAsia="仿宋" w:cs="仿宋"/>
                <w:b/>
                <w:sz w:val="40"/>
                <w:szCs w:val="40"/>
              </w:rPr>
              <w:t>电  话：</w:t>
            </w:r>
          </w:p>
          <w:p>
            <w:pPr>
              <w:jc w:val="left"/>
              <w:rPr>
                <w:rFonts w:ascii="仿宋" w:hAnsi="仿宋" w:eastAsia="仿宋" w:cs="仿宋"/>
                <w:sz w:val="28"/>
              </w:rPr>
            </w:pPr>
            <w:r>
              <w:rPr>
                <w:rFonts w:hint="eastAsia" w:ascii="仿宋" w:hAnsi="仿宋" w:eastAsia="仿宋" w:cs="仿宋"/>
                <w:b/>
                <w:sz w:val="40"/>
                <w:szCs w:val="40"/>
              </w:rPr>
              <w:t>邮  箱：</w:t>
            </w:r>
          </w:p>
        </w:tc>
      </w:tr>
    </w:tbl>
    <w:p>
      <w:pPr>
        <w:jc w:val="center"/>
        <w:rPr>
          <w:rFonts w:hint="eastAsia" w:ascii="宋体" w:hAnsi="宋体" w:eastAsia="宋体" w:cs="宋体"/>
          <w:b/>
          <w:bCs/>
          <w:sz w:val="44"/>
          <w:szCs w:val="44"/>
        </w:rPr>
      </w:pPr>
      <w:r>
        <w:rPr>
          <w:rFonts w:hint="eastAsia" w:ascii="宋体" w:hAnsi="宋体" w:eastAsia="宋体" w:cs="宋体"/>
          <w:b/>
          <w:bCs/>
          <w:sz w:val="44"/>
          <w:szCs w:val="44"/>
        </w:rPr>
        <w:t>目录</w:t>
      </w:r>
    </w:p>
    <w:p>
      <w:pPr>
        <w:spacing w:line="500" w:lineRule="exact"/>
        <w:jc w:val="left"/>
        <w:rPr>
          <w:rFonts w:ascii="仿宋_GB2312" w:hAnsi="仿宋_GB2312" w:eastAsia="仿宋_GB2312" w:cs="仿宋_GB2312"/>
          <w:sz w:val="28"/>
          <w:szCs w:val="28"/>
        </w:rPr>
      </w:pPr>
    </w:p>
    <w:p>
      <w:pPr>
        <w:tabs>
          <w:tab w:val="left" w:pos="630"/>
          <w:tab w:val="left" w:pos="840"/>
        </w:tabs>
        <w:spacing w:line="500" w:lineRule="exact"/>
        <w:ind w:left="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封面</w:t>
      </w:r>
    </w:p>
    <w:p>
      <w:pPr>
        <w:tabs>
          <w:tab w:val="left" w:pos="630"/>
          <w:tab w:val="left" w:pos="840"/>
        </w:tabs>
        <w:spacing w:line="500" w:lineRule="exact"/>
        <w:ind w:left="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目录</w:t>
      </w:r>
    </w:p>
    <w:p>
      <w:pPr>
        <w:tabs>
          <w:tab w:val="left" w:pos="630"/>
          <w:tab w:val="left" w:pos="840"/>
        </w:tabs>
        <w:spacing w:line="500" w:lineRule="exact"/>
        <w:ind w:left="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投标文件初审表</w:t>
      </w:r>
    </w:p>
    <w:p>
      <w:pPr>
        <w:tabs>
          <w:tab w:val="left" w:pos="630"/>
          <w:tab w:val="left" w:pos="840"/>
        </w:tabs>
        <w:spacing w:line="500" w:lineRule="exact"/>
        <w:ind w:left="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投标函</w:t>
      </w:r>
    </w:p>
    <w:p>
      <w:pPr>
        <w:tabs>
          <w:tab w:val="left" w:pos="630"/>
          <w:tab w:val="left" w:pos="840"/>
        </w:tabs>
        <w:spacing w:line="500" w:lineRule="exact"/>
        <w:ind w:left="42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5.开标一览表</w:t>
      </w:r>
    </w:p>
    <w:p>
      <w:pPr>
        <w:tabs>
          <w:tab w:val="left" w:pos="630"/>
          <w:tab w:val="left" w:pos="840"/>
        </w:tabs>
        <w:spacing w:line="500" w:lineRule="exact"/>
        <w:ind w:left="42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6.投标及履约承诺函</w:t>
      </w:r>
    </w:p>
    <w:p>
      <w:pPr>
        <w:tabs>
          <w:tab w:val="left" w:pos="630"/>
          <w:tab w:val="left" w:pos="840"/>
        </w:tabs>
        <w:spacing w:line="500" w:lineRule="exact"/>
        <w:ind w:left="42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7.法人身份证复印件</w:t>
      </w:r>
    </w:p>
    <w:p>
      <w:pPr>
        <w:tabs>
          <w:tab w:val="left" w:pos="630"/>
          <w:tab w:val="left" w:pos="840"/>
        </w:tabs>
        <w:spacing w:line="500" w:lineRule="exact"/>
        <w:ind w:left="42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8.法人授权委托人身份证复印件</w:t>
      </w:r>
    </w:p>
    <w:p>
      <w:pPr>
        <w:tabs>
          <w:tab w:val="left" w:pos="630"/>
          <w:tab w:val="left" w:pos="840"/>
        </w:tabs>
        <w:spacing w:line="500" w:lineRule="exact"/>
        <w:ind w:left="42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9.法定代表人资格证明书</w:t>
      </w:r>
    </w:p>
    <w:p>
      <w:pPr>
        <w:tabs>
          <w:tab w:val="left" w:pos="630"/>
          <w:tab w:val="left" w:pos="840"/>
        </w:tabs>
        <w:spacing w:line="500" w:lineRule="exact"/>
        <w:ind w:left="42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10.法人授权委托证明书</w:t>
      </w:r>
    </w:p>
    <w:p>
      <w:pPr>
        <w:tabs>
          <w:tab w:val="left" w:pos="630"/>
          <w:tab w:val="left" w:pos="840"/>
        </w:tabs>
        <w:spacing w:line="500" w:lineRule="exact"/>
        <w:ind w:left="42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11.供应商“三证合一”（工商营业执照、组织机构代码证和税务登记证）复印件</w:t>
      </w:r>
    </w:p>
    <w:p>
      <w:pPr>
        <w:tabs>
          <w:tab w:val="left" w:pos="630"/>
          <w:tab w:val="left" w:pos="840"/>
        </w:tabs>
        <w:spacing w:line="500" w:lineRule="exact"/>
        <w:ind w:left="42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12.深圳市住房和建设局房屋安全鉴定机构名录名单截图</w:t>
      </w:r>
    </w:p>
    <w:p>
      <w:pPr>
        <w:tabs>
          <w:tab w:val="left" w:pos="630"/>
          <w:tab w:val="left" w:pos="840"/>
        </w:tabs>
        <w:spacing w:line="500" w:lineRule="exact"/>
        <w:ind w:left="42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13.同类项目业绩证明材料</w:t>
      </w:r>
    </w:p>
    <w:p>
      <w:pPr>
        <w:tabs>
          <w:tab w:val="left" w:pos="630"/>
          <w:tab w:val="left" w:pos="840"/>
        </w:tabs>
        <w:spacing w:line="500" w:lineRule="exact"/>
        <w:ind w:left="42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14.企业认证情况证明材料</w:t>
      </w:r>
    </w:p>
    <w:p>
      <w:pPr>
        <w:tabs>
          <w:tab w:val="left" w:pos="630"/>
          <w:tab w:val="left" w:pos="840"/>
        </w:tabs>
        <w:spacing w:line="500" w:lineRule="exact"/>
        <w:ind w:left="42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15.投标人获得荣誉情况证明材料</w:t>
      </w:r>
    </w:p>
    <w:p>
      <w:pPr>
        <w:tabs>
          <w:tab w:val="left" w:pos="630"/>
          <w:tab w:val="left" w:pos="840"/>
        </w:tabs>
        <w:spacing w:line="500" w:lineRule="exact"/>
        <w:ind w:left="42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16.项目服务方案</w:t>
      </w:r>
    </w:p>
    <w:p>
      <w:pPr>
        <w:tabs>
          <w:tab w:val="left" w:pos="630"/>
          <w:tab w:val="left" w:pos="840"/>
        </w:tabs>
        <w:spacing w:line="500" w:lineRule="exact"/>
        <w:ind w:left="42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17.</w:t>
      </w:r>
      <w:r>
        <w:rPr>
          <w:rFonts w:hint="eastAsia" w:ascii="仿宋_GB2312" w:hAnsi="仿宋_GB2312" w:eastAsia="仿宋_GB2312" w:cs="仿宋_GB2312"/>
          <w:sz w:val="28"/>
          <w:szCs w:val="28"/>
          <w:lang w:val="zh-CN" w:eastAsia="zh-CN"/>
        </w:rPr>
        <w:t>重难点分析</w:t>
      </w:r>
      <w:r>
        <w:rPr>
          <w:rFonts w:hint="eastAsia" w:ascii="仿宋_GB2312" w:hAnsi="仿宋_GB2312" w:eastAsia="仿宋_GB2312" w:cs="仿宋_GB2312"/>
          <w:sz w:val="28"/>
          <w:szCs w:val="28"/>
          <w:lang w:val="en-US" w:eastAsia="zh-CN"/>
        </w:rPr>
        <w:t>、应对措施及相关的合理化建议</w:t>
      </w:r>
    </w:p>
    <w:p>
      <w:pPr>
        <w:tabs>
          <w:tab w:val="left" w:pos="630"/>
          <w:tab w:val="left" w:pos="840"/>
        </w:tabs>
        <w:spacing w:line="500" w:lineRule="exact"/>
        <w:ind w:left="420"/>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en-US" w:eastAsia="zh-CN"/>
        </w:rPr>
        <w:t>18.</w:t>
      </w:r>
      <w:r>
        <w:rPr>
          <w:rFonts w:hint="eastAsia" w:ascii="仿宋_GB2312" w:hAnsi="仿宋_GB2312" w:eastAsia="仿宋_GB2312" w:cs="仿宋_GB2312"/>
          <w:sz w:val="28"/>
          <w:szCs w:val="28"/>
          <w:lang w:val="zh-CN" w:eastAsia="zh-CN"/>
        </w:rPr>
        <w:t>拟安排的项目负责人情况</w:t>
      </w:r>
    </w:p>
    <w:p>
      <w:pPr>
        <w:tabs>
          <w:tab w:val="left" w:pos="630"/>
          <w:tab w:val="left" w:pos="840"/>
        </w:tabs>
        <w:spacing w:line="500" w:lineRule="exact"/>
        <w:ind w:left="420"/>
        <w:rPr>
          <w:rFonts w:hint="default"/>
          <w:lang w:val="en-US" w:eastAsia="zh-CN"/>
        </w:rPr>
      </w:pPr>
      <w:r>
        <w:rPr>
          <w:rFonts w:hint="eastAsia" w:ascii="仿宋_GB2312" w:hAnsi="仿宋_GB2312" w:eastAsia="仿宋_GB2312" w:cs="仿宋_GB2312"/>
          <w:sz w:val="28"/>
          <w:szCs w:val="28"/>
          <w:lang w:val="en-US" w:eastAsia="zh-CN"/>
        </w:rPr>
        <w:t>19.</w:t>
      </w:r>
      <w:r>
        <w:rPr>
          <w:rFonts w:hint="eastAsia" w:ascii="仿宋_GB2312" w:hAnsi="仿宋_GB2312" w:eastAsia="仿宋_GB2312" w:cs="仿宋_GB2312"/>
          <w:sz w:val="28"/>
          <w:szCs w:val="28"/>
          <w:lang w:val="zh-CN" w:eastAsia="zh-CN"/>
        </w:rPr>
        <w:t>拟安排的项目团队成员情况</w:t>
      </w:r>
    </w:p>
    <w:p>
      <w:pPr>
        <w:tabs>
          <w:tab w:val="left" w:pos="630"/>
          <w:tab w:val="left" w:pos="840"/>
        </w:tabs>
        <w:spacing w:line="500" w:lineRule="exact"/>
        <w:ind w:left="42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20.中小企业声明函</w:t>
      </w:r>
    </w:p>
    <w:p>
      <w:pPr>
        <w:tabs>
          <w:tab w:val="left" w:pos="630"/>
          <w:tab w:val="left" w:pos="840"/>
        </w:tabs>
        <w:spacing w:line="500" w:lineRule="exact"/>
        <w:ind w:left="420"/>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21.信用信息查询记录截图</w:t>
      </w:r>
    </w:p>
    <w:p>
      <w:pPr>
        <w:tabs>
          <w:tab w:val="left" w:pos="630"/>
          <w:tab w:val="left" w:pos="840"/>
        </w:tabs>
        <w:spacing w:line="500" w:lineRule="exact"/>
        <w:ind w:left="420"/>
        <w:rPr>
          <w:rFonts w:ascii="仿宋" w:hAnsi="仿宋" w:eastAsia="仿宋" w:cs="仿宋"/>
          <w:b/>
          <w:bCs/>
          <w:sz w:val="36"/>
          <w:szCs w:val="44"/>
        </w:rPr>
      </w:pPr>
      <w:r>
        <w:rPr>
          <w:rFonts w:hint="eastAsia" w:ascii="仿宋_GB2312" w:hAnsi="仿宋_GB2312" w:eastAsia="仿宋_GB2312" w:cs="仿宋_GB2312"/>
          <w:sz w:val="28"/>
          <w:szCs w:val="28"/>
          <w:lang w:val="en-US" w:eastAsia="zh-CN"/>
        </w:rPr>
        <w:t>22.其他证明材料</w:t>
      </w: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r>
        <w:rPr>
          <w:rFonts w:hint="eastAsia" w:ascii="宋体" w:hAnsi="宋体" w:eastAsia="宋体" w:cs="宋体"/>
          <w:b/>
          <w:bCs/>
          <w:sz w:val="44"/>
          <w:szCs w:val="44"/>
        </w:rPr>
        <w:t>投 标 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仿宋"/>
          <w:b/>
          <w:bCs/>
          <w:sz w:val="36"/>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深圳市龙岗区第</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人民医院：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我司已经认真仔细阅读了贵单位关于深圳市龙岗区第</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人民医院的招标文件，完全同意招标文件中的所有条款，愿意按招标文件要求，决定以总价：￥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元（大写：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元）的投标报价提供与招标文件中描述相一致的产品与服务，并许以如下承诺：</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我方愿意向招标人提供与本次招标的相关资料，并对其真实性、合法性、有效性负责。  </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我方将严格履行本投标文件中的全部承诺和责任，并遵守招标文件中对投标人的所有规定。  </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我方完全理解招标人有保留在授标之前，任何时候根据评标委员会的意见接受或拒绝任何投标的权</w:t>
      </w:r>
      <w:r>
        <w:rPr>
          <w:rFonts w:hint="eastAsia" w:ascii="仿宋_GB2312" w:hAnsi="仿宋_GB2312" w:eastAsia="仿宋_GB2312" w:cs="仿宋_GB2312"/>
          <w:sz w:val="32"/>
          <w:szCs w:val="32"/>
          <w:lang w:val="en-US" w:eastAsia="zh-CN"/>
        </w:rPr>
        <w:t>利</w:t>
      </w:r>
      <w:r>
        <w:rPr>
          <w:rFonts w:hint="eastAsia" w:ascii="仿宋_GB2312" w:hAnsi="仿宋_GB2312" w:eastAsia="仿宋_GB2312" w:cs="仿宋_GB2312"/>
          <w:sz w:val="32"/>
          <w:szCs w:val="32"/>
        </w:rPr>
        <w:t>，并完全理解招标人对此无解释的义务。</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我方完全理解招标人不保证投标价最低的投标人中标。  </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我方承诺在此次招标过程中涉及的一切应当保密的事项，不向任何第三方泄露，否则承担一切法律责任。  </w:t>
      </w:r>
    </w:p>
    <w:p>
      <w:pPr>
        <w:pStyle w:val="10"/>
        <w:rPr>
          <w:rFonts w:hint="eastAsia"/>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法定代表人或其委托人（签字）：</w:t>
      </w:r>
    </w:p>
    <w:p>
      <w:pPr>
        <w:rPr>
          <w:rFonts w:hint="eastAsia" w:ascii="宋体" w:hAnsi="宋体" w:eastAsia="宋体" w:cs="宋体"/>
          <w:b/>
          <w:bCs/>
          <w:sz w:val="44"/>
          <w:szCs w:val="44"/>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投标单位全称（加盖公章）：</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44"/>
          <w:szCs w:val="44"/>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lang w:val="en-US" w:eastAsia="zh-CN"/>
        </w:rPr>
        <w:t>投标及履约承诺函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深圳市龙岗区第七人民医院：</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我公司承诺：</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1.我公司对本招标项目所提供的货物或服务未侵犯知识产权。</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2.我公司保证采购人拥有所投产品完整的所有权，不以保护知识产权或技术保密的名义对所有权和使用权进行任何限制。</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3.我公司保证，具备《中华人民共和国政府采购法》第二十二条第一款的条件以及不违反《中华人民共和国政府采购法实施条例》第十八条的规定。</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我公司保证，参与本项目政府采购活动时不存在被有关部门禁止参与政府采购活动且在有效期内的情况；并且没有在招投标活动中因违反政府采购有关法律法规被暂停投标资格期间或涉嫌违反政府采购有关法律法规并正在接受主管部门调查的情况；我公司在参加本次政府采购活动前3年内在经营活动中没有重大违法记录。</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5.我公司保证，未被列入失信被执行人、重大税收违法案件当事人名单、政府采购严重违法失信行为记录名单。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与其他投标供应商不存在单位负责人为同一人或者存在直接控股、管理关系。</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.我公司在参与本项目投标过程中，严格遵守政府采购相关法律，不弄虚作假，不隐瞒真实情况，不围标串标，不恶意质疑投诉。我公司已清楚，如违反上述要求，贵方有权废除我公司的投标资格。</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.我公司如果中标，做到守信，不偷工减料，依照本项目招标文件需求内容、签署的采购合同及本公司在投标中所作的一切承诺履约。</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一旦我公司中标，我公司承诺在收到中标通知书后,积极联系采购单位，在10个工作日内与采购单位签订服务合同，除非因采购单位原因造成时间延误，否则，贵方有权废除我公司的中标资格，我公司对此无任何异议，并承担相关责任。</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我公司已认真核实了投标文件的全部内容，所有资料均为真实资料。我公司对投标文件中全部投标资料的真实性负责，如被证实我单位的投标文件中存在虚假资料的，则视为我单位隐瞒真实情况、提供虚假资料，我单位愿意接受主管部门作出的行政处罚。</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.我公司保证不转包、不违法分包。</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以上承诺，如有违反，愿依照国家相关法律处理，并承担由此给采购人带来的损失。</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财务负责人/企业负责人/授权委托人的联系方式（可选填）：</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firstLine="5120" w:firstLineChars="1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lang w:val="en-US" w:eastAsia="zh-CN"/>
        </w:rPr>
        <w:t>加</w:t>
      </w:r>
      <w:r>
        <w:rPr>
          <w:rFonts w:hint="eastAsia" w:ascii="仿宋_GB2312" w:hAnsi="仿宋_GB2312" w:eastAsia="仿宋_GB2312" w:cs="仿宋_GB2312"/>
          <w:sz w:val="32"/>
          <w:szCs w:val="32"/>
        </w:rPr>
        <w:t>盖公章）</w:t>
      </w:r>
    </w:p>
    <w:p>
      <w:pPr>
        <w:keepNext w:val="0"/>
        <w:keepLines w:val="0"/>
        <w:pageBreakBefore w:val="0"/>
        <w:widowControl w:val="0"/>
        <w:kinsoku/>
        <w:wordWrap/>
        <w:overflowPunct/>
        <w:topLinePunct w:val="0"/>
        <w:autoSpaceDE/>
        <w:autoSpaceDN/>
        <w:bidi w:val="0"/>
        <w:adjustRightInd/>
        <w:snapToGrid/>
        <w:spacing w:line="440" w:lineRule="exact"/>
        <w:ind w:firstLine="4480" w:firstLineChars="1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  期：     年    月     日</w:t>
      </w: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cs="宋体"/>
          <w:b/>
          <w:bCs/>
          <w:sz w:val="44"/>
          <w:szCs w:val="44"/>
          <w:lang w:val="en-US" w:eastAsia="zh-CN"/>
        </w:rPr>
      </w:pPr>
      <w:r>
        <w:rPr>
          <w:rFonts w:hint="eastAsia" w:ascii="宋体" w:hAnsi="宋体" w:cs="宋体"/>
          <w:b/>
          <w:bCs/>
          <w:sz w:val="44"/>
          <w:szCs w:val="44"/>
          <w:lang w:val="en-US" w:eastAsia="zh-CN"/>
        </w:rPr>
        <w:t xml:space="preserve"> </w:t>
      </w: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仿宋" w:hAnsi="仿宋" w:eastAsia="仿宋" w:cs="仿宋"/>
          <w:b/>
          <w:bCs/>
          <w:sz w:val="28"/>
          <w:szCs w:val="36"/>
          <w:lang w:val="en-US" w:eastAsia="zh-CN"/>
        </w:rPr>
      </w:pPr>
      <w:r>
        <w:rPr>
          <w:rFonts w:hint="eastAsia" w:ascii="宋体" w:hAnsi="宋体" w:eastAsia="宋体" w:cs="宋体"/>
          <w:b/>
          <w:bCs/>
          <w:sz w:val="44"/>
          <w:szCs w:val="44"/>
          <w:lang w:val="en-US" w:eastAsia="zh-CN"/>
        </w:rPr>
        <w:t>政府采购优惠政策（根据实际情况提供）</w:t>
      </w:r>
    </w:p>
    <w:p>
      <w:pPr>
        <w:pStyle w:val="5"/>
        <w:keepNext w:val="0"/>
        <w:keepLines w:val="0"/>
        <w:pageBreakBefore w:val="0"/>
        <w:widowControl w:val="0"/>
        <w:kinsoku/>
        <w:overflowPunct/>
        <w:topLinePunct w:val="0"/>
        <w:bidi w:val="0"/>
        <w:adjustRightInd/>
        <w:snapToGrid/>
        <w:spacing w:beforeAutospacing="0" w:afterAutospacing="0" w:line="500" w:lineRule="exact"/>
        <w:ind w:right="0"/>
        <w:jc w:val="center"/>
        <w:textAlignment w:val="auto"/>
        <w:rPr>
          <w:rFonts w:hint="eastAsia" w:ascii="黑体"/>
          <w:b w:val="0"/>
          <w:sz w:val="32"/>
          <w:szCs w:val="32"/>
        </w:rPr>
      </w:pPr>
    </w:p>
    <w:p>
      <w:pPr>
        <w:pStyle w:val="5"/>
        <w:keepNext w:val="0"/>
        <w:keepLines w:val="0"/>
        <w:pageBreakBefore w:val="0"/>
        <w:widowControl w:val="0"/>
        <w:kinsoku/>
        <w:overflowPunct/>
        <w:topLinePunct w:val="0"/>
        <w:bidi w:val="0"/>
        <w:adjustRightInd/>
        <w:snapToGrid/>
        <w:spacing w:beforeAutospacing="0" w:afterAutospacing="0" w:line="500" w:lineRule="exact"/>
        <w:ind w:right="0" w:firstLine="640" w:firstLineChars="200"/>
        <w:jc w:val="both"/>
        <w:textAlignment w:val="auto"/>
        <w:rPr>
          <w:rFonts w:hint="eastAsia" w:ascii="黑体" w:hAnsi="黑体" w:eastAsia="黑体" w:cs="黑体"/>
          <w:bCs/>
          <w:sz w:val="32"/>
          <w:szCs w:val="32"/>
        </w:rPr>
      </w:pPr>
      <w:r>
        <w:rPr>
          <w:rFonts w:hint="eastAsia" w:ascii="黑体" w:hAnsi="黑体" w:eastAsia="黑体" w:cs="黑体"/>
          <w:b w:val="0"/>
          <w:sz w:val="32"/>
          <w:szCs w:val="32"/>
        </w:rPr>
        <w:t>一、投标人情况及资格证明文件</w:t>
      </w:r>
      <w:bookmarkStart w:id="0" w:name="_Hlk72257590"/>
    </w:p>
    <w:p>
      <w:pPr>
        <w:keepNext w:val="0"/>
        <w:keepLines w:val="0"/>
        <w:pageBreakBefore w:val="0"/>
        <w:widowControl w:val="0"/>
        <w:kinsoku/>
        <w:overflowPunct/>
        <w:topLinePunct w:val="0"/>
        <w:bidi w:val="0"/>
        <w:adjustRightInd/>
        <w:snapToGrid/>
        <w:spacing w:beforeAutospacing="0" w:afterAutospacing="0" w:line="500" w:lineRule="exact"/>
        <w:ind w:right="0" w:firstLine="640" w:firstLineChars="200"/>
        <w:jc w:val="left"/>
        <w:textAlignment w:val="auto"/>
        <w:outlineLvl w:val="3"/>
        <w:rPr>
          <w:rFonts w:hint="eastAsia" w:ascii="楷体" w:hAnsi="楷体" w:eastAsia="楷体" w:cs="楷体"/>
          <w:bCs/>
          <w:sz w:val="32"/>
          <w:szCs w:val="32"/>
        </w:rPr>
      </w:pPr>
      <w:r>
        <w:rPr>
          <w:rFonts w:hint="eastAsia" w:ascii="楷体" w:hAnsi="楷体" w:eastAsia="楷体" w:cs="楷体"/>
          <w:bCs/>
          <w:sz w:val="32"/>
          <w:szCs w:val="32"/>
        </w:rPr>
        <w:t>（一）投标人资格证明文件</w:t>
      </w:r>
    </w:p>
    <w:p>
      <w:pPr>
        <w:keepNext w:val="0"/>
        <w:keepLines w:val="0"/>
        <w:pageBreakBefore w:val="0"/>
        <w:widowControl w:val="0"/>
        <w:kinsoku/>
        <w:overflowPunct/>
        <w:topLinePunct w:val="0"/>
        <w:bidi w:val="0"/>
        <w:adjustRightInd/>
        <w:snapToGrid/>
        <w:spacing w:beforeAutospacing="0" w:afterAutospacing="0" w:line="500" w:lineRule="exact"/>
        <w:ind w:right="0" w:firstLine="640" w:firstLineChars="200"/>
        <w:textAlignment w:val="auto"/>
        <w:rPr>
          <w:b/>
          <w:bCs/>
          <w:sz w:val="32"/>
          <w:szCs w:val="32"/>
        </w:rPr>
      </w:pPr>
      <w:r>
        <w:rPr>
          <w:rFonts w:hint="eastAsia" w:ascii="仿宋_GB2312" w:hAnsi="仿宋_GB2312" w:eastAsia="仿宋_GB2312" w:cs="仿宋_GB2312"/>
          <w:b w:val="0"/>
          <w:bCs w:val="0"/>
          <w:sz w:val="32"/>
          <w:szCs w:val="32"/>
        </w:rPr>
        <w:t>（特别提示：投标人须按本招标文件第一册第一章招标公告 “申请人的资格要求”（即投标人资格要求）提供相关的资格证明资料，未提供或提供不完整、不符合要求的，将作投标无效处理。）</w:t>
      </w:r>
    </w:p>
    <w:p>
      <w:pPr>
        <w:keepNext w:val="0"/>
        <w:keepLines w:val="0"/>
        <w:pageBreakBefore w:val="0"/>
        <w:widowControl w:val="0"/>
        <w:kinsoku/>
        <w:overflowPunct/>
        <w:topLinePunct w:val="0"/>
        <w:bidi w:val="0"/>
        <w:adjustRightInd/>
        <w:snapToGrid/>
        <w:spacing w:beforeAutospacing="0" w:afterAutospacing="0" w:line="500" w:lineRule="exact"/>
        <w:ind w:right="0" w:firstLine="640" w:firstLineChars="200"/>
        <w:jc w:val="left"/>
        <w:textAlignment w:val="auto"/>
        <w:outlineLvl w:val="3"/>
        <w:rPr>
          <w:rFonts w:hint="eastAsia" w:ascii="楷体" w:hAnsi="楷体" w:eastAsia="楷体" w:cs="楷体"/>
          <w:bCs/>
          <w:sz w:val="32"/>
          <w:szCs w:val="32"/>
        </w:rPr>
      </w:pPr>
      <w:r>
        <w:rPr>
          <w:rFonts w:hint="eastAsia" w:ascii="楷体" w:hAnsi="楷体" w:eastAsia="楷体" w:cs="楷体"/>
          <w:bCs/>
          <w:sz w:val="32"/>
          <w:szCs w:val="32"/>
        </w:rPr>
        <w:t>（二）中小企业声明函、残疾人福利性单位声明函及监狱企业声明函</w:t>
      </w:r>
      <w:bookmarkEnd w:id="0"/>
    </w:p>
    <w:p>
      <w:pPr>
        <w:keepNext w:val="0"/>
        <w:keepLines w:val="0"/>
        <w:pageBreakBefore w:val="0"/>
        <w:widowControl w:val="0"/>
        <w:kinsoku/>
        <w:overflowPunct/>
        <w:topLinePunct w:val="0"/>
        <w:bidi w:val="0"/>
        <w:adjustRightInd/>
        <w:snapToGrid/>
        <w:spacing w:beforeAutospacing="0" w:afterAutospacing="0" w:line="500" w:lineRule="exact"/>
        <w:ind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填写指引：</w:t>
      </w:r>
    </w:p>
    <w:p>
      <w:pPr>
        <w:keepNext w:val="0"/>
        <w:keepLines w:val="0"/>
        <w:pageBreakBefore w:val="0"/>
        <w:widowControl w:val="0"/>
        <w:kinsoku/>
        <w:overflowPunct/>
        <w:topLinePunct w:val="0"/>
        <w:bidi w:val="0"/>
        <w:adjustRightInd/>
        <w:snapToGrid/>
        <w:spacing w:beforeAutospacing="0" w:afterAutospacing="0" w:line="500" w:lineRule="exact"/>
        <w:ind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pPr>
        <w:keepNext w:val="0"/>
        <w:keepLines w:val="0"/>
        <w:pageBreakBefore w:val="0"/>
        <w:widowControl w:val="0"/>
        <w:kinsoku/>
        <w:overflowPunct/>
        <w:topLinePunct w:val="0"/>
        <w:bidi w:val="0"/>
        <w:adjustRightInd/>
        <w:snapToGrid/>
        <w:spacing w:beforeAutospacing="0" w:afterAutospacing="0" w:line="500" w:lineRule="exact"/>
        <w:ind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该部分内容填写需要参考的相关文件：(1)财政部《政府采购促进中小企业发展管理办法》（财库〔2020〕46号）；(2)</w:t>
      </w:r>
      <w:bookmarkStart w:id="1" w:name="_Hlk71925120"/>
      <w:r>
        <w:rPr>
          <w:rFonts w:hint="eastAsia" w:ascii="仿宋_GB2312" w:hAnsi="仿宋_GB2312" w:eastAsia="仿宋_GB2312" w:cs="仿宋_GB2312"/>
          <w:b w:val="0"/>
          <w:bCs w:val="0"/>
          <w:sz w:val="32"/>
          <w:szCs w:val="32"/>
        </w:rPr>
        <w:t>《工业和信息化部、国家统计局、国家发展和改革委员会、财政部关于印发中小企业划型标准规定的通知》（工信部联企业〔2011〕300号</w:t>
      </w:r>
      <w:bookmarkEnd w:id="1"/>
      <w:r>
        <w:rPr>
          <w:rFonts w:hint="eastAsia" w:ascii="仿宋_GB2312" w:hAnsi="仿宋_GB2312" w:eastAsia="仿宋_GB2312" w:cs="仿宋_GB2312"/>
          <w:b w:val="0"/>
          <w:bCs w:val="0"/>
          <w:sz w:val="32"/>
          <w:szCs w:val="32"/>
        </w:rPr>
        <w:t>，以下简称300号文）。</w:t>
      </w:r>
    </w:p>
    <w:p>
      <w:pPr>
        <w:keepNext w:val="0"/>
        <w:keepLines w:val="0"/>
        <w:pageBreakBefore w:val="0"/>
        <w:widowControl w:val="0"/>
        <w:kinsoku/>
        <w:overflowPunct/>
        <w:topLinePunct w:val="0"/>
        <w:bidi w:val="0"/>
        <w:adjustRightInd/>
        <w:snapToGrid/>
        <w:spacing w:beforeAutospacing="0" w:afterAutospacing="0" w:line="500" w:lineRule="exact"/>
        <w:ind w:right="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(1)《政府采购促进中小企业发展管理办法》（财库〔2020〕46号）</w:t>
      </w:r>
    </w:p>
    <w:p>
      <w:pPr>
        <w:keepNext w:val="0"/>
        <w:keepLines w:val="0"/>
        <w:pageBreakBefore w:val="0"/>
        <w:widowControl w:val="0"/>
        <w:kinsoku/>
        <w:overflowPunct/>
        <w:topLinePunct w:val="0"/>
        <w:bidi w:val="0"/>
        <w:adjustRightInd/>
        <w:snapToGrid/>
        <w:spacing w:beforeAutospacing="0" w:afterAutospacing="0" w:line="500" w:lineRule="exact"/>
        <w:ind w:right="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(2)《关于印发中小企业划型标准规定的通知》（工信部联企业〔2011〕300 号）</w:t>
      </w:r>
    </w:p>
    <w:p>
      <w:pPr>
        <w:keepNext w:val="0"/>
        <w:keepLines w:val="0"/>
        <w:pageBreakBefore w:val="0"/>
        <w:widowControl w:val="0"/>
        <w:kinsoku/>
        <w:overflowPunct/>
        <w:topLinePunct w:val="0"/>
        <w:bidi w:val="0"/>
        <w:adjustRightInd/>
        <w:snapToGrid/>
        <w:spacing w:beforeAutospacing="0" w:afterAutospacing="0" w:line="500" w:lineRule="exact"/>
        <w:ind w:right="0" w:firstLine="640" w:firstLineChars="200"/>
        <w:jc w:val="left"/>
        <w:textAlignment w:val="auto"/>
        <w:rPr>
          <w:rFonts w:hint="eastAsia"/>
        </w:rPr>
      </w:pPr>
      <w:r>
        <w:rPr>
          <w:rFonts w:hint="eastAsia" w:ascii="仿宋_GB2312" w:hAnsi="仿宋_GB2312" w:eastAsia="仿宋_GB2312" w:cs="仿宋_GB2312"/>
          <w:b w:val="0"/>
          <w:bCs w:val="0"/>
          <w:sz w:val="32"/>
          <w:szCs w:val="32"/>
        </w:rPr>
        <w:t>(3)《统计上大中小微型企业划分办法(2017)》（国统字〔2017〕213号）</w:t>
      </w:r>
    </w:p>
    <w:p>
      <w:pPr>
        <w:keepNext w:val="0"/>
        <w:keepLines w:val="0"/>
        <w:pageBreakBefore w:val="0"/>
        <w:widowControl w:val="0"/>
        <w:kinsoku/>
        <w:overflowPunct/>
        <w:topLinePunct w:val="0"/>
        <w:bidi w:val="0"/>
        <w:adjustRightInd/>
        <w:snapToGrid/>
        <w:spacing w:beforeAutospacing="0" w:afterAutospacing="0" w:line="500" w:lineRule="exact"/>
        <w:ind w:right="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(4)《关于促进残疾人就业政府采购政策的通知》（财库〔2017〕141号）</w:t>
      </w:r>
    </w:p>
    <w:p>
      <w:pPr>
        <w:keepNext w:val="0"/>
        <w:keepLines w:val="0"/>
        <w:pageBreakBefore w:val="0"/>
        <w:widowControl w:val="0"/>
        <w:kinsoku/>
        <w:overflowPunct/>
        <w:topLinePunct w:val="0"/>
        <w:bidi w:val="0"/>
        <w:adjustRightInd/>
        <w:snapToGrid/>
        <w:spacing w:beforeAutospacing="0" w:afterAutospacing="0" w:line="500" w:lineRule="exact"/>
        <w:ind w:right="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(5)《关于政府采购支持监狱企业发展有关问题的通知》（财库〔2014〕68号）</w:t>
      </w:r>
    </w:p>
    <w:p>
      <w:pPr>
        <w:keepNext w:val="0"/>
        <w:keepLines w:val="0"/>
        <w:pageBreakBefore w:val="0"/>
        <w:widowControl w:val="0"/>
        <w:kinsoku/>
        <w:overflowPunct/>
        <w:topLinePunct w:val="0"/>
        <w:bidi w:val="0"/>
        <w:adjustRightInd/>
        <w:snapToGrid/>
        <w:spacing w:beforeAutospacing="0" w:afterAutospacing="0" w:line="500" w:lineRule="exact"/>
        <w:ind w:right="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3、请依照提供的格式和内容填写声明函，不要随意变更格式；声明函不需要盖章或签字；满足多项优惠政策的投标人，不重复享受多项价格扣除政策。</w:t>
      </w:r>
    </w:p>
    <w:p>
      <w:pPr>
        <w:keepNext w:val="0"/>
        <w:keepLines w:val="0"/>
        <w:pageBreakBefore w:val="0"/>
        <w:widowControl w:val="0"/>
        <w:kinsoku/>
        <w:overflowPunct/>
        <w:topLinePunct w:val="0"/>
        <w:bidi w:val="0"/>
        <w:adjustRightInd/>
        <w:snapToGrid/>
        <w:spacing w:beforeAutospacing="0" w:afterAutospacing="0" w:line="500" w:lineRule="exact"/>
        <w:ind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4、声明函具体填写要求：</w:t>
      </w:r>
    </w:p>
    <w:p>
      <w:pPr>
        <w:keepNext w:val="0"/>
        <w:keepLines w:val="0"/>
        <w:pageBreakBefore w:val="0"/>
        <w:widowControl w:val="0"/>
        <w:kinsoku/>
        <w:overflowPunct/>
        <w:topLinePunct w:val="0"/>
        <w:bidi w:val="0"/>
        <w:adjustRightInd/>
        <w:snapToGrid/>
        <w:spacing w:beforeAutospacing="0" w:afterAutospacing="0" w:line="500" w:lineRule="exact"/>
        <w:ind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（1）声明是中小企业须填写《中小企业声明函》的以下内容：</w:t>
      </w:r>
    </w:p>
    <w:p>
      <w:pPr>
        <w:keepNext w:val="0"/>
        <w:keepLines w:val="0"/>
        <w:pageBreakBefore w:val="0"/>
        <w:widowControl w:val="0"/>
        <w:kinsoku/>
        <w:overflowPunct/>
        <w:topLinePunct w:val="0"/>
        <w:bidi w:val="0"/>
        <w:adjustRightInd/>
        <w:snapToGrid/>
        <w:spacing w:beforeAutospacing="0" w:afterAutospacing="0" w:line="500" w:lineRule="exact"/>
        <w:ind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第一处，在“单位名称”下划线处如实填写采购人名称（深圳公共资源交易中心不是本项目的采购人，而是组织实施机构）；</w:t>
      </w:r>
    </w:p>
    <w:p>
      <w:pPr>
        <w:keepNext w:val="0"/>
        <w:keepLines w:val="0"/>
        <w:pageBreakBefore w:val="0"/>
        <w:widowControl w:val="0"/>
        <w:kinsoku/>
        <w:overflowPunct/>
        <w:topLinePunct w:val="0"/>
        <w:bidi w:val="0"/>
        <w:adjustRightInd/>
        <w:snapToGrid/>
        <w:spacing w:beforeAutospacing="0" w:afterAutospacing="0" w:line="500" w:lineRule="exact"/>
        <w:ind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第二处，在“项目名称”下划线处如实填写采购项目名称；</w:t>
      </w:r>
    </w:p>
    <w:p>
      <w:pPr>
        <w:keepNext w:val="0"/>
        <w:keepLines w:val="0"/>
        <w:pageBreakBefore w:val="0"/>
        <w:widowControl w:val="0"/>
        <w:kinsoku/>
        <w:overflowPunct/>
        <w:topLinePunct w:val="0"/>
        <w:bidi w:val="0"/>
        <w:adjustRightInd/>
        <w:snapToGrid/>
        <w:spacing w:beforeAutospacing="0" w:afterAutospacing="0" w:line="500" w:lineRule="exact"/>
        <w:ind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三处，在“标的名称”下划线处填写所采购货物（标的）的具体名称（以招标文件第一册第三章用户需求书“货物清单明细”的“货物名称”一栏为准）；如果涉及多项货物（标的）为同一企业制造，“标的名称”下划线处可以如实填写多项货物；</w:t>
      </w:r>
    </w:p>
    <w:p>
      <w:pPr>
        <w:keepNext w:val="0"/>
        <w:keepLines w:val="0"/>
        <w:pageBreakBefore w:val="0"/>
        <w:widowControl w:val="0"/>
        <w:kinsoku/>
        <w:overflowPunct/>
        <w:topLinePunct w:val="0"/>
        <w:bidi w:val="0"/>
        <w:adjustRightInd/>
        <w:snapToGrid/>
        <w:spacing w:beforeAutospacing="0" w:afterAutospacing="0" w:line="500" w:lineRule="exact"/>
        <w:ind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第四处，在“招标文件中明确的所属行业”下划线处填写采购标的对应的中小企业划分标准所属行业（所属行业可在招标文件第一册第二章“对通用条款的补充内容及其他关键信息”章节查看）；</w:t>
      </w:r>
    </w:p>
    <w:p>
      <w:pPr>
        <w:keepNext w:val="0"/>
        <w:keepLines w:val="0"/>
        <w:pageBreakBefore w:val="0"/>
        <w:widowControl w:val="0"/>
        <w:kinsoku/>
        <w:overflowPunct/>
        <w:topLinePunct w:val="0"/>
        <w:bidi w:val="0"/>
        <w:adjustRightInd/>
        <w:snapToGrid/>
        <w:spacing w:beforeAutospacing="0" w:afterAutospacing="0" w:line="500" w:lineRule="exact"/>
        <w:ind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w:t>
      </w:r>
    </w:p>
    <w:p>
      <w:pPr>
        <w:keepNext w:val="0"/>
        <w:keepLines w:val="0"/>
        <w:pageBreakBefore w:val="0"/>
        <w:widowControl w:val="0"/>
        <w:kinsoku/>
        <w:overflowPunct/>
        <w:topLinePunct w:val="0"/>
        <w:bidi w:val="0"/>
        <w:adjustRightInd/>
        <w:snapToGrid/>
        <w:spacing w:beforeAutospacing="0" w:afterAutospacing="0" w:line="500" w:lineRule="exact"/>
        <w:ind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（2）声明是残疾人福利性单位须填写《残疾人福利性单位声明函》的相关内容，具体参照以上《中小企业声明函》填写要求执行。</w:t>
      </w:r>
    </w:p>
    <w:p>
      <w:pPr>
        <w:keepNext w:val="0"/>
        <w:keepLines w:val="0"/>
        <w:pageBreakBefore w:val="0"/>
        <w:widowControl w:val="0"/>
        <w:kinsoku/>
        <w:overflowPunct/>
        <w:topLinePunct w:val="0"/>
        <w:bidi w:val="0"/>
        <w:adjustRightInd/>
        <w:snapToGrid/>
        <w:spacing w:beforeAutospacing="0" w:afterAutospacing="0" w:line="500" w:lineRule="exact"/>
        <w:ind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（3）声明是监狱企业须填写《监狱企业声明函》的三项内容（填写位置的字体已加粗），具体参照以上《中小企业声明函》填写要求执行。</w:t>
      </w:r>
    </w:p>
    <w:p>
      <w:pPr>
        <w:keepNext w:val="0"/>
        <w:keepLines w:val="0"/>
        <w:pageBreakBefore w:val="0"/>
        <w:widowControl w:val="0"/>
        <w:kinsoku/>
        <w:overflowPunct/>
        <w:topLinePunct w:val="0"/>
        <w:bidi w:val="0"/>
        <w:adjustRightInd/>
        <w:snapToGrid/>
        <w:spacing w:beforeAutospacing="0" w:afterAutospacing="0" w:line="500" w:lineRule="exact"/>
        <w:ind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5、声明函的有效性最终由评审委员会判定；如评审委员会判定声明函无效，相关供应商不享受价格扣除（但不作投标无效处理）。</w:t>
      </w:r>
    </w:p>
    <w:p>
      <w:pPr>
        <w:pStyle w:val="5"/>
        <w:keepNext w:val="0"/>
        <w:keepLines w:val="0"/>
        <w:pageBreakBefore w:val="0"/>
        <w:widowControl w:val="0"/>
        <w:kinsoku/>
        <w:overflowPunct/>
        <w:topLinePunct w:val="0"/>
        <w:bidi w:val="0"/>
        <w:adjustRightInd/>
        <w:snapToGrid/>
        <w:spacing w:beforeAutospacing="0" w:afterAutospacing="0" w:line="500" w:lineRule="exact"/>
        <w:ind w:right="0" w:firstLine="640" w:firstLineChars="200"/>
        <w:jc w:val="both"/>
        <w:textAlignment w:val="auto"/>
        <w:rPr>
          <w:rFonts w:hint="eastAsia"/>
          <w:b/>
          <w:sz w:val="36"/>
          <w:szCs w:val="36"/>
        </w:rPr>
      </w:pPr>
      <w:r>
        <w:rPr>
          <w:rFonts w:hint="eastAsia" w:ascii="黑体" w:hAnsi="黑体" w:eastAsia="黑体" w:cs="黑体"/>
          <w:b w:val="0"/>
          <w:sz w:val="32"/>
          <w:szCs w:val="32"/>
          <w:lang w:val="en-US" w:eastAsia="zh-CN"/>
        </w:rPr>
        <w:t>二、相关模板</w:t>
      </w:r>
    </w:p>
    <w:p>
      <w:pPr>
        <w:keepNext w:val="0"/>
        <w:keepLines w:val="0"/>
        <w:pageBreakBefore w:val="0"/>
        <w:widowControl w:val="0"/>
        <w:kinsoku/>
        <w:overflowPunct/>
        <w:topLinePunct w:val="0"/>
        <w:bidi w:val="0"/>
        <w:adjustRightInd/>
        <w:snapToGrid/>
        <w:spacing w:beforeAutospacing="0" w:afterAutospacing="0" w:line="500" w:lineRule="exact"/>
        <w:ind w:right="0"/>
        <w:jc w:val="center"/>
        <w:textAlignment w:val="auto"/>
        <w:rPr>
          <w:rFonts w:hint="eastAsia"/>
          <w:b/>
          <w:sz w:val="36"/>
          <w:szCs w:val="36"/>
        </w:rPr>
      </w:pPr>
    </w:p>
    <w:p>
      <w:pPr>
        <w:keepNext w:val="0"/>
        <w:keepLines w:val="0"/>
        <w:pageBreakBefore w:val="0"/>
        <w:widowControl w:val="0"/>
        <w:kinsoku/>
        <w:overflowPunct/>
        <w:topLinePunct w:val="0"/>
        <w:bidi w:val="0"/>
        <w:adjustRightInd/>
        <w:snapToGrid/>
        <w:spacing w:beforeAutospacing="0" w:afterAutospacing="0" w:line="500" w:lineRule="exact"/>
        <w:ind w:right="0"/>
        <w:jc w:val="center"/>
        <w:textAlignment w:val="auto"/>
        <w:rPr>
          <w:rFonts w:hint="eastAsia"/>
          <w:b/>
          <w:sz w:val="36"/>
          <w:szCs w:val="36"/>
        </w:rPr>
      </w:pPr>
    </w:p>
    <w:p>
      <w:pPr>
        <w:keepNext w:val="0"/>
        <w:keepLines w:val="0"/>
        <w:pageBreakBefore w:val="0"/>
        <w:widowControl w:val="0"/>
        <w:kinsoku/>
        <w:overflowPunct/>
        <w:topLinePunct w:val="0"/>
        <w:bidi w:val="0"/>
        <w:adjustRightInd/>
        <w:snapToGrid/>
        <w:spacing w:beforeAutospacing="0" w:afterAutospacing="0" w:line="500" w:lineRule="exact"/>
        <w:ind w:right="0"/>
        <w:jc w:val="center"/>
        <w:textAlignment w:val="auto"/>
        <w:rPr>
          <w:rFonts w:hint="eastAsia"/>
          <w:b/>
          <w:sz w:val="36"/>
          <w:szCs w:val="36"/>
        </w:rPr>
      </w:pPr>
    </w:p>
    <w:p>
      <w:pPr>
        <w:keepNext w:val="0"/>
        <w:keepLines w:val="0"/>
        <w:pageBreakBefore w:val="0"/>
        <w:widowControl w:val="0"/>
        <w:kinsoku/>
        <w:overflowPunct/>
        <w:topLinePunct w:val="0"/>
        <w:bidi w:val="0"/>
        <w:adjustRightInd/>
        <w:snapToGrid/>
        <w:spacing w:beforeAutospacing="0" w:afterAutospacing="0" w:line="500" w:lineRule="exact"/>
        <w:ind w:right="0"/>
        <w:jc w:val="center"/>
        <w:textAlignment w:val="auto"/>
        <w:rPr>
          <w:rFonts w:hint="eastAsia"/>
          <w:b/>
          <w:sz w:val="36"/>
          <w:szCs w:val="36"/>
        </w:rPr>
      </w:pPr>
    </w:p>
    <w:p>
      <w:pPr>
        <w:keepNext w:val="0"/>
        <w:keepLines w:val="0"/>
        <w:pageBreakBefore w:val="0"/>
        <w:widowControl w:val="0"/>
        <w:kinsoku/>
        <w:overflowPunct/>
        <w:topLinePunct w:val="0"/>
        <w:bidi w:val="0"/>
        <w:adjustRightInd/>
        <w:snapToGrid/>
        <w:spacing w:beforeAutospacing="0" w:afterAutospacing="0" w:line="500" w:lineRule="exact"/>
        <w:ind w:right="0"/>
        <w:jc w:val="center"/>
        <w:textAlignment w:val="auto"/>
        <w:rPr>
          <w:rFonts w:hint="eastAsia"/>
          <w:b/>
          <w:sz w:val="36"/>
          <w:szCs w:val="36"/>
        </w:rPr>
      </w:pPr>
    </w:p>
    <w:p>
      <w:pPr>
        <w:pStyle w:val="10"/>
        <w:rPr>
          <w:rFonts w:hint="eastAsia"/>
          <w:b/>
          <w:sz w:val="36"/>
          <w:szCs w:val="36"/>
        </w:rPr>
      </w:pPr>
    </w:p>
    <w:p>
      <w:pPr>
        <w:rPr>
          <w:rFonts w:hint="eastAsia"/>
          <w:b/>
          <w:sz w:val="36"/>
          <w:szCs w:val="36"/>
        </w:rPr>
      </w:pPr>
    </w:p>
    <w:p>
      <w:pPr>
        <w:pStyle w:val="10"/>
        <w:rPr>
          <w:rFonts w:hint="eastAsia"/>
          <w:b/>
          <w:sz w:val="36"/>
          <w:szCs w:val="36"/>
        </w:rPr>
      </w:pPr>
    </w:p>
    <w:p>
      <w:pPr>
        <w:rPr>
          <w:rFonts w:hint="eastAsia"/>
          <w:b/>
          <w:sz w:val="36"/>
          <w:szCs w:val="36"/>
        </w:rPr>
      </w:pPr>
    </w:p>
    <w:p>
      <w:pPr>
        <w:pStyle w:val="2"/>
        <w:rPr>
          <w:rFonts w:hint="eastAsia"/>
          <w:b/>
          <w:sz w:val="36"/>
          <w:szCs w:val="36"/>
        </w:rPr>
      </w:pPr>
    </w:p>
    <w:p>
      <w:pPr>
        <w:rPr>
          <w:rFonts w:hint="eastAsia"/>
          <w:b/>
          <w:sz w:val="36"/>
          <w:szCs w:val="36"/>
        </w:rPr>
      </w:pPr>
    </w:p>
    <w:p>
      <w:pPr>
        <w:pStyle w:val="2"/>
        <w:rPr>
          <w:rFonts w:hint="eastAsia"/>
          <w:b/>
          <w:sz w:val="36"/>
          <w:szCs w:val="36"/>
        </w:rPr>
      </w:pPr>
    </w:p>
    <w:p>
      <w:pPr>
        <w:rPr>
          <w:rFonts w:hint="eastAsia"/>
        </w:rPr>
      </w:pPr>
    </w:p>
    <w:p>
      <w:pPr>
        <w:pStyle w:val="10"/>
        <w:rPr>
          <w:rFonts w:hint="eastAsia"/>
        </w:rPr>
      </w:pPr>
    </w:p>
    <w:p>
      <w:pPr>
        <w:keepNext w:val="0"/>
        <w:keepLines w:val="0"/>
        <w:pageBreakBefore w:val="0"/>
        <w:widowControl w:val="0"/>
        <w:kinsoku/>
        <w:overflowPunct/>
        <w:topLinePunct w:val="0"/>
        <w:bidi w:val="0"/>
        <w:adjustRightInd/>
        <w:snapToGrid/>
        <w:spacing w:beforeAutospacing="0" w:afterAutospacing="0" w:line="500" w:lineRule="exact"/>
        <w:ind w:right="0"/>
        <w:jc w:val="both"/>
        <w:textAlignment w:val="auto"/>
        <w:rPr>
          <w:rFonts w:hint="eastAsia"/>
          <w:b/>
          <w:sz w:val="36"/>
          <w:szCs w:val="36"/>
        </w:rPr>
      </w:pPr>
    </w:p>
    <w:p>
      <w:pPr>
        <w:keepNext w:val="0"/>
        <w:keepLines w:val="0"/>
        <w:pageBreakBefore w:val="0"/>
        <w:widowControl w:val="0"/>
        <w:kinsoku/>
        <w:overflowPunct/>
        <w:topLinePunct w:val="0"/>
        <w:bidi w:val="0"/>
        <w:adjustRightInd/>
        <w:snapToGrid/>
        <w:spacing w:beforeAutospacing="0" w:afterAutospacing="0" w:line="500" w:lineRule="exact"/>
        <w:ind w:right="0"/>
        <w:jc w:val="center"/>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6"/>
          <w:szCs w:val="36"/>
        </w:rPr>
        <w:t>（</w:t>
      </w:r>
      <w:r>
        <w:rPr>
          <w:rFonts w:hint="eastAsia" w:ascii="仿宋_GB2312" w:hAnsi="仿宋_GB2312" w:eastAsia="仿宋_GB2312" w:cs="仿宋_GB2312"/>
          <w:b/>
          <w:bCs w:val="0"/>
          <w:sz w:val="36"/>
          <w:szCs w:val="36"/>
          <w:lang w:val="en-US" w:eastAsia="zh-CN"/>
        </w:rPr>
        <w:t>一</w:t>
      </w:r>
      <w:r>
        <w:rPr>
          <w:rFonts w:hint="eastAsia" w:ascii="仿宋_GB2312" w:hAnsi="仿宋_GB2312" w:eastAsia="仿宋_GB2312" w:cs="仿宋_GB2312"/>
          <w:b/>
          <w:bCs w:val="0"/>
          <w:sz w:val="36"/>
          <w:szCs w:val="36"/>
        </w:rPr>
        <w:t>）中小企业声明函</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firstLine="640" w:firstLineChars="200"/>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企业已知悉《政府采购促进中小企业发展管理办法》（财库〔2020〕46号）、《中小企业划型》（工信部联企〔2011〕300号）、《统计上大中小微型企业划分办法（2017）》等规定，承诺提供的声明函内容是真实的，并知悉根据《政府采购促进中小企业发展管理办法》（财库〔2020〕46号）第二十条规定，供应商按照本办法规定提供声明函内容不实的，属于提供虚假材料谋取中标、成交，依照《中华人民共和国政府采购法》等政府采购有关法律法规规定追究响应责任。</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本公司（联合体）郑重声明，根据《政府采购促进中小企业发展管理办法》（财库〔2020〕46号）的规定，本公司（联合体）参加</w:t>
      </w:r>
      <w:r>
        <w:rPr>
          <w:rFonts w:hint="eastAsia" w:ascii="仿宋_GB2312" w:hAnsi="仿宋_GB2312" w:eastAsia="仿宋_GB2312" w:cs="仿宋_GB2312"/>
          <w:b w:val="0"/>
          <w:bCs w:val="0"/>
          <w:sz w:val="32"/>
          <w:szCs w:val="32"/>
          <w:u w:val="single"/>
        </w:rPr>
        <w:t>（单位名称）</w:t>
      </w:r>
      <w:r>
        <w:rPr>
          <w:rFonts w:hint="eastAsia" w:ascii="仿宋_GB2312" w:hAnsi="仿宋_GB2312" w:eastAsia="仿宋_GB2312" w:cs="仿宋_GB2312"/>
          <w:b w:val="0"/>
          <w:bCs w:val="0"/>
          <w:sz w:val="32"/>
          <w:szCs w:val="32"/>
        </w:rPr>
        <w:t>的</w:t>
      </w:r>
      <w:r>
        <w:rPr>
          <w:rFonts w:hint="eastAsia" w:ascii="仿宋_GB2312" w:hAnsi="仿宋_GB2312" w:eastAsia="仿宋_GB2312" w:cs="仿宋_GB2312"/>
          <w:b w:val="0"/>
          <w:bCs w:val="0"/>
          <w:sz w:val="32"/>
          <w:szCs w:val="32"/>
          <w:u w:val="single"/>
        </w:rPr>
        <w:t>（项目名称）</w:t>
      </w:r>
      <w:r>
        <w:rPr>
          <w:rFonts w:hint="eastAsia" w:ascii="仿宋_GB2312" w:hAnsi="仿宋_GB2312" w:eastAsia="仿宋_GB2312" w:cs="仿宋_GB2312"/>
          <w:b w:val="0"/>
          <w:bCs w:val="0"/>
          <w:sz w:val="32"/>
          <w:szCs w:val="32"/>
        </w:rPr>
        <w:t>采购活动，提供的货物全部由符合政策要求的中小企业制造。相关企业（含联合体中的中小企业、签订分包意向协议的中小企业）的具体情况如下：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u w:val="single"/>
        </w:rPr>
        <w:t>（标的名称）</w:t>
      </w:r>
      <w:r>
        <w:rPr>
          <w:rFonts w:hint="eastAsia" w:ascii="仿宋_GB2312" w:hAnsi="仿宋_GB2312" w:eastAsia="仿宋_GB2312" w:cs="仿宋_GB2312"/>
          <w:b w:val="0"/>
          <w:bCs w:val="0"/>
          <w:sz w:val="32"/>
          <w:szCs w:val="32"/>
        </w:rPr>
        <w:t>，属于</w:t>
      </w:r>
      <w:r>
        <w:rPr>
          <w:rFonts w:hint="eastAsia" w:ascii="仿宋_GB2312" w:hAnsi="仿宋_GB2312" w:eastAsia="仿宋_GB2312" w:cs="仿宋_GB2312"/>
          <w:b w:val="0"/>
          <w:bCs w:val="0"/>
          <w:sz w:val="32"/>
          <w:szCs w:val="32"/>
          <w:u w:val="single"/>
        </w:rPr>
        <w:t>（采购文件中明确的所属行业）</w:t>
      </w:r>
      <w:r>
        <w:rPr>
          <w:rFonts w:hint="eastAsia" w:ascii="仿宋_GB2312" w:hAnsi="仿宋_GB2312" w:eastAsia="仿宋_GB2312" w:cs="仿宋_GB2312"/>
          <w:b w:val="0"/>
          <w:bCs w:val="0"/>
          <w:sz w:val="32"/>
          <w:szCs w:val="32"/>
        </w:rPr>
        <w:t>行业；制造商为</w:t>
      </w:r>
      <w:r>
        <w:rPr>
          <w:rFonts w:hint="eastAsia" w:ascii="仿宋_GB2312" w:hAnsi="仿宋_GB2312" w:eastAsia="仿宋_GB2312" w:cs="仿宋_GB2312"/>
          <w:b w:val="0"/>
          <w:bCs w:val="0"/>
          <w:sz w:val="32"/>
          <w:szCs w:val="32"/>
          <w:u w:val="single"/>
        </w:rPr>
        <w:t>（企业名称）</w:t>
      </w:r>
      <w:r>
        <w:rPr>
          <w:rFonts w:hint="eastAsia" w:ascii="仿宋_GB2312" w:hAnsi="仿宋_GB2312" w:eastAsia="仿宋_GB2312" w:cs="仿宋_GB2312"/>
          <w:b w:val="0"/>
          <w:bCs w:val="0"/>
          <w:sz w:val="32"/>
          <w:szCs w:val="32"/>
        </w:rPr>
        <w:t>，从业人员</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人，营业收入为</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万元，资产总额为</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万元，属于</w:t>
      </w:r>
      <w:r>
        <w:rPr>
          <w:rFonts w:hint="eastAsia" w:ascii="仿宋_GB2312" w:hAnsi="仿宋_GB2312" w:eastAsia="仿宋_GB2312" w:cs="仿宋_GB2312"/>
          <w:b w:val="0"/>
          <w:bCs w:val="0"/>
          <w:sz w:val="32"/>
          <w:szCs w:val="32"/>
          <w:u w:val="single"/>
        </w:rPr>
        <w:t>（中型企业、小型企业、微型企业）</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u w:val="single"/>
        </w:rPr>
        <w:t>（标的名称）</w:t>
      </w:r>
      <w:r>
        <w:rPr>
          <w:rFonts w:hint="eastAsia" w:ascii="仿宋_GB2312" w:hAnsi="仿宋_GB2312" w:eastAsia="仿宋_GB2312" w:cs="仿宋_GB2312"/>
          <w:b w:val="0"/>
          <w:bCs w:val="0"/>
          <w:sz w:val="32"/>
          <w:szCs w:val="32"/>
        </w:rPr>
        <w:t>，属于</w:t>
      </w:r>
      <w:r>
        <w:rPr>
          <w:rFonts w:hint="eastAsia" w:ascii="仿宋_GB2312" w:hAnsi="仿宋_GB2312" w:eastAsia="仿宋_GB2312" w:cs="仿宋_GB2312"/>
          <w:b w:val="0"/>
          <w:bCs w:val="0"/>
          <w:sz w:val="32"/>
          <w:szCs w:val="32"/>
          <w:u w:val="single"/>
        </w:rPr>
        <w:t>（采购文件中明确的所属行业）</w:t>
      </w:r>
      <w:r>
        <w:rPr>
          <w:rFonts w:hint="eastAsia" w:ascii="仿宋_GB2312" w:hAnsi="仿宋_GB2312" w:eastAsia="仿宋_GB2312" w:cs="仿宋_GB2312"/>
          <w:b w:val="0"/>
          <w:bCs w:val="0"/>
          <w:sz w:val="32"/>
          <w:szCs w:val="32"/>
        </w:rPr>
        <w:t>行业；制造商为</w:t>
      </w:r>
      <w:r>
        <w:rPr>
          <w:rFonts w:hint="eastAsia" w:ascii="仿宋_GB2312" w:hAnsi="仿宋_GB2312" w:eastAsia="仿宋_GB2312" w:cs="仿宋_GB2312"/>
          <w:b w:val="0"/>
          <w:bCs w:val="0"/>
          <w:sz w:val="32"/>
          <w:szCs w:val="32"/>
          <w:u w:val="single"/>
        </w:rPr>
        <w:t>（企业名称）</w:t>
      </w:r>
      <w:r>
        <w:rPr>
          <w:rFonts w:hint="eastAsia" w:ascii="仿宋_GB2312" w:hAnsi="仿宋_GB2312" w:eastAsia="仿宋_GB2312" w:cs="仿宋_GB2312"/>
          <w:b w:val="0"/>
          <w:bCs w:val="0"/>
          <w:sz w:val="32"/>
          <w:szCs w:val="32"/>
        </w:rPr>
        <w:t>，从业人员</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人，营业收入为</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万元，资产总额为</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万元，属于</w:t>
      </w:r>
      <w:r>
        <w:rPr>
          <w:rFonts w:hint="eastAsia" w:ascii="仿宋_GB2312" w:hAnsi="仿宋_GB2312" w:eastAsia="仿宋_GB2312" w:cs="仿宋_GB2312"/>
          <w:b w:val="0"/>
          <w:bCs w:val="0"/>
          <w:sz w:val="32"/>
          <w:szCs w:val="32"/>
          <w:u w:val="single"/>
        </w:rPr>
        <w:t>（中型企业、小型企业、微型企业）</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本企业对上述声明内容的真实性负责。如有虚假，将依法承担相应责任。</w:t>
      </w:r>
    </w:p>
    <w:p>
      <w:pPr>
        <w:pStyle w:val="10"/>
        <w:rPr>
          <w:rFonts w:hint="eastAsia"/>
        </w:rPr>
      </w:pPr>
    </w:p>
    <w:p>
      <w:pPr>
        <w:keepNext w:val="0"/>
        <w:keepLines w:val="0"/>
        <w:pageBreakBefore w:val="0"/>
        <w:widowControl w:val="0"/>
        <w:kinsoku/>
        <w:wordWrap/>
        <w:overflowPunct/>
        <w:topLinePunct w:val="0"/>
        <w:bidi w:val="0"/>
        <w:adjustRightInd/>
        <w:snapToGrid/>
        <w:spacing w:beforeAutospacing="0" w:afterAutospacing="0" w:line="440" w:lineRule="exact"/>
        <w:ind w:right="0" w:firstLine="420" w:firstLineChars="200"/>
        <w:textAlignment w:val="auto"/>
        <w:rPr>
          <w:rFonts w:hint="eastAsia" w:ascii="仿宋_GB2312" w:hAnsi="仿宋_GB2312" w:eastAsia="仿宋_GB2312" w:cs="仿宋_GB2312"/>
          <w:b w:val="0"/>
          <w:bCs w:val="0"/>
          <w:sz w:val="32"/>
          <w:szCs w:val="32"/>
        </w:rPr>
      </w:pPr>
      <w:r>
        <w:rPr>
          <w:rFonts w:hint="eastAsia"/>
          <w:lang w:val="en-US" w:eastAsia="zh-CN"/>
        </w:rPr>
        <w:t xml:space="preserve">                                     </w:t>
      </w:r>
      <w:r>
        <w:rPr>
          <w:rFonts w:hint="eastAsia" w:ascii="仿宋_GB2312" w:hAnsi="仿宋_GB2312" w:eastAsia="仿宋_GB2312" w:cs="仿宋_GB2312"/>
          <w:b w:val="0"/>
          <w:bCs w:val="0"/>
          <w:sz w:val="32"/>
          <w:szCs w:val="32"/>
        </w:rPr>
        <w:t>企业名称（盖章）：</w:t>
      </w:r>
    </w:p>
    <w:p>
      <w:pPr>
        <w:keepNext w:val="0"/>
        <w:keepLines w:val="0"/>
        <w:pageBreakBefore w:val="0"/>
        <w:widowControl w:val="0"/>
        <w:kinsoku/>
        <w:wordWrap/>
        <w:overflowPunct/>
        <w:topLinePunct w:val="0"/>
        <w:bidi w:val="0"/>
        <w:adjustRightInd/>
        <w:snapToGrid/>
        <w:spacing w:beforeAutospacing="0" w:afterAutospacing="0" w:line="440" w:lineRule="exact"/>
        <w:ind w:right="0" w:firstLine="640" w:firstLineChars="200"/>
        <w:textAlignment w:val="auto"/>
        <w:rPr>
          <w:rFonts w:hint="eastAsia"/>
          <w:b/>
          <w:bCs w:val="0"/>
          <w:sz w:val="36"/>
          <w:szCs w:val="36"/>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日期： </w:t>
      </w:r>
    </w:p>
    <w:p>
      <w:pPr>
        <w:keepNext w:val="0"/>
        <w:keepLines w:val="0"/>
        <w:pageBreakBefore w:val="0"/>
        <w:widowControl w:val="0"/>
        <w:kinsoku/>
        <w:overflowPunct/>
        <w:topLinePunct w:val="0"/>
        <w:bidi w:val="0"/>
        <w:adjustRightInd/>
        <w:snapToGrid/>
        <w:spacing w:beforeAutospacing="0" w:afterAutospacing="0" w:line="500" w:lineRule="exact"/>
        <w:ind w:right="0"/>
        <w:jc w:val="center"/>
        <w:textAlignment w:val="auto"/>
        <w:rPr>
          <w:rFonts w:hint="eastAsia"/>
          <w:b/>
          <w:bCs w:val="0"/>
          <w:sz w:val="36"/>
          <w:szCs w:val="36"/>
        </w:rPr>
      </w:pPr>
    </w:p>
    <w:p>
      <w:pPr>
        <w:keepNext w:val="0"/>
        <w:keepLines w:val="0"/>
        <w:pageBreakBefore w:val="0"/>
        <w:widowControl w:val="0"/>
        <w:kinsoku/>
        <w:overflowPunct/>
        <w:topLinePunct w:val="0"/>
        <w:bidi w:val="0"/>
        <w:adjustRightInd/>
        <w:snapToGrid/>
        <w:spacing w:beforeAutospacing="0" w:afterAutospacing="0" w:line="500" w:lineRule="exact"/>
        <w:ind w:right="0"/>
        <w:jc w:val="center"/>
        <w:textAlignment w:val="auto"/>
        <w:rPr>
          <w:rFonts w:hint="eastAsia"/>
          <w:b/>
          <w:bCs w:val="0"/>
          <w:sz w:val="36"/>
          <w:szCs w:val="36"/>
        </w:rPr>
      </w:pPr>
      <w:r>
        <w:rPr>
          <w:rFonts w:hint="eastAsia"/>
          <w:b/>
          <w:bCs w:val="0"/>
          <w:sz w:val="36"/>
          <w:szCs w:val="36"/>
        </w:rPr>
        <w:t>（</w:t>
      </w:r>
      <w:r>
        <w:rPr>
          <w:rFonts w:hint="eastAsia"/>
          <w:b/>
          <w:bCs w:val="0"/>
          <w:sz w:val="36"/>
          <w:szCs w:val="36"/>
          <w:lang w:val="en-US" w:eastAsia="zh-CN"/>
        </w:rPr>
        <w:t>二</w:t>
      </w:r>
      <w:r>
        <w:rPr>
          <w:rFonts w:hint="eastAsia"/>
          <w:b/>
          <w:bCs w:val="0"/>
          <w:sz w:val="36"/>
          <w:szCs w:val="36"/>
        </w:rPr>
        <w:t>）残疾人福利性单位声明函</w:t>
      </w:r>
    </w:p>
    <w:p>
      <w:pPr>
        <w:keepNext w:val="0"/>
        <w:keepLines w:val="0"/>
        <w:pageBreakBefore w:val="0"/>
        <w:widowControl w:val="0"/>
        <w:kinsoku/>
        <w:overflowPunct/>
        <w:topLinePunct w:val="0"/>
        <w:bidi w:val="0"/>
        <w:adjustRightInd/>
        <w:snapToGrid/>
        <w:spacing w:beforeAutospacing="0" w:afterAutospacing="0" w:line="500" w:lineRule="exact"/>
        <w:ind w:right="0"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adjustRightInd/>
        <w:snapToGrid/>
        <w:spacing w:beforeAutospacing="0" w:afterAutospacing="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本单位知悉《促进残疾人就业政府采购政策的通知》（财库〔2017〕141号）的规定，承诺提供的声明函内容是真实的，如提供声明函内容不实，则依法追究相关法律责任。</w:t>
      </w:r>
    </w:p>
    <w:p>
      <w:pPr>
        <w:keepNext w:val="0"/>
        <w:keepLines w:val="0"/>
        <w:pageBreakBefore w:val="0"/>
        <w:widowControl w:val="0"/>
        <w:kinsoku/>
        <w:wordWrap/>
        <w:overflowPunct/>
        <w:topLinePunct w:val="0"/>
        <w:bidi w:val="0"/>
        <w:adjustRightInd/>
        <w:snapToGrid/>
        <w:spacing w:beforeAutospacing="0" w:afterAutospacing="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bidi w:val="0"/>
        <w:adjustRightInd/>
        <w:snapToGrid/>
        <w:spacing w:beforeAutospacing="0" w:afterAutospacing="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本单位对上述声明的真实性负责。如有虚假，将依法承担相应责任。</w:t>
      </w:r>
    </w:p>
    <w:p>
      <w:pPr>
        <w:pStyle w:val="10"/>
        <w:keepNext w:val="0"/>
        <w:keepLines w:val="0"/>
        <w:pageBreakBefore w:val="0"/>
        <w:widowControl w:val="0"/>
        <w:tabs>
          <w:tab w:val="left" w:pos="562"/>
          <w:tab w:val="left" w:pos="3372"/>
          <w:tab w:val="left" w:pos="3653"/>
        </w:tabs>
        <w:kinsoku/>
        <w:wordWrap/>
        <w:overflowPunct/>
        <w:topLinePunct w:val="0"/>
        <w:bidi w:val="0"/>
        <w:adjustRightInd/>
        <w:snapToGrid/>
        <w:spacing w:beforeAutospacing="0" w:afterAutospacing="0" w:line="560" w:lineRule="exact"/>
        <w:ind w:right="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bidi w:val="0"/>
        <w:adjustRightInd/>
        <w:snapToGrid/>
        <w:spacing w:line="560" w:lineRule="exact"/>
        <w:textAlignment w:val="auto"/>
        <w:rPr>
          <w:rFonts w:hint="eastAsia"/>
        </w:rPr>
      </w:pPr>
    </w:p>
    <w:p>
      <w:pPr>
        <w:keepNext w:val="0"/>
        <w:keepLines w:val="0"/>
        <w:pageBreakBefore w:val="0"/>
        <w:widowControl w:val="0"/>
        <w:kinsoku/>
        <w:wordWrap/>
        <w:overflowPunct/>
        <w:topLinePunct w:val="0"/>
        <w:bidi w:val="0"/>
        <w:adjustRightInd/>
        <w:snapToGrid/>
        <w:spacing w:beforeAutospacing="0" w:afterAutospacing="0" w:line="560" w:lineRule="exact"/>
        <w:ind w:right="0" w:firstLine="4480" w:firstLineChars="14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单位名称（盖章）：</w:t>
      </w:r>
    </w:p>
    <w:p>
      <w:pPr>
        <w:keepNext w:val="0"/>
        <w:keepLines w:val="0"/>
        <w:pageBreakBefore w:val="0"/>
        <w:widowControl w:val="0"/>
        <w:kinsoku/>
        <w:wordWrap/>
        <w:overflowPunct/>
        <w:topLinePunct w:val="0"/>
        <w:bidi w:val="0"/>
        <w:adjustRightInd/>
        <w:snapToGrid/>
        <w:spacing w:beforeAutospacing="0" w:afterAutospacing="0" w:line="560" w:lineRule="exact"/>
        <w:ind w:right="0" w:firstLine="4480" w:firstLineChars="14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  期：</w:t>
      </w:r>
    </w:p>
    <w:p>
      <w:pPr>
        <w:pStyle w:val="10"/>
        <w:rPr>
          <w:rFonts w:hint="eastAsia" w:ascii="仿宋_GB2312" w:hAnsi="仿宋_GB2312" w:eastAsia="仿宋_GB2312" w:cs="仿宋_GB2312"/>
          <w:sz w:val="32"/>
          <w:szCs w:val="32"/>
        </w:rPr>
      </w:pPr>
    </w:p>
    <w:p>
      <w:pPr>
        <w:pStyle w:val="10"/>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rPr>
      </w:pPr>
    </w:p>
    <w:p>
      <w:pPr>
        <w:rPr>
          <w:rFonts w:hint="eastAsia"/>
        </w:rPr>
      </w:pPr>
    </w:p>
    <w:p>
      <w:pPr>
        <w:rPr>
          <w:rFonts w:hint="eastAsia"/>
        </w:rPr>
      </w:pPr>
    </w:p>
    <w:p>
      <w:pPr>
        <w:rPr>
          <w:rFonts w:hint="eastAsia"/>
        </w:rPr>
      </w:pPr>
    </w:p>
    <w:p>
      <w:pPr>
        <w:keepNext w:val="0"/>
        <w:keepLines w:val="0"/>
        <w:pageBreakBefore w:val="0"/>
        <w:widowControl w:val="0"/>
        <w:numPr>
          <w:ilvl w:val="0"/>
          <w:numId w:val="11"/>
        </w:numPr>
        <w:kinsoku/>
        <w:overflowPunct/>
        <w:topLinePunct w:val="0"/>
        <w:bidi w:val="0"/>
        <w:adjustRightInd/>
        <w:snapToGrid/>
        <w:spacing w:beforeAutospacing="0" w:afterAutospacing="0" w:line="500" w:lineRule="exact"/>
        <w:ind w:right="0"/>
        <w:jc w:val="center"/>
        <w:textAlignment w:val="auto"/>
        <w:rPr>
          <w:rFonts w:hint="eastAsia"/>
          <w:b/>
          <w:sz w:val="36"/>
          <w:szCs w:val="36"/>
        </w:rPr>
      </w:pPr>
      <w:r>
        <w:rPr>
          <w:rFonts w:hint="eastAsia"/>
          <w:b/>
          <w:sz w:val="36"/>
          <w:szCs w:val="36"/>
        </w:rPr>
        <w:t>监狱企业</w:t>
      </w:r>
      <w:r>
        <w:rPr>
          <w:rFonts w:hint="eastAsia"/>
          <w:b/>
          <w:bCs w:val="0"/>
          <w:sz w:val="36"/>
          <w:szCs w:val="36"/>
        </w:rPr>
        <w:t>声明函</w:t>
      </w:r>
    </w:p>
    <w:p>
      <w:pPr>
        <w:pStyle w:val="10"/>
        <w:numPr>
          <w:ilvl w:val="0"/>
          <w:numId w:val="0"/>
        </w:numPr>
        <w:rPr>
          <w:rFonts w:hint="eastAsia"/>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本单位郑重声明，根据《财政部司法部关于政府采购支持监狱企业发展有关问题的通知》（财库〔2014〕68号）的规定，本单位为符合条件的监狱企业，且本单位参加（采购单位名称） 单位的（采购项目名称）项目采购活动，并提供: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本单位制造的货物;□由本单位承担的工程、提供服务;□提供其他监狱企业制造的货物（承诺人在□处打√）。本条所称货物是指单一产品采购项目中的货物，或者非单一产品采购项目中的核心产品（货物）。</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附：省级以上监狱管理局、戒毒管理局（含新疆生产建设兵团）出具的监狱企业证明文件。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firstLine="640" w:firstLineChars="200"/>
        <w:jc w:val="left"/>
        <w:textAlignment w:val="auto"/>
        <w:rPr>
          <w:rFonts w:hint="eastAsia" w:ascii="仿宋_GB2312" w:hAnsi="仿宋_GB2312" w:eastAsia="仿宋_GB2312" w:cs="仿宋_GB2312"/>
          <w:sz w:val="32"/>
          <w:szCs w:val="32"/>
        </w:rPr>
      </w:pPr>
    </w:p>
    <w:p>
      <w:pPr>
        <w:pStyle w:val="10"/>
        <w:rPr>
          <w:rFonts w:hint="eastAsia"/>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firstLine="5120" w:firstLineChars="1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单位名称（盖章）：</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firstLine="5120" w:firstLineChars="1600"/>
        <w:jc w:val="left"/>
        <w:textAlignment w:val="auto"/>
        <w:rPr>
          <w:rFonts w:hint="eastAsia" w:ascii="Calibri" w:hAnsi="Calibri" w:cs="黑体"/>
          <w:b/>
          <w:kern w:val="2"/>
          <w:sz w:val="32"/>
          <w:szCs w:val="32"/>
          <w:lang w:val="en-US" w:eastAsia="zh-CN" w:bidi="ar-SA"/>
        </w:rPr>
      </w:pPr>
      <w:r>
        <w:rPr>
          <w:rFonts w:hint="eastAsia" w:ascii="仿宋_GB2312" w:hAnsi="仿宋_GB2312" w:eastAsia="仿宋_GB2312" w:cs="仿宋_GB2312"/>
          <w:sz w:val="32"/>
          <w:szCs w:val="32"/>
        </w:rPr>
        <w:t>日  期：</w:t>
      </w:r>
    </w:p>
    <w:p>
      <w:pPr>
        <w:pStyle w:val="5"/>
        <w:keepNext w:val="0"/>
        <w:keepLines w:val="0"/>
        <w:pageBreakBefore w:val="0"/>
        <w:widowControl w:val="0"/>
        <w:kinsoku/>
        <w:overflowPunct/>
        <w:topLinePunct w:val="0"/>
        <w:bidi w:val="0"/>
        <w:adjustRightInd/>
        <w:snapToGrid/>
        <w:spacing w:beforeAutospacing="0" w:afterAutospacing="0" w:line="500" w:lineRule="exact"/>
        <w:ind w:right="0" w:firstLine="643" w:firstLineChars="200"/>
        <w:jc w:val="both"/>
        <w:textAlignment w:val="auto"/>
        <w:rPr>
          <w:rFonts w:hint="eastAsia" w:ascii="Calibri" w:hAnsi="Calibri" w:cs="黑体"/>
          <w:b/>
          <w:kern w:val="2"/>
          <w:sz w:val="32"/>
          <w:szCs w:val="32"/>
          <w:lang w:val="en-US" w:eastAsia="zh-CN" w:bidi="ar-SA"/>
        </w:rPr>
      </w:pPr>
    </w:p>
    <w:p>
      <w:pPr>
        <w:pStyle w:val="5"/>
        <w:keepNext w:val="0"/>
        <w:keepLines w:val="0"/>
        <w:pageBreakBefore w:val="0"/>
        <w:widowControl w:val="0"/>
        <w:kinsoku/>
        <w:overflowPunct/>
        <w:topLinePunct w:val="0"/>
        <w:bidi w:val="0"/>
        <w:adjustRightInd/>
        <w:snapToGrid/>
        <w:spacing w:beforeAutospacing="0" w:afterAutospacing="0" w:line="500" w:lineRule="exact"/>
        <w:ind w:right="0" w:firstLine="643" w:firstLineChars="200"/>
        <w:jc w:val="both"/>
        <w:textAlignment w:val="auto"/>
        <w:rPr>
          <w:rFonts w:hint="eastAsia" w:ascii="Calibri" w:hAnsi="Calibri" w:cs="黑体"/>
          <w:b/>
          <w:kern w:val="2"/>
          <w:sz w:val="32"/>
          <w:szCs w:val="32"/>
          <w:lang w:val="en-US" w:eastAsia="zh-CN" w:bidi="ar-SA"/>
        </w:rPr>
      </w:pPr>
    </w:p>
    <w:p>
      <w:pPr>
        <w:sectPr>
          <w:headerReference r:id="rId3" w:type="default"/>
          <w:footerReference r:id="rId4" w:type="default"/>
          <w:pgSz w:w="11906" w:h="16838"/>
          <w:pgMar w:top="1644" w:right="1587" w:bottom="1531" w:left="1474" w:header="31" w:footer="1587" w:gutter="0"/>
          <w:pgNumType w:fmt="numberInDash"/>
          <w:cols w:space="720" w:num="1"/>
          <w:docGrid w:type="lines" w:linePitch="312" w:charSpace="0"/>
        </w:sectPr>
      </w:pPr>
    </w:p>
    <w:tbl>
      <w:tblPr>
        <w:tblStyle w:val="20"/>
        <w:tblW w:w="0" w:type="auto"/>
        <w:tblInd w:w="0" w:type="dxa"/>
        <w:tblLayout w:type="fixed"/>
        <w:tblCellMar>
          <w:top w:w="15" w:type="dxa"/>
          <w:left w:w="15" w:type="dxa"/>
          <w:bottom w:w="15" w:type="dxa"/>
          <w:right w:w="15" w:type="dxa"/>
        </w:tblCellMar>
      </w:tblPr>
      <w:tblGrid>
        <w:gridCol w:w="574"/>
        <w:gridCol w:w="2745"/>
        <w:gridCol w:w="1853"/>
        <w:gridCol w:w="1816"/>
        <w:gridCol w:w="1854"/>
        <w:gridCol w:w="1950"/>
        <w:gridCol w:w="2322"/>
        <w:gridCol w:w="1365"/>
      </w:tblGrid>
      <w:tr>
        <w:tblPrEx>
          <w:tblCellMar>
            <w:top w:w="15" w:type="dxa"/>
            <w:left w:w="15" w:type="dxa"/>
            <w:bottom w:w="15" w:type="dxa"/>
            <w:right w:w="15" w:type="dxa"/>
          </w:tblCellMar>
        </w:tblPrEx>
        <w:trPr>
          <w:trHeight w:val="705" w:hRule="atLeast"/>
        </w:trPr>
        <w:tc>
          <w:tcPr>
            <w:tcW w:w="14479" w:type="dxa"/>
            <w:gridSpan w:val="8"/>
            <w:noWrap/>
            <w:vAlign w:val="center"/>
          </w:tcPr>
          <w:p>
            <w:pPr>
              <w:widowControl/>
              <w:jc w:val="center"/>
              <w:textAlignment w:val="center"/>
              <w:rPr>
                <w:rFonts w:ascii="仿宋" w:hAnsi="仿宋" w:eastAsia="仿宋" w:cs="仿宋"/>
                <w:b/>
                <w:color w:val="000000"/>
                <w:sz w:val="44"/>
                <w:szCs w:val="44"/>
              </w:rPr>
            </w:pPr>
            <w:r>
              <w:rPr>
                <w:rFonts w:hint="eastAsia" w:ascii="仿宋" w:hAnsi="仿宋" w:eastAsia="仿宋" w:cs="仿宋"/>
                <w:b/>
                <w:color w:val="000000"/>
                <w:kern w:val="0"/>
                <w:sz w:val="44"/>
                <w:szCs w:val="44"/>
              </w:rPr>
              <w:t>开标一览表</w:t>
            </w:r>
          </w:p>
        </w:tc>
      </w:tr>
      <w:tr>
        <w:tblPrEx>
          <w:tblCellMar>
            <w:top w:w="15" w:type="dxa"/>
            <w:left w:w="15" w:type="dxa"/>
            <w:bottom w:w="15" w:type="dxa"/>
            <w:right w:w="15" w:type="dxa"/>
          </w:tblCellMar>
        </w:tblPrEx>
        <w:trPr>
          <w:trHeight w:val="585" w:hRule="atLeast"/>
        </w:trPr>
        <w:tc>
          <w:tcPr>
            <w:tcW w:w="6988"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8"/>
                <w:szCs w:val="28"/>
              </w:rPr>
              <w:t>投标人名称：　</w:t>
            </w:r>
            <w:r>
              <w:rPr>
                <w:rFonts w:hint="eastAsia" w:ascii="仿宋" w:hAnsi="仿宋" w:eastAsia="仿宋" w:cs="仿宋"/>
                <w:color w:val="000000"/>
                <w:kern w:val="0"/>
                <w:sz w:val="22"/>
                <w:szCs w:val="22"/>
              </w:rPr>
              <w:t>　　　　　　　　　　　　　　　　　　　　　　　　　　　　</w:t>
            </w:r>
          </w:p>
        </w:tc>
        <w:tc>
          <w:tcPr>
            <w:tcW w:w="380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8"/>
                <w:szCs w:val="28"/>
              </w:rPr>
              <w:t>采购项目编号:LGQY2023ZW01</w:t>
            </w:r>
            <w:r>
              <w:rPr>
                <w:rFonts w:hint="eastAsia" w:ascii="仿宋" w:hAnsi="仿宋" w:eastAsia="仿宋" w:cs="仿宋"/>
                <w:color w:val="000000"/>
                <w:kern w:val="0"/>
                <w:sz w:val="28"/>
                <w:szCs w:val="28"/>
                <w:lang w:val="en-US" w:eastAsia="zh-CN"/>
              </w:rPr>
              <w:t>1</w:t>
            </w:r>
          </w:p>
        </w:tc>
        <w:tc>
          <w:tcPr>
            <w:tcW w:w="3687" w:type="dxa"/>
            <w:gridSpan w:val="2"/>
            <w:tcBorders>
              <w:top w:val="single" w:color="000000" w:sz="4" w:space="0"/>
              <w:left w:val="single" w:color="000000" w:sz="4" w:space="0"/>
              <w:bottom w:val="single" w:color="000000" w:sz="4" w:space="0"/>
              <w:right w:val="single" w:color="000000" w:sz="4" w:space="0"/>
            </w:tcBorders>
            <w:noWrap/>
            <w:vAlign w:val="center"/>
          </w:tcPr>
          <w:p>
            <w:pPr>
              <w:widowControl/>
              <w:ind w:firstLine="280" w:firstLineChars="100"/>
              <w:jc w:val="left"/>
              <w:textAlignment w:val="center"/>
              <w:rPr>
                <w:rFonts w:ascii="仿宋" w:hAnsi="仿宋" w:eastAsia="仿宋" w:cs="仿宋"/>
                <w:color w:val="000000"/>
                <w:sz w:val="22"/>
                <w:szCs w:val="22"/>
              </w:rPr>
            </w:pPr>
            <w:r>
              <w:rPr>
                <w:rFonts w:hint="eastAsia" w:ascii="仿宋" w:hAnsi="仿宋" w:eastAsia="仿宋" w:cs="仿宋"/>
                <w:color w:val="000000"/>
                <w:kern w:val="0"/>
                <w:sz w:val="28"/>
                <w:szCs w:val="28"/>
              </w:rPr>
              <w:t>投标货币： （人民币）</w:t>
            </w:r>
          </w:p>
        </w:tc>
      </w:tr>
      <w:tr>
        <w:tblPrEx>
          <w:tblCellMar>
            <w:top w:w="15" w:type="dxa"/>
            <w:left w:w="15" w:type="dxa"/>
            <w:bottom w:w="15" w:type="dxa"/>
            <w:right w:w="15" w:type="dxa"/>
          </w:tblCellMar>
        </w:tblPrEx>
        <w:trPr>
          <w:trHeight w:val="759" w:hRule="atLeast"/>
        </w:trPr>
        <w:tc>
          <w:tcPr>
            <w:tcW w:w="57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序号</w:t>
            </w:r>
          </w:p>
        </w:tc>
        <w:tc>
          <w:tcPr>
            <w:tcW w:w="459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服务名称</w:t>
            </w:r>
          </w:p>
        </w:tc>
        <w:tc>
          <w:tcPr>
            <w:tcW w:w="1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数量</w:t>
            </w:r>
          </w:p>
        </w:tc>
        <w:tc>
          <w:tcPr>
            <w:tcW w:w="185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单价</w:t>
            </w:r>
          </w:p>
        </w:tc>
        <w:tc>
          <w:tcPr>
            <w:tcW w:w="1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总价</w:t>
            </w:r>
          </w:p>
        </w:tc>
        <w:tc>
          <w:tcPr>
            <w:tcW w:w="23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val="en-US" w:eastAsia="zh-CN"/>
              </w:rPr>
              <w:t>服务年限</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备注</w:t>
            </w:r>
          </w:p>
        </w:tc>
      </w:tr>
      <w:tr>
        <w:tblPrEx>
          <w:tblCellMar>
            <w:top w:w="15" w:type="dxa"/>
            <w:left w:w="15" w:type="dxa"/>
            <w:bottom w:w="15" w:type="dxa"/>
            <w:right w:w="15" w:type="dxa"/>
          </w:tblCellMar>
        </w:tblPrEx>
        <w:trPr>
          <w:trHeight w:val="655" w:hRule="atLeast"/>
        </w:trPr>
        <w:tc>
          <w:tcPr>
            <w:tcW w:w="574"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000000"/>
                <w:sz w:val="22"/>
                <w:szCs w:val="22"/>
              </w:rPr>
            </w:pPr>
          </w:p>
        </w:tc>
        <w:tc>
          <w:tcPr>
            <w:tcW w:w="4598" w:type="dxa"/>
            <w:gridSpan w:val="2"/>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000000"/>
                <w:sz w:val="22"/>
                <w:szCs w:val="22"/>
              </w:rPr>
            </w:pPr>
          </w:p>
        </w:tc>
        <w:tc>
          <w:tcPr>
            <w:tcW w:w="181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000000"/>
                <w:sz w:val="22"/>
                <w:szCs w:val="22"/>
              </w:rPr>
            </w:pPr>
          </w:p>
        </w:tc>
        <w:tc>
          <w:tcPr>
            <w:tcW w:w="185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2"/>
                <w:szCs w:val="22"/>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2"/>
                <w:szCs w:val="22"/>
              </w:rPr>
            </w:pPr>
          </w:p>
        </w:tc>
        <w:tc>
          <w:tcPr>
            <w:tcW w:w="2322"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000000"/>
                <w:sz w:val="22"/>
                <w:szCs w:val="22"/>
              </w:rPr>
            </w:pPr>
          </w:p>
        </w:tc>
        <w:tc>
          <w:tcPr>
            <w:tcW w:w="136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000000"/>
                <w:sz w:val="22"/>
                <w:szCs w:val="22"/>
              </w:rPr>
            </w:pPr>
          </w:p>
        </w:tc>
      </w:tr>
      <w:tr>
        <w:tblPrEx>
          <w:tblCellMar>
            <w:top w:w="15" w:type="dxa"/>
            <w:left w:w="15" w:type="dxa"/>
            <w:bottom w:w="15" w:type="dxa"/>
            <w:right w:w="15" w:type="dxa"/>
          </w:tblCellMar>
        </w:tblPrEx>
        <w:trPr>
          <w:trHeight w:val="715" w:hRule="atLeast"/>
        </w:trPr>
        <w:tc>
          <w:tcPr>
            <w:tcW w:w="574"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000000"/>
                <w:sz w:val="22"/>
                <w:szCs w:val="22"/>
              </w:rPr>
            </w:pPr>
          </w:p>
        </w:tc>
        <w:tc>
          <w:tcPr>
            <w:tcW w:w="4598" w:type="dxa"/>
            <w:gridSpan w:val="2"/>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000000"/>
                <w:sz w:val="22"/>
                <w:szCs w:val="22"/>
              </w:rPr>
            </w:pPr>
          </w:p>
        </w:tc>
        <w:tc>
          <w:tcPr>
            <w:tcW w:w="181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000000"/>
                <w:sz w:val="22"/>
                <w:szCs w:val="22"/>
              </w:rPr>
            </w:pPr>
          </w:p>
        </w:tc>
        <w:tc>
          <w:tcPr>
            <w:tcW w:w="1854"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000000"/>
                <w:sz w:val="22"/>
                <w:szCs w:val="22"/>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000000"/>
                <w:sz w:val="22"/>
                <w:szCs w:val="22"/>
              </w:rPr>
            </w:pPr>
          </w:p>
        </w:tc>
        <w:tc>
          <w:tcPr>
            <w:tcW w:w="2322"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000000"/>
                <w:sz w:val="22"/>
                <w:szCs w:val="22"/>
              </w:rPr>
            </w:pPr>
          </w:p>
        </w:tc>
        <w:tc>
          <w:tcPr>
            <w:tcW w:w="136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000000"/>
                <w:sz w:val="22"/>
                <w:szCs w:val="22"/>
              </w:rPr>
            </w:pPr>
          </w:p>
        </w:tc>
      </w:tr>
      <w:tr>
        <w:tblPrEx>
          <w:tblCellMar>
            <w:top w:w="15" w:type="dxa"/>
            <w:left w:w="15" w:type="dxa"/>
            <w:bottom w:w="15" w:type="dxa"/>
            <w:right w:w="15" w:type="dxa"/>
          </w:tblCellMar>
        </w:tblPrEx>
        <w:trPr>
          <w:trHeight w:val="645" w:hRule="atLeast"/>
        </w:trPr>
        <w:tc>
          <w:tcPr>
            <w:tcW w:w="331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投标总价(人民币大写)</w:t>
            </w:r>
          </w:p>
        </w:tc>
        <w:tc>
          <w:tcPr>
            <w:tcW w:w="5523"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2"/>
                <w:szCs w:val="22"/>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人民币小写</w:t>
            </w:r>
          </w:p>
        </w:tc>
        <w:tc>
          <w:tcPr>
            <w:tcW w:w="3687"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2"/>
                <w:szCs w:val="22"/>
              </w:rPr>
            </w:pPr>
          </w:p>
        </w:tc>
      </w:tr>
    </w:tbl>
    <w:p>
      <w:pPr>
        <w:numPr>
          <w:ilvl w:val="0"/>
          <w:numId w:val="12"/>
        </w:numPr>
        <w:spacing w:line="500" w:lineRule="exact"/>
        <w:jc w:val="left"/>
        <w:rPr>
          <w:rFonts w:ascii="仿宋" w:hAnsi="仿宋" w:eastAsia="仿宋" w:cs="仿宋"/>
          <w:sz w:val="28"/>
          <w:szCs w:val="28"/>
        </w:rPr>
      </w:pPr>
      <w:r>
        <w:rPr>
          <w:rFonts w:hint="eastAsia" w:ascii="仿宋" w:hAnsi="仿宋" w:eastAsia="仿宋" w:cs="仿宋"/>
          <w:sz w:val="28"/>
          <w:szCs w:val="28"/>
        </w:rPr>
        <w:t>开标一览表格式不得自行改动。</w:t>
      </w:r>
    </w:p>
    <w:p>
      <w:pPr>
        <w:numPr>
          <w:ilvl w:val="0"/>
          <w:numId w:val="12"/>
        </w:numPr>
        <w:spacing w:line="500" w:lineRule="exact"/>
        <w:jc w:val="left"/>
        <w:rPr>
          <w:rFonts w:ascii="仿宋" w:hAnsi="仿宋" w:eastAsia="仿宋" w:cs="仿宋"/>
          <w:sz w:val="28"/>
          <w:szCs w:val="28"/>
        </w:rPr>
      </w:pPr>
      <w:r>
        <w:rPr>
          <w:rFonts w:hint="eastAsia" w:ascii="仿宋" w:hAnsi="仿宋" w:eastAsia="仿宋" w:cs="仿宋"/>
          <w:sz w:val="28"/>
          <w:szCs w:val="28"/>
        </w:rPr>
        <w:t>价格条件为能否满足标书要求的投标报价。</w:t>
      </w:r>
    </w:p>
    <w:p>
      <w:pPr>
        <w:numPr>
          <w:ilvl w:val="0"/>
          <w:numId w:val="12"/>
        </w:numPr>
        <w:spacing w:line="500" w:lineRule="exact"/>
        <w:jc w:val="left"/>
        <w:rPr>
          <w:rFonts w:ascii="仿宋" w:hAnsi="仿宋" w:eastAsia="仿宋" w:cs="仿宋"/>
          <w:sz w:val="28"/>
          <w:szCs w:val="36"/>
        </w:rPr>
      </w:pPr>
      <w:r>
        <w:rPr>
          <w:rFonts w:hint="eastAsia" w:ascii="仿宋" w:hAnsi="仿宋" w:eastAsia="仿宋" w:cs="仿宋"/>
          <w:sz w:val="28"/>
          <w:szCs w:val="28"/>
        </w:rPr>
        <w:t>无内容空格填“-”。</w:t>
      </w:r>
    </w:p>
    <w:p>
      <w:pPr>
        <w:ind w:firstLine="280" w:firstLineChars="100"/>
        <w:rPr>
          <w:rFonts w:hint="eastAsia" w:ascii="仿宋" w:hAnsi="仿宋" w:eastAsia="仿宋" w:cs="仿宋"/>
          <w:sz w:val="28"/>
          <w:szCs w:val="28"/>
        </w:rPr>
      </w:pPr>
    </w:p>
    <w:p>
      <w:pPr>
        <w:ind w:firstLine="280" w:firstLineChars="100"/>
        <w:rPr>
          <w:rFonts w:hint="eastAsia" w:ascii="仿宋" w:hAnsi="仿宋" w:eastAsia="仿宋" w:cs="仿宋"/>
          <w:sz w:val="28"/>
          <w:szCs w:val="28"/>
        </w:rPr>
      </w:pPr>
    </w:p>
    <w:p>
      <w:pPr>
        <w:ind w:firstLine="280" w:firstLineChars="100"/>
        <w:rPr>
          <w:rFonts w:ascii="仿宋" w:hAnsi="仿宋" w:eastAsia="仿宋" w:cs="仿宋"/>
          <w:sz w:val="28"/>
          <w:szCs w:val="28"/>
        </w:rPr>
      </w:pPr>
      <w:r>
        <w:rPr>
          <w:rFonts w:hint="eastAsia" w:ascii="仿宋" w:hAnsi="仿宋" w:eastAsia="仿宋" w:cs="仿宋"/>
          <w:sz w:val="28"/>
          <w:szCs w:val="28"/>
        </w:rPr>
        <w:t>法定代表人或其委托人（签字）：</w:t>
      </w:r>
    </w:p>
    <w:p>
      <w:pPr>
        <w:rPr>
          <w:rFonts w:hint="eastAsia" w:ascii="宋体" w:hAnsi="宋体" w:eastAsia="宋体" w:cs="宋体"/>
          <w:b w:val="0"/>
          <w:bCs w:val="0"/>
          <w:i w:val="0"/>
          <w:iCs w:val="0"/>
          <w:color w:val="000000"/>
          <w:kern w:val="0"/>
          <w:sz w:val="44"/>
          <w:szCs w:val="44"/>
          <w:u w:val="none"/>
          <w:lang w:val="en-US" w:eastAsia="zh-CN" w:bidi="ar"/>
        </w:rPr>
        <w:sectPr>
          <w:pgSz w:w="16838" w:h="11906" w:orient="landscape"/>
          <w:pgMar w:top="1304" w:right="2098" w:bottom="1474" w:left="1984" w:header="851" w:footer="1417" w:gutter="0"/>
          <w:pgNumType w:fmt="numberInDash"/>
          <w:cols w:space="0" w:num="1"/>
          <w:rtlGutter w:val="0"/>
          <w:docGrid w:type="lines" w:linePitch="327" w:charSpace="0"/>
        </w:sectPr>
      </w:pPr>
      <w:r>
        <w:rPr>
          <w:rFonts w:hint="eastAsia" w:ascii="仿宋" w:hAnsi="仿宋" w:eastAsia="仿宋" w:cs="仿宋"/>
          <w:sz w:val="28"/>
          <w:szCs w:val="28"/>
        </w:rPr>
        <w:t xml:space="preserve">  投标单位全称（加盖公</w:t>
      </w:r>
      <w:r>
        <w:rPr>
          <w:rFonts w:hint="eastAsia" w:ascii="仿宋" w:hAnsi="仿宋" w:eastAsia="仿宋" w:cs="仿宋"/>
          <w:sz w:val="28"/>
          <w:szCs w:val="28"/>
          <w:lang w:val="en-US" w:eastAsia="zh-CN"/>
        </w:rPr>
        <w:t>章）</w:t>
      </w:r>
    </w:p>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44"/>
          <w:szCs w:val="44"/>
          <w:u w:val="none"/>
          <w:lang w:val="en-US" w:eastAsia="zh-CN" w:bidi="ar"/>
        </w:rPr>
      </w:pPr>
      <w:r>
        <w:rPr>
          <w:rFonts w:hint="eastAsia" w:ascii="宋体" w:hAnsi="宋体" w:eastAsia="宋体" w:cs="宋体"/>
          <w:b w:val="0"/>
          <w:bCs w:val="0"/>
          <w:i w:val="0"/>
          <w:iCs w:val="0"/>
          <w:color w:val="000000"/>
          <w:kern w:val="0"/>
          <w:sz w:val="44"/>
          <w:szCs w:val="44"/>
          <w:u w:val="none"/>
          <w:lang w:val="en-US" w:eastAsia="zh-CN" w:bidi="ar"/>
        </w:rPr>
        <w:t>法定代表人证明书</w:t>
      </w:r>
    </w:p>
    <w:p>
      <w:pPr>
        <w:rPr>
          <w:rFonts w:ascii="仿宋" w:hAnsi="仿宋" w:eastAsia="仿宋" w:cs="仿宋"/>
          <w:color w:val="000000"/>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color w:val="000000"/>
          <w:sz w:val="32"/>
          <w:szCs w:val="32"/>
        </w:rPr>
      </w:pP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u w:val="single"/>
        </w:rPr>
        <w:t>　</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rPr>
        <w:t>先生/小姐，现任我单位职务，为法定代表人，特此证明。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有效日期：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 xml:space="preserve">     签发日期：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rPr>
        <w:t xml:space="preserve">单位：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 xml:space="preserve">   （盖章）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rPr>
        <w:t>代表人性别：        年龄：       身份证号码：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rPr>
        <w:t>营业执照号码：                   经济性质：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rPr>
        <w:t>主营（产）：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rPr>
        <w:t>兼营（产）：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rPr>
        <w:t>进口物品经营许可证号码：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rPr>
        <w:t>主营（产）：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rPr>
        <w:t>兼营（产）：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身份证复印件：</w:t>
      </w:r>
    </w:p>
    <w:tbl>
      <w:tblPr>
        <w:tblStyle w:val="20"/>
        <w:tblW w:w="0" w:type="auto"/>
        <w:tblInd w:w="19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6" w:hRule="atLeast"/>
        </w:trPr>
        <w:tc>
          <w:tcPr>
            <w:tcW w:w="5520" w:type="dxa"/>
            <w:noWrap/>
            <w:vAlign w:val="top"/>
          </w:tcPr>
          <w:p/>
          <w:p/>
          <w:p>
            <w:pPr>
              <w:pStyle w:val="10"/>
            </w:pPr>
          </w:p>
          <w:p>
            <w:pPr>
              <w:ind w:firstLine="2100" w:firstLineChars="1000"/>
            </w:pPr>
            <w:r>
              <w:rPr>
                <w:rFonts w:hint="eastAsia"/>
              </w:rPr>
              <w:t>正反面</w:t>
            </w:r>
          </w:p>
        </w:tc>
      </w:tr>
    </w:tbl>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i w:val="0"/>
          <w:iCs w:val="0"/>
          <w:color w:val="000000"/>
          <w:kern w:val="0"/>
          <w:sz w:val="44"/>
          <w:szCs w:val="44"/>
          <w:u w:val="none"/>
          <w:lang w:val="en-US" w:eastAsia="zh-CN" w:bidi="ar"/>
        </w:rPr>
      </w:pPr>
      <w:r>
        <w:rPr>
          <w:rFonts w:hint="eastAsia" w:ascii="宋体" w:hAnsi="宋体" w:eastAsia="宋体" w:cs="宋体"/>
          <w:b w:val="0"/>
          <w:bCs w:val="0"/>
          <w:i w:val="0"/>
          <w:iCs w:val="0"/>
          <w:color w:val="000000"/>
          <w:kern w:val="0"/>
          <w:sz w:val="44"/>
          <w:szCs w:val="44"/>
          <w:u w:val="none"/>
          <w:lang w:val="en-US" w:eastAsia="zh-CN" w:bidi="ar"/>
        </w:rPr>
        <w:t>法定代表人授权书</w:t>
      </w:r>
    </w:p>
    <w:p>
      <w:pPr>
        <w:keepNext w:val="0"/>
        <w:keepLines w:val="0"/>
        <w:pageBreakBefore w:val="0"/>
        <w:widowControl w:val="0"/>
        <w:kinsoku/>
        <w:wordWrap/>
        <w:overflowPunct/>
        <w:topLinePunct w:val="0"/>
        <w:autoSpaceDE/>
        <w:autoSpaceDN/>
        <w:bidi w:val="0"/>
        <w:adjustRightInd/>
        <w:snapToGrid/>
        <w:spacing w:line="440" w:lineRule="exact"/>
        <w:textAlignment w:val="auto"/>
        <w:rPr>
          <w:color w:val="000000"/>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本授权书声明：注册于（国家或地区的名称）的（公司名称）的在下面签字的（法定代表人姓名、职务）代表本公司授权（单位名称）的在下面签字的（被授权人的姓名、职务）为本公司的合法代理人，就（项目名称）投标及参加项目谈判，以本公司名义处理一切与之有关的事务。</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本授权书于</w:t>
      </w:r>
      <w:r>
        <w:rPr>
          <w:rFonts w:hint="eastAsia" w:ascii="仿宋" w:hAnsi="仿宋" w:eastAsia="仿宋" w:cs="仿宋"/>
          <w:color w:val="000000"/>
          <w:sz w:val="32"/>
          <w:szCs w:val="32"/>
          <w:u w:val="single"/>
        </w:rPr>
        <w:t>　　</w:t>
      </w:r>
      <w:r>
        <w:rPr>
          <w:rFonts w:hint="eastAsia" w:ascii="仿宋" w:hAnsi="仿宋" w:eastAsia="仿宋" w:cs="仿宋"/>
          <w:color w:val="000000"/>
          <w:sz w:val="32"/>
          <w:szCs w:val="32"/>
        </w:rPr>
        <w:t>年</w:t>
      </w:r>
      <w:r>
        <w:rPr>
          <w:rFonts w:hint="eastAsia" w:ascii="仿宋" w:hAnsi="仿宋" w:eastAsia="仿宋" w:cs="仿宋"/>
          <w:color w:val="000000"/>
          <w:sz w:val="32"/>
          <w:szCs w:val="32"/>
          <w:u w:val="single"/>
        </w:rPr>
        <w:t>　　</w:t>
      </w:r>
      <w:r>
        <w:rPr>
          <w:rFonts w:hint="eastAsia" w:ascii="仿宋" w:hAnsi="仿宋" w:eastAsia="仿宋" w:cs="仿宋"/>
          <w:color w:val="000000"/>
          <w:sz w:val="32"/>
          <w:szCs w:val="32"/>
        </w:rPr>
        <w:t>月</w:t>
      </w:r>
      <w:r>
        <w:rPr>
          <w:rFonts w:hint="eastAsia" w:ascii="仿宋" w:hAnsi="仿宋" w:eastAsia="仿宋" w:cs="仿宋"/>
          <w:color w:val="000000"/>
          <w:sz w:val="32"/>
          <w:szCs w:val="32"/>
          <w:u w:val="single"/>
        </w:rPr>
        <w:t>　　</w:t>
      </w:r>
      <w:r>
        <w:rPr>
          <w:rFonts w:hint="eastAsia" w:ascii="仿宋" w:hAnsi="仿宋" w:eastAsia="仿宋" w:cs="仿宋"/>
          <w:color w:val="000000"/>
          <w:sz w:val="32"/>
          <w:szCs w:val="32"/>
        </w:rPr>
        <w:t>日签字生效，有效期至特此声明。</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000000"/>
          <w:sz w:val="24"/>
          <w:szCs w:val="32"/>
        </w:rPr>
      </w:pP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法定代表人签字： </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被授权人签字：　</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单位盖章：　</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ascii="仿宋" w:hAnsi="仿宋" w:eastAsia="仿宋" w:cs="仿宋"/>
          <w:color w:val="000000"/>
          <w:sz w:val="24"/>
          <w:szCs w:val="32"/>
        </w:rPr>
      </w:pP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附：</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被授权人姓名：                       身份证号：</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职务：</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详细通</w:t>
      </w:r>
      <w:r>
        <w:rPr>
          <w:rFonts w:hint="eastAsia" w:ascii="仿宋" w:hAnsi="仿宋" w:eastAsia="仿宋" w:cs="仿宋"/>
          <w:color w:val="000000"/>
          <w:sz w:val="32"/>
          <w:szCs w:val="32"/>
          <w:lang w:val="en-US" w:eastAsia="zh-CN"/>
        </w:rPr>
        <w:t>信</w:t>
      </w:r>
      <w:r>
        <w:rPr>
          <w:rFonts w:hint="eastAsia" w:ascii="仿宋" w:hAnsi="仿宋" w:eastAsia="仿宋" w:cs="仿宋"/>
          <w:color w:val="000000"/>
          <w:sz w:val="32"/>
          <w:szCs w:val="32"/>
        </w:rPr>
        <w:t>地址：</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邮政编码：</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联系</w:t>
      </w:r>
      <w:r>
        <w:rPr>
          <w:rFonts w:hint="eastAsia" w:ascii="仿宋" w:hAnsi="仿宋" w:eastAsia="仿宋" w:cs="仿宋"/>
          <w:color w:val="000000"/>
          <w:sz w:val="32"/>
          <w:szCs w:val="32"/>
        </w:rPr>
        <w:t>电话：</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移动电话：</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ascii="仿宋" w:hAnsi="仿宋" w:eastAsia="仿宋" w:cs="仿宋"/>
          <w:color w:val="000000"/>
          <w:sz w:val="24"/>
          <w:szCs w:val="32"/>
        </w:rPr>
      </w:pPr>
      <w:r>
        <w:rPr>
          <w:rFonts w:hint="eastAsia" w:ascii="仿宋" w:hAnsi="仿宋" w:eastAsia="仿宋" w:cs="仿宋"/>
          <w:color w:val="000000"/>
          <w:sz w:val="32"/>
          <w:szCs w:val="32"/>
        </w:rPr>
        <w:t>传真：</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身份证复印件：</w:t>
      </w:r>
    </w:p>
    <w:tbl>
      <w:tblPr>
        <w:tblStyle w:val="20"/>
        <w:tblW w:w="0" w:type="auto"/>
        <w:tblInd w:w="19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1" w:hRule="atLeast"/>
        </w:trPr>
        <w:tc>
          <w:tcPr>
            <w:tcW w:w="5580" w:type="dxa"/>
            <w:noWrap/>
            <w:vAlign w:val="top"/>
          </w:tcPr>
          <w:p/>
          <w:p/>
          <w:p>
            <w:pPr>
              <w:ind w:firstLine="2310" w:firstLineChars="1100"/>
              <w:rPr>
                <w:rFonts w:hint="eastAsia"/>
              </w:rPr>
            </w:pPr>
          </w:p>
          <w:p>
            <w:pPr>
              <w:ind w:firstLine="2310" w:firstLineChars="1100"/>
            </w:pPr>
            <w:r>
              <w:rPr>
                <w:rFonts w:hint="eastAsia"/>
              </w:rPr>
              <w:t>正反面</w:t>
            </w:r>
          </w:p>
        </w:tc>
      </w:tr>
    </w:tbl>
    <w:p>
      <w:pPr>
        <w:tabs>
          <w:tab w:val="left" w:pos="0"/>
        </w:tabs>
        <w:snapToGrid w:val="0"/>
        <w:spacing w:line="480" w:lineRule="exact"/>
        <w:rPr>
          <w:rFonts w:ascii="仿宋" w:hAnsi="仿宋" w:eastAsia="仿宋" w:cs="仿宋"/>
          <w:b/>
          <w:color w:val="000000"/>
          <w:kern w:val="0"/>
          <w:sz w:val="28"/>
          <w:szCs w:val="28"/>
          <w:highlight w:val="yellow"/>
        </w:rPr>
      </w:pPr>
      <w:r>
        <w:rPr>
          <w:rFonts w:hint="eastAsia" w:ascii="仿宋" w:hAnsi="仿宋" w:eastAsia="仿宋" w:cs="仿宋"/>
          <w:b/>
          <w:bCs/>
          <w:sz w:val="32"/>
          <w:szCs w:val="32"/>
        </w:rPr>
        <w:t>合同模</w:t>
      </w:r>
      <w:r>
        <w:rPr>
          <w:rFonts w:hint="eastAsia" w:ascii="仿宋" w:hAnsi="仿宋" w:eastAsia="仿宋" w:cs="仿宋"/>
          <w:b/>
          <w:bCs/>
          <w:sz w:val="32"/>
          <w:szCs w:val="32"/>
          <w:lang w:val="en-US" w:eastAsia="zh-CN"/>
        </w:rPr>
        <w:t>板</w:t>
      </w:r>
      <w:r>
        <w:rPr>
          <w:rFonts w:hint="eastAsia" w:ascii="仿宋" w:hAnsi="仿宋" w:eastAsia="仿宋" w:cs="仿宋"/>
          <w:b/>
          <w:color w:val="000000"/>
          <w:kern w:val="0"/>
          <w:sz w:val="28"/>
          <w:szCs w:val="28"/>
          <w:highlight w:val="none"/>
        </w:rPr>
        <w:t>(合同模</w:t>
      </w:r>
      <w:r>
        <w:rPr>
          <w:rFonts w:hint="eastAsia" w:ascii="仿宋" w:hAnsi="仿宋" w:eastAsia="仿宋" w:cs="仿宋"/>
          <w:b/>
          <w:color w:val="000000"/>
          <w:kern w:val="0"/>
          <w:sz w:val="28"/>
          <w:szCs w:val="28"/>
          <w:highlight w:val="none"/>
          <w:lang w:val="en-US" w:eastAsia="zh-CN"/>
        </w:rPr>
        <w:t>板</w:t>
      </w:r>
      <w:r>
        <w:rPr>
          <w:rFonts w:hint="eastAsia" w:ascii="仿宋" w:hAnsi="仿宋" w:eastAsia="仿宋" w:cs="仿宋"/>
          <w:b/>
          <w:color w:val="000000"/>
          <w:kern w:val="0"/>
          <w:sz w:val="28"/>
          <w:szCs w:val="28"/>
          <w:highlight w:val="none"/>
        </w:rPr>
        <w:t>仅供参考，中标人根据招投标文件拟定)</w:t>
      </w:r>
    </w:p>
    <w:p>
      <w:pPr>
        <w:keepNext w:val="0"/>
        <w:keepLines w:val="0"/>
        <w:pageBreakBefore w:val="0"/>
        <w:kinsoku/>
        <w:wordWrap/>
        <w:overflowPunct/>
        <w:topLinePunct w:val="0"/>
        <w:autoSpaceDE/>
        <w:autoSpaceDN/>
        <w:bidi w:val="0"/>
        <w:adjustRightInd/>
        <w:snapToGrid/>
        <w:spacing w:line="440" w:lineRule="exact"/>
      </w:pP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pPr>
      <w:r>
        <w:rPr>
          <w:rFonts w:hint="eastAsia" w:ascii="宋体" w:hAnsi="宋体" w:eastAsia="宋体" w:cs="宋体"/>
          <w:b w:val="0"/>
          <w:bCs w:val="0"/>
          <w:i w:val="0"/>
          <w:iCs w:val="0"/>
          <w:color w:val="000000"/>
          <w:kern w:val="0"/>
          <w:sz w:val="44"/>
          <w:szCs w:val="44"/>
          <w:u w:val="none"/>
          <w:lang w:val="en-US" w:eastAsia="zh-CN" w:bidi="ar"/>
        </w:rPr>
        <w:t>《龙岗区第七人民医院采购合同》</w:t>
      </w:r>
    </w:p>
    <w:p>
      <w:pPr>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44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项目名称：</w:t>
      </w:r>
    </w:p>
    <w:p>
      <w:pPr>
        <w:spacing w:line="44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项目编号：</w:t>
      </w:r>
      <w:r>
        <w:rPr>
          <w:rFonts w:hint="eastAsia" w:ascii="仿宋" w:hAnsi="仿宋" w:eastAsia="仿宋" w:cs="仿宋_GB2312"/>
          <w:sz w:val="28"/>
          <w:szCs w:val="28"/>
          <w:u w:val="single"/>
        </w:rPr>
        <w:t>深龙</w:t>
      </w:r>
      <w:r>
        <w:rPr>
          <w:rFonts w:hint="eastAsia" w:ascii="仿宋" w:hAnsi="仿宋" w:eastAsia="仿宋" w:cs="仿宋_GB2312"/>
          <w:sz w:val="28"/>
          <w:szCs w:val="28"/>
          <w:u w:val="single"/>
          <w:lang w:val="en-US" w:eastAsia="zh-CN"/>
        </w:rPr>
        <w:t>七</w:t>
      </w:r>
      <w:r>
        <w:rPr>
          <w:rFonts w:hint="eastAsia" w:ascii="仿宋" w:hAnsi="仿宋" w:eastAsia="仿宋" w:cs="仿宋_GB2312"/>
          <w:sz w:val="28"/>
          <w:szCs w:val="28"/>
          <w:u w:val="single"/>
        </w:rPr>
        <w:t>医采【】号</w:t>
      </w:r>
    </w:p>
    <w:p>
      <w:pPr>
        <w:spacing w:line="44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项目类型：</w:t>
      </w:r>
      <w:r>
        <w:rPr>
          <w:rFonts w:hint="eastAsia" w:ascii="仿宋" w:hAnsi="仿宋" w:eastAsia="仿宋" w:cs="仿宋"/>
          <w:sz w:val="28"/>
          <w:szCs w:val="28"/>
          <w:u w:val="single"/>
        </w:rPr>
        <w:t>　</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采购单位（甲方）：</w:t>
      </w:r>
      <w:r>
        <w:rPr>
          <w:rFonts w:hint="eastAsia" w:ascii="仿宋" w:hAnsi="仿宋" w:eastAsia="仿宋"/>
          <w:sz w:val="28"/>
          <w:szCs w:val="28"/>
          <w:u w:val="single"/>
        </w:rPr>
        <w:t>深圳市龙岗区第</w:t>
      </w:r>
      <w:r>
        <w:rPr>
          <w:rFonts w:hint="eastAsia" w:ascii="仿宋" w:hAnsi="仿宋" w:eastAsia="仿宋"/>
          <w:sz w:val="28"/>
          <w:szCs w:val="28"/>
          <w:u w:val="single"/>
          <w:lang w:val="en-US" w:eastAsia="zh-CN"/>
        </w:rPr>
        <w:t>七</w:t>
      </w:r>
      <w:r>
        <w:rPr>
          <w:rFonts w:hint="eastAsia" w:ascii="仿宋" w:hAnsi="仿宋" w:eastAsia="仿宋"/>
          <w:sz w:val="28"/>
          <w:szCs w:val="28"/>
          <w:u w:val="single"/>
        </w:rPr>
        <w:t>人民医院</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供 应 商（乙方）：</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根据《中华人民共和国政府采购法》《中华人民共和国民法典》《深圳经济特区政府采购条例实施细则》《深圳经济特区政府采购条例》等法律法规的规定，甲乙双方按照</w:t>
      </w:r>
      <w:r>
        <w:rPr>
          <w:rFonts w:hint="eastAsia" w:ascii="仿宋" w:hAnsi="仿宋" w:eastAsia="仿宋" w:cs="仿宋"/>
          <w:sz w:val="28"/>
          <w:szCs w:val="28"/>
          <w:u w:val="single"/>
        </w:rPr>
        <w:t>龙岗区第</w:t>
      </w:r>
      <w:r>
        <w:rPr>
          <w:rFonts w:hint="eastAsia" w:ascii="仿宋" w:hAnsi="仿宋" w:eastAsia="仿宋" w:cs="仿宋"/>
          <w:sz w:val="28"/>
          <w:szCs w:val="28"/>
          <w:u w:val="single"/>
          <w:lang w:val="en-US" w:eastAsia="zh-CN"/>
        </w:rPr>
        <w:t>七</w:t>
      </w:r>
      <w:r>
        <w:rPr>
          <w:rFonts w:hint="eastAsia" w:ascii="仿宋" w:hAnsi="仿宋" w:eastAsia="仿宋" w:cs="仿宋"/>
          <w:sz w:val="28"/>
          <w:szCs w:val="28"/>
          <w:u w:val="single"/>
        </w:rPr>
        <w:t>人民医院</w:t>
      </w:r>
      <w:r>
        <w:rPr>
          <w:rFonts w:hint="eastAsia" w:ascii="仿宋" w:hAnsi="仿宋" w:eastAsia="仿宋" w:cs="仿宋"/>
          <w:sz w:val="28"/>
          <w:szCs w:val="28"/>
        </w:rPr>
        <w:t>的招标结果并经双方协商签订本合同。</w:t>
      </w:r>
    </w:p>
    <w:p>
      <w:pPr>
        <w:spacing w:line="440" w:lineRule="exact"/>
        <w:ind w:firstLine="562" w:firstLineChars="200"/>
        <w:rPr>
          <w:rFonts w:ascii="仿宋" w:hAnsi="仿宋" w:eastAsia="仿宋" w:cs="仿宋"/>
          <w:b/>
          <w:sz w:val="28"/>
          <w:szCs w:val="28"/>
        </w:rPr>
      </w:pPr>
      <w:r>
        <w:rPr>
          <w:rFonts w:hint="eastAsia" w:ascii="仿宋" w:hAnsi="仿宋" w:eastAsia="仿宋" w:cs="仿宋"/>
          <w:b/>
          <w:sz w:val="28"/>
          <w:szCs w:val="28"/>
        </w:rPr>
        <w:t>第一条  合同标的</w:t>
      </w:r>
    </w:p>
    <w:p>
      <w:pPr>
        <w:widowControl/>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乙方根据甲方需求提供下列货物：</w:t>
      </w:r>
    </w:p>
    <w:p>
      <w:pPr>
        <w:widowControl/>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货物名称、规格及单价</w:t>
      </w:r>
      <w:r>
        <w:rPr>
          <w:rFonts w:hint="eastAsia" w:ascii="仿宋" w:hAnsi="仿宋" w:eastAsia="仿宋" w:cs="宋体"/>
          <w:sz w:val="28"/>
          <w:szCs w:val="28"/>
          <w:u w:val="single"/>
        </w:rPr>
        <w:t>见附件 “供货一览表”</w:t>
      </w:r>
      <w:r>
        <w:rPr>
          <w:rFonts w:hint="eastAsia" w:ascii="仿宋" w:hAnsi="仿宋" w:eastAsia="仿宋" w:cs="宋体"/>
          <w:sz w:val="28"/>
          <w:szCs w:val="28"/>
        </w:rPr>
        <w:t>。</w:t>
      </w:r>
    </w:p>
    <w:p>
      <w:pPr>
        <w:widowControl/>
        <w:spacing w:line="440" w:lineRule="exact"/>
        <w:ind w:firstLine="562" w:firstLineChars="200"/>
        <w:rPr>
          <w:rFonts w:ascii="仿宋" w:hAnsi="仿宋" w:eastAsia="仿宋" w:cs="仿宋"/>
          <w:sz w:val="28"/>
          <w:szCs w:val="28"/>
        </w:rPr>
      </w:pPr>
      <w:r>
        <w:rPr>
          <w:rFonts w:hint="eastAsia" w:ascii="仿宋" w:hAnsi="仿宋" w:eastAsia="仿宋" w:cs="仿宋"/>
          <w:b/>
          <w:sz w:val="28"/>
          <w:szCs w:val="28"/>
        </w:rPr>
        <w:t>第二条  合同总价款</w:t>
      </w:r>
    </w:p>
    <w:p>
      <w:pPr>
        <w:pStyle w:val="41"/>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1.本合同总金额为（大写）人民币</w:t>
      </w:r>
      <w:r>
        <w:rPr>
          <w:rFonts w:hint="eastAsia" w:ascii="仿宋" w:hAnsi="仿宋" w:eastAsia="仿宋" w:cs="宋体"/>
          <w:b/>
          <w:sz w:val="28"/>
          <w:szCs w:val="28"/>
          <w:u w:val="single"/>
        </w:rPr>
        <w:t xml:space="preserve">     元整</w:t>
      </w:r>
      <w:r>
        <w:rPr>
          <w:rFonts w:hint="eastAsia" w:ascii="仿宋" w:hAnsi="仿宋" w:eastAsia="仿宋" w:cs="仿宋"/>
          <w:sz w:val="28"/>
          <w:szCs w:val="28"/>
        </w:rPr>
        <w:t>（）。</w:t>
      </w:r>
    </w:p>
    <w:p>
      <w:pPr>
        <w:pStyle w:val="41"/>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 本合同金额</w:t>
      </w:r>
      <w:r>
        <w:rPr>
          <w:rFonts w:hint="eastAsia" w:ascii="仿宋" w:hAnsi="仿宋" w:eastAsia="仿宋" w:cs="仿宋_GB2312"/>
          <w:sz w:val="28"/>
          <w:szCs w:val="28"/>
        </w:rPr>
        <w:t>包含货物价格及货物的包装费、运输费、保修费、保险费、伴随服务费及货物验收之前的所有含税金额。</w:t>
      </w:r>
    </w:p>
    <w:p>
      <w:pPr>
        <w:pStyle w:val="41"/>
        <w:spacing w:line="440" w:lineRule="exact"/>
        <w:ind w:firstLine="562" w:firstLineChars="200"/>
        <w:rPr>
          <w:rFonts w:ascii="仿宋" w:hAnsi="仿宋" w:eastAsia="仿宋" w:cs="仿宋"/>
          <w:b/>
          <w:sz w:val="28"/>
          <w:szCs w:val="28"/>
        </w:rPr>
      </w:pPr>
      <w:r>
        <w:rPr>
          <w:rFonts w:hint="eastAsia" w:ascii="仿宋" w:hAnsi="仿宋" w:eastAsia="仿宋" w:cs="仿宋"/>
          <w:b/>
          <w:sz w:val="28"/>
          <w:szCs w:val="28"/>
        </w:rPr>
        <w:t>第三条  组成本合同的有关文件</w:t>
      </w:r>
    </w:p>
    <w:p>
      <w:pPr>
        <w:pStyle w:val="41"/>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下列关于采购（项目编号</w:t>
      </w:r>
      <w:r>
        <w:rPr>
          <w:rFonts w:hint="eastAsia" w:ascii="仿宋" w:hAnsi="仿宋" w:eastAsia="仿宋" w:cs="仿宋"/>
          <w:sz w:val="28"/>
          <w:szCs w:val="28"/>
          <w:u w:val="single"/>
        </w:rPr>
        <w:t xml:space="preserve">）       </w:t>
      </w:r>
      <w:r>
        <w:rPr>
          <w:rFonts w:hint="eastAsia" w:ascii="仿宋" w:hAnsi="仿宋" w:eastAsia="仿宋" w:cs="仿宋"/>
          <w:sz w:val="28"/>
          <w:szCs w:val="28"/>
        </w:rPr>
        <w:t>的招投标文件或与本次采购活动方式相适应的文件及有关附件是本合同不可分割的组成部分，与本合同具有同等法律效力，这些文件包括但不限于：</w:t>
      </w:r>
    </w:p>
    <w:p>
      <w:pPr>
        <w:pStyle w:val="41"/>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（1）乙方提供的投标文件（含澄清文件）和投标报价表；</w:t>
      </w:r>
    </w:p>
    <w:p>
      <w:pPr>
        <w:pStyle w:val="41"/>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（2）供货一览表；　　    （3）交货地点一览表；</w:t>
      </w:r>
    </w:p>
    <w:p>
      <w:pPr>
        <w:pStyle w:val="41"/>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（4）技术规格响应表；　　（5）投标承诺；</w:t>
      </w:r>
    </w:p>
    <w:p>
      <w:pPr>
        <w:pStyle w:val="41"/>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（6）服务承诺；　　      （7）中标或成交通知书；</w:t>
      </w:r>
    </w:p>
    <w:p>
      <w:pPr>
        <w:pStyle w:val="41"/>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（8）招标文件（含招标文件补充通知）；</w:t>
      </w:r>
    </w:p>
    <w:p>
      <w:pPr>
        <w:pStyle w:val="41"/>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 xml:space="preserve">（9）甲乙双方商定的其他合同补充条款或协议。 </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ascii="仿宋" w:hAnsi="仿宋" w:eastAsia="仿宋" w:cs="宋体"/>
          <w:b/>
          <w:sz w:val="28"/>
          <w:szCs w:val="28"/>
        </w:rPr>
      </w:pPr>
      <w:r>
        <w:rPr>
          <w:rFonts w:hint="eastAsia" w:ascii="仿宋" w:hAnsi="仿宋" w:eastAsia="仿宋" w:cs="宋体"/>
          <w:b/>
          <w:sz w:val="28"/>
          <w:szCs w:val="28"/>
        </w:rPr>
        <w:t>第四条  权利保证</w:t>
      </w:r>
    </w:p>
    <w:p>
      <w:pPr>
        <w:spacing w:line="440" w:lineRule="exact"/>
        <w:ind w:firstLine="560" w:firstLineChars="200"/>
        <w:rPr>
          <w:rFonts w:ascii="仿宋" w:hAnsi="仿宋" w:eastAsia="仿宋" w:cs="仿宋"/>
          <w:b/>
          <w:sz w:val="28"/>
          <w:szCs w:val="28"/>
        </w:rPr>
      </w:pPr>
      <w:r>
        <w:rPr>
          <w:rFonts w:hint="eastAsia" w:ascii="仿宋" w:hAnsi="仿宋" w:eastAsia="仿宋" w:cs="宋体"/>
          <w:sz w:val="28"/>
          <w:szCs w:val="28"/>
        </w:rPr>
        <w:t>乙方应保证甲方在使用、接受本合同货物和服务或其任何一部分时不受第三方提出侵犯其专利权、版权、商标权和工业设计权等知识产权以及所有权、使用权等物权方面的起诉。</w:t>
      </w:r>
      <w:r>
        <w:rPr>
          <w:rFonts w:hint="eastAsia" w:ascii="仿宋" w:hAnsi="仿宋" w:eastAsia="仿宋" w:cs="仿宋"/>
          <w:sz w:val="28"/>
          <w:szCs w:val="28"/>
        </w:rPr>
        <w:t>一旦出现侵权相关纠纷</w:t>
      </w:r>
      <w:r>
        <w:rPr>
          <w:rFonts w:hint="eastAsia" w:ascii="仿宋" w:hAnsi="仿宋" w:eastAsia="仿宋" w:cs="宋体"/>
          <w:sz w:val="28"/>
          <w:szCs w:val="28"/>
        </w:rPr>
        <w:t>，</w:t>
      </w:r>
      <w:r>
        <w:rPr>
          <w:rFonts w:hint="eastAsia" w:ascii="仿宋" w:hAnsi="仿宋" w:eastAsia="仿宋" w:cs="仿宋"/>
          <w:sz w:val="28"/>
          <w:szCs w:val="28"/>
        </w:rPr>
        <w:t>由乙方负全部责任包含因此纠纷甲方支付的全部赔偿和费用。</w:t>
      </w:r>
    </w:p>
    <w:p>
      <w:pPr>
        <w:spacing w:line="440" w:lineRule="exact"/>
        <w:ind w:firstLine="562" w:firstLineChars="200"/>
        <w:rPr>
          <w:rFonts w:ascii="仿宋" w:hAnsi="仿宋" w:eastAsia="仿宋" w:cs="仿宋"/>
          <w:b/>
          <w:sz w:val="28"/>
          <w:szCs w:val="28"/>
        </w:rPr>
      </w:pPr>
      <w:r>
        <w:rPr>
          <w:rFonts w:hint="eastAsia" w:ascii="仿宋" w:hAnsi="仿宋" w:eastAsia="仿宋" w:cs="仿宋"/>
          <w:b/>
          <w:sz w:val="28"/>
          <w:szCs w:val="28"/>
        </w:rPr>
        <w:t xml:space="preserve">第五条  质量保证  </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1.乙方所提供的货物的技术规格符合招标文件规定的技术规格，货物符合中华人民共和国的设计和制造生产标准或行业标准。</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2.乙方应保证货物是全新、未使用过的原装合格正品（包括零部件），并完全符合甲方要求的质量、规格和性能的要求。如货物安装或配置了软件的，乙方保证相关软件均为正版软件。</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3.乙方保证交货时一并提供货物的质量合格凭证或文件。</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4.乙方应保证其提供的货物在正确安装、正常使用和保养</w:t>
      </w:r>
      <w:r>
        <w:fldChar w:fldCharType="begin"/>
      </w:r>
      <w:r>
        <w:instrText xml:space="preserve"> HYPERLINK "http://www.lawtime.cn/info/zhuanti/2010071337701.html" \t "_blank" </w:instrText>
      </w:r>
      <w:r>
        <w:fldChar w:fldCharType="separate"/>
      </w:r>
      <w:r>
        <w:rPr>
          <w:rFonts w:hint="eastAsia" w:ascii="仿宋" w:hAnsi="仿宋" w:eastAsia="仿宋" w:cs="仿宋"/>
          <w:sz w:val="28"/>
          <w:szCs w:val="28"/>
        </w:rPr>
        <w:t>条件</w:t>
      </w:r>
      <w:r>
        <w:rPr>
          <w:rFonts w:hint="eastAsia" w:ascii="仿宋" w:hAnsi="仿宋" w:eastAsia="仿宋" w:cs="仿宋"/>
          <w:sz w:val="28"/>
          <w:szCs w:val="28"/>
        </w:rPr>
        <w:fldChar w:fldCharType="end"/>
      </w:r>
      <w:r>
        <w:rPr>
          <w:rFonts w:hint="eastAsia" w:ascii="仿宋" w:hAnsi="仿宋" w:eastAsia="仿宋" w:cs="仿宋"/>
          <w:sz w:val="28"/>
          <w:szCs w:val="28"/>
        </w:rPr>
        <w:t>下，在其使用寿命内具有良好的性能。</w:t>
      </w:r>
    </w:p>
    <w:p>
      <w:pPr>
        <w:spacing w:line="440" w:lineRule="exact"/>
        <w:ind w:firstLine="560" w:firstLineChars="200"/>
        <w:rPr>
          <w:rFonts w:ascii="仿宋" w:hAnsi="仿宋" w:eastAsia="仿宋" w:cs="宋体"/>
          <w:sz w:val="28"/>
          <w:szCs w:val="28"/>
        </w:rPr>
      </w:pPr>
      <w:r>
        <w:rPr>
          <w:rFonts w:hint="eastAsia" w:ascii="仿宋" w:hAnsi="仿宋" w:eastAsia="仿宋" w:cs="仿宋"/>
          <w:sz w:val="28"/>
          <w:szCs w:val="28"/>
        </w:rPr>
        <w:t>5.在质量保证期内，乙方应对由于设计、工艺、材料的缺陷或不足发生的质量问题检测、检定等所产生的一切费用负责。</w:t>
      </w:r>
    </w:p>
    <w:p>
      <w:pPr>
        <w:spacing w:line="440" w:lineRule="exact"/>
        <w:ind w:firstLine="562" w:firstLineChars="200"/>
        <w:rPr>
          <w:rFonts w:ascii="仿宋" w:hAnsi="仿宋" w:eastAsia="仿宋" w:cs="仿宋"/>
          <w:sz w:val="28"/>
          <w:szCs w:val="28"/>
        </w:rPr>
      </w:pPr>
      <w:r>
        <w:rPr>
          <w:rFonts w:hint="eastAsia" w:ascii="仿宋" w:hAnsi="仿宋" w:eastAsia="仿宋" w:cs="仿宋"/>
          <w:b/>
          <w:sz w:val="28"/>
          <w:szCs w:val="28"/>
        </w:rPr>
        <w:t>第六条包装和运输</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1.包装要求除双方另有约定外，按照乙方公司或生产厂家包装规范予以包装。</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2.乙方供货的包装标准，应满足运输要求并能有效保护货物，乙方应确保运抵甲方处货物的完好性，包装费用由乙方承担。</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3.乙方负责送货上门，乙方应确保产品运输的安全性。乙方将货物运至双方约定的交付地点，卸载、摆放至甲方指定的位置，并办理相关交货手续，运费由乙方承担。</w:t>
      </w:r>
    </w:p>
    <w:p>
      <w:pPr>
        <w:spacing w:line="440" w:lineRule="exact"/>
        <w:ind w:firstLine="562" w:firstLineChars="200"/>
        <w:jc w:val="left"/>
        <w:rPr>
          <w:rFonts w:ascii="仿宋" w:hAnsi="仿宋" w:eastAsia="仿宋" w:cs="仿宋"/>
          <w:b/>
          <w:sz w:val="28"/>
          <w:szCs w:val="28"/>
        </w:rPr>
      </w:pPr>
      <w:r>
        <w:rPr>
          <w:rFonts w:hint="eastAsia" w:ascii="仿宋" w:hAnsi="仿宋" w:eastAsia="仿宋" w:cs="仿宋"/>
          <w:b/>
          <w:sz w:val="28"/>
          <w:szCs w:val="28"/>
        </w:rPr>
        <w:t>第七条</w:t>
      </w: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rPr>
        <w:t xml:space="preserve">交付和验收 </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1.交货时间：合同签订之日起个日历日内。</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2.交货地点：深圳市龙岗区第</w:t>
      </w:r>
      <w:r>
        <w:rPr>
          <w:rFonts w:hint="eastAsia" w:ascii="仿宋" w:hAnsi="仿宋" w:eastAsia="仿宋" w:cs="仿宋"/>
          <w:sz w:val="28"/>
          <w:szCs w:val="28"/>
          <w:lang w:val="en-US" w:eastAsia="zh-CN"/>
        </w:rPr>
        <w:t>七</w:t>
      </w:r>
      <w:r>
        <w:rPr>
          <w:rFonts w:hint="eastAsia" w:ascii="仿宋" w:hAnsi="仿宋" w:eastAsia="仿宋" w:cs="仿宋"/>
          <w:sz w:val="28"/>
          <w:szCs w:val="28"/>
        </w:rPr>
        <w:t>人民医院或指定的其他地点。</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3.交货方式：乙方按合同或招投标文件规定供货的品种、规格、数量、质量、时间等</w:t>
      </w:r>
      <w:r>
        <w:rPr>
          <w:rFonts w:hint="eastAsia" w:ascii="仿宋" w:hAnsi="仿宋" w:eastAsia="仿宋" w:cs="仿宋_GB2312"/>
          <w:sz w:val="28"/>
          <w:szCs w:val="28"/>
        </w:rPr>
        <w:t>（具体以合同及采购订单的要求为准）</w:t>
      </w:r>
      <w:r>
        <w:rPr>
          <w:rFonts w:hint="eastAsia" w:ascii="仿宋" w:hAnsi="仿宋" w:eastAsia="仿宋" w:cs="仿宋"/>
          <w:sz w:val="28"/>
          <w:szCs w:val="28"/>
        </w:rPr>
        <w:t>将所需货物运送到甲方指定地点，所产生的一切费用由乙方负责。</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4.验收：</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（1）乙方交付的货物应当完全符合招投标文件所规定的货物、数量、质量和规格要求。乙方提供的货物不符合招投标文件和合同规定的，甲方有权拒收货物，由此引起的风险，由乙方承担。</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2）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（3）由甲、</w:t>
      </w:r>
      <w:r>
        <w:rPr>
          <w:rFonts w:hint="eastAsia" w:ascii="仿宋" w:hAnsi="仿宋" w:eastAsia="仿宋" w:cs="仿宋"/>
          <w:sz w:val="28"/>
          <w:szCs w:val="28"/>
          <w:lang w:val="en-US" w:eastAsia="zh-CN"/>
        </w:rPr>
        <w:t>乙</w:t>
      </w:r>
      <w:r>
        <w:rPr>
          <w:rFonts w:hint="eastAsia" w:ascii="仿宋" w:hAnsi="仿宋" w:eastAsia="仿宋" w:cs="仿宋"/>
          <w:sz w:val="28"/>
          <w:szCs w:val="28"/>
        </w:rPr>
        <w:t>双方及使用科室代表对货物进行验收，需要乙方对货物或系统进行安装调试的，双方应在货物安装调试完毕后的（）个工作日内进行质量验收，在甲方现场验收和培训发生的一切费用由乙方承担。</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（4）货物的到货验收包括：型号、规格、数量、外观、质量及货物包装是否符合招标、投标文件以及合同等规定的标准。</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5）验收时以乙方投标文件中的技术规格偏离表为准；产品配置如《合同》中约定的标准与招投标文件不符时，适用标准应以对甲方有利的标准优先适用，甲方有权选择决定适用何种标准，乙方应予以配合。如招投标文件的内容与《合同书》不一致时，甲方有权选择对其有利的约定来要求乙方履行，乙方须予以配合，否则甲方有权解除合同。</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（6）其他约定：</w:t>
      </w:r>
    </w:p>
    <w:p>
      <w:pPr>
        <w:spacing w:line="440" w:lineRule="exact"/>
        <w:ind w:firstLine="562" w:firstLineChars="200"/>
        <w:rPr>
          <w:rFonts w:ascii="仿宋" w:hAnsi="仿宋" w:eastAsia="仿宋" w:cs="仿宋"/>
          <w:b/>
          <w:sz w:val="28"/>
          <w:szCs w:val="28"/>
        </w:rPr>
      </w:pPr>
      <w:r>
        <w:rPr>
          <w:rFonts w:hint="eastAsia" w:ascii="仿宋" w:hAnsi="仿宋" w:eastAsia="仿宋" w:cs="仿宋"/>
          <w:b/>
          <w:sz w:val="28"/>
          <w:szCs w:val="28"/>
        </w:rPr>
        <w:t>第八条  伴随服务/售后服务</w:t>
      </w:r>
    </w:p>
    <w:p>
      <w:pPr>
        <w:pStyle w:val="41"/>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1.乙方可能被要求提供下列服务中的一项或全部服务。</w:t>
      </w:r>
    </w:p>
    <w:p>
      <w:pPr>
        <w:pStyle w:val="41"/>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（1）产品的现场搬运或入库；</w:t>
      </w:r>
    </w:p>
    <w:p>
      <w:pPr>
        <w:pStyle w:val="41"/>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（2）提供产品开箱或分装的用具；</w:t>
      </w:r>
    </w:p>
    <w:p>
      <w:pPr>
        <w:pStyle w:val="41"/>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（3）对开箱时发现的破损、近效期产品或其</w:t>
      </w:r>
      <w:r>
        <w:rPr>
          <w:rFonts w:hint="eastAsia" w:ascii="仿宋" w:hAnsi="仿宋" w:eastAsia="仿宋" w:cs="仿宋"/>
          <w:sz w:val="28"/>
          <w:szCs w:val="28"/>
          <w:lang w:val="en-US" w:eastAsia="zh-CN"/>
        </w:rPr>
        <w:t>他</w:t>
      </w:r>
      <w:r>
        <w:rPr>
          <w:rFonts w:hint="eastAsia" w:ascii="仿宋" w:hAnsi="仿宋" w:eastAsia="仿宋" w:cs="仿宋"/>
          <w:sz w:val="28"/>
          <w:szCs w:val="28"/>
        </w:rPr>
        <w:t>不合格包装产品无条件及时更换；</w:t>
      </w:r>
    </w:p>
    <w:p>
      <w:pPr>
        <w:pStyle w:val="41"/>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（4）其</w:t>
      </w:r>
      <w:r>
        <w:rPr>
          <w:rFonts w:hint="eastAsia" w:ascii="仿宋" w:hAnsi="仿宋" w:eastAsia="仿宋" w:cs="仿宋"/>
          <w:sz w:val="28"/>
          <w:szCs w:val="28"/>
          <w:lang w:val="en-US" w:eastAsia="zh-CN"/>
        </w:rPr>
        <w:t>他</w:t>
      </w:r>
      <w:r>
        <w:rPr>
          <w:rFonts w:hint="eastAsia" w:ascii="仿宋" w:hAnsi="仿宋" w:eastAsia="仿宋" w:cs="仿宋"/>
          <w:sz w:val="28"/>
          <w:szCs w:val="28"/>
        </w:rPr>
        <w:t>乙方应提供的相关服务项目。</w:t>
      </w:r>
    </w:p>
    <w:p>
      <w:pPr>
        <w:snapToGrid w:val="0"/>
        <w:spacing w:line="44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2.乙方应保证提供的货物</w:t>
      </w:r>
      <w:r>
        <w:rPr>
          <w:rFonts w:hint="eastAsia" w:ascii="仿宋" w:hAnsi="仿宋" w:eastAsia="仿宋" w:cs="仿宋_GB2312"/>
          <w:sz w:val="28"/>
          <w:szCs w:val="28"/>
          <w:lang w:val="en-US" w:eastAsia="zh-CN"/>
        </w:rPr>
        <w:t>质保</w:t>
      </w:r>
      <w:r>
        <w:rPr>
          <w:rFonts w:hint="eastAsia" w:ascii="仿宋" w:hAnsi="仿宋" w:eastAsia="仿宋" w:cs="仿宋_GB2312"/>
          <w:sz w:val="28"/>
          <w:szCs w:val="28"/>
        </w:rPr>
        <w:t>期为</w:t>
      </w:r>
      <w:r>
        <w:rPr>
          <w:rFonts w:hint="eastAsia" w:ascii="仿宋" w:hAnsi="仿宋" w:eastAsia="仿宋" w:cs="仿宋_GB2312"/>
          <w:sz w:val="28"/>
          <w:szCs w:val="28"/>
          <w:u w:val="single"/>
          <w:lang w:val="en-US" w:eastAsia="zh-CN"/>
        </w:rPr>
        <w:t xml:space="preserve">       </w:t>
      </w:r>
      <w:r>
        <w:rPr>
          <w:rFonts w:hint="eastAsia" w:ascii="仿宋" w:hAnsi="仿宋" w:eastAsia="仿宋" w:cs="仿宋_GB2312"/>
          <w:sz w:val="28"/>
          <w:szCs w:val="28"/>
        </w:rPr>
        <w:t>，应按照国家有关 “三包”规定和招标文件要求及乙方投标文件的相关承诺提供保修及其他服务。</w:t>
      </w:r>
    </w:p>
    <w:p>
      <w:pPr>
        <w:snapToGrid w:val="0"/>
        <w:spacing w:line="44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3.</w:t>
      </w:r>
      <w:r>
        <w:rPr>
          <w:rFonts w:hint="eastAsia" w:ascii="仿宋" w:hAnsi="仿宋" w:eastAsia="仿宋" w:cs="仿宋_GB2312"/>
          <w:sz w:val="28"/>
          <w:szCs w:val="28"/>
          <w:lang w:val="en-US" w:eastAsia="zh-CN"/>
        </w:rPr>
        <w:t>保修期</w:t>
      </w:r>
      <w:r>
        <w:rPr>
          <w:rFonts w:hint="eastAsia" w:ascii="仿宋" w:hAnsi="仿宋" w:eastAsia="仿宋" w:cs="仿宋_GB2312"/>
          <w:sz w:val="28"/>
          <w:szCs w:val="28"/>
        </w:rPr>
        <w:t>为</w:t>
      </w:r>
      <w:r>
        <w:rPr>
          <w:rFonts w:hint="eastAsia" w:ascii="仿宋" w:hAnsi="仿宋" w:eastAsia="仿宋" w:cs="仿宋_GB2312"/>
          <w:sz w:val="28"/>
          <w:szCs w:val="28"/>
          <w:u w:val="single"/>
          <w:lang w:val="en-US" w:eastAsia="zh-CN"/>
        </w:rPr>
        <w:t xml:space="preserve">       </w:t>
      </w:r>
      <w:r>
        <w:rPr>
          <w:rFonts w:hint="eastAsia" w:ascii="仿宋" w:hAnsi="仿宋" w:eastAsia="仿宋" w:cs="仿宋_GB2312"/>
          <w:sz w:val="28"/>
          <w:szCs w:val="28"/>
          <w:lang w:val="en-US" w:eastAsia="zh-CN"/>
        </w:rPr>
        <w:t>。</w:t>
      </w:r>
      <w:r>
        <w:rPr>
          <w:rFonts w:hint="eastAsia" w:ascii="仿宋" w:hAnsi="仿宋" w:eastAsia="仿宋" w:cs="仿宋_GB2312"/>
          <w:sz w:val="28"/>
          <w:szCs w:val="28"/>
        </w:rPr>
        <w:t>保修期内，乙方负责对其提供的货物进行维修和系统维护，不再收取任何费用。所有货物保修服务方式均为乙方上门保修，即由乙方派员到货物使用现场维修，由此产生的一切费用均由乙方承担。保修期后的货物维护另行协商。</w:t>
      </w:r>
    </w:p>
    <w:p>
      <w:pPr>
        <w:spacing w:line="440" w:lineRule="exact"/>
        <w:ind w:firstLine="562" w:firstLineChars="200"/>
        <w:rPr>
          <w:rFonts w:ascii="仿宋" w:hAnsi="仿宋" w:eastAsia="仿宋" w:cs="仿宋"/>
          <w:b/>
          <w:sz w:val="28"/>
          <w:szCs w:val="28"/>
        </w:rPr>
      </w:pPr>
      <w:r>
        <w:rPr>
          <w:rFonts w:hint="eastAsia" w:ascii="仿宋" w:hAnsi="仿宋" w:eastAsia="仿宋" w:cs="仿宋"/>
          <w:b/>
          <w:sz w:val="28"/>
          <w:szCs w:val="28"/>
        </w:rPr>
        <w:t>第九条  付款方式</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以转账方式付款，以实收货物的数量为准，验收合格后，收到供应商合法发票后（）日内一次性付款，或按深圳市龙岗区财政局有关规定执行。</w:t>
      </w:r>
    </w:p>
    <w:p>
      <w:pPr>
        <w:spacing w:line="440" w:lineRule="exact"/>
        <w:ind w:firstLine="562" w:firstLineChars="200"/>
        <w:rPr>
          <w:rFonts w:ascii="仿宋" w:hAnsi="仿宋" w:eastAsia="仿宋" w:cs="宋体"/>
          <w:sz w:val="28"/>
          <w:szCs w:val="28"/>
        </w:rPr>
      </w:pPr>
      <w:r>
        <w:rPr>
          <w:rFonts w:hint="eastAsia" w:ascii="仿宋" w:hAnsi="仿宋" w:eastAsia="仿宋" w:cs="宋体"/>
          <w:b/>
          <w:sz w:val="28"/>
          <w:szCs w:val="28"/>
        </w:rPr>
        <w:t>第十条  合同的变更、终止与转让</w:t>
      </w:r>
    </w:p>
    <w:p>
      <w:pPr>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1.除《</w:t>
      </w:r>
      <w:r>
        <w:rPr>
          <w:rFonts w:hint="eastAsia" w:ascii="仿宋" w:hAnsi="仿宋" w:eastAsia="仿宋" w:cs="仿宋"/>
          <w:sz w:val="28"/>
          <w:szCs w:val="28"/>
        </w:rPr>
        <w:t>中华人民共和国政府采购法</w:t>
      </w:r>
      <w:r>
        <w:rPr>
          <w:rFonts w:hint="eastAsia" w:ascii="仿宋" w:hAnsi="仿宋" w:eastAsia="仿宋" w:cs="宋体"/>
          <w:sz w:val="28"/>
          <w:szCs w:val="28"/>
        </w:rPr>
        <w:t xml:space="preserve">》第49条、第50条第二款规定的情形外，本合同一经签订，甲乙双方不得擅自变更、中止或终止合同。  </w:t>
      </w:r>
    </w:p>
    <w:p>
      <w:pPr>
        <w:spacing w:line="440" w:lineRule="exact"/>
        <w:ind w:firstLine="560" w:firstLineChars="200"/>
        <w:rPr>
          <w:rFonts w:ascii="仿宋" w:hAnsi="仿宋" w:eastAsia="仿宋" w:cs="仿宋"/>
          <w:kern w:val="0"/>
          <w:sz w:val="28"/>
          <w:szCs w:val="28"/>
        </w:rPr>
      </w:pPr>
      <w:r>
        <w:rPr>
          <w:rFonts w:hint="eastAsia" w:ascii="仿宋" w:hAnsi="仿宋" w:eastAsia="仿宋" w:cs="宋体"/>
          <w:sz w:val="28"/>
          <w:szCs w:val="28"/>
        </w:rPr>
        <w:t>2.乙方不得擅自部分或全部转让其应履行的</w:t>
      </w:r>
      <w:r>
        <w:fldChar w:fldCharType="begin"/>
      </w:r>
      <w:r>
        <w:instrText xml:space="preserve"> HYPERLINK "http://www.lawtime.cn/info/zhuanti/2010071337707.html" \t "_blank" </w:instrText>
      </w:r>
      <w:r>
        <w:fldChar w:fldCharType="separate"/>
      </w:r>
      <w:r>
        <w:rPr>
          <w:rFonts w:hint="eastAsia" w:ascii="仿宋" w:hAnsi="仿宋" w:eastAsia="仿宋" w:cs="宋体"/>
          <w:sz w:val="28"/>
          <w:szCs w:val="28"/>
        </w:rPr>
        <w:t>合同义务</w:t>
      </w:r>
      <w:r>
        <w:rPr>
          <w:rFonts w:hint="eastAsia" w:ascii="仿宋" w:hAnsi="仿宋" w:eastAsia="仿宋" w:cs="宋体"/>
          <w:sz w:val="28"/>
          <w:szCs w:val="28"/>
        </w:rPr>
        <w:fldChar w:fldCharType="end"/>
      </w:r>
      <w:r>
        <w:rPr>
          <w:rFonts w:hint="eastAsia" w:ascii="仿宋" w:hAnsi="仿宋" w:eastAsia="仿宋" w:cs="宋体"/>
          <w:sz w:val="28"/>
          <w:szCs w:val="28"/>
        </w:rPr>
        <w:t>，否则甲方有权终止合同，并有权要求乙方支付违约金，违约金按本合同总金额的（）%计算。</w:t>
      </w:r>
    </w:p>
    <w:p>
      <w:pPr>
        <w:spacing w:line="440" w:lineRule="exact"/>
        <w:ind w:firstLine="562" w:firstLineChars="200"/>
        <w:rPr>
          <w:rFonts w:ascii="仿宋" w:hAnsi="仿宋" w:eastAsia="仿宋" w:cs="仿宋"/>
          <w:color w:val="000000"/>
          <w:sz w:val="28"/>
          <w:szCs w:val="28"/>
        </w:rPr>
      </w:pPr>
      <w:r>
        <w:rPr>
          <w:rFonts w:hint="eastAsia" w:ascii="仿宋" w:hAnsi="仿宋" w:eastAsia="仿宋" w:cs="仿宋"/>
          <w:b/>
          <w:color w:val="000000"/>
          <w:sz w:val="28"/>
          <w:szCs w:val="28"/>
        </w:rPr>
        <w:t>第十一条  违约责任</w:t>
      </w:r>
    </w:p>
    <w:p>
      <w:pPr>
        <w:widowControl/>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1.甲方无正当理由拒收货物、拒付货物款的，由甲方向乙方偿付拒收货物总价的（）%违约金。</w:t>
      </w:r>
    </w:p>
    <w:p>
      <w:pPr>
        <w:widowControl/>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2.甲方未按合同规定的期限向乙方支付货款的，每逾期1天甲方向乙方偿付欠款总额的（）%滞纳金，但累计滞纳金总额不超过欠款总额的（）%。</w:t>
      </w:r>
    </w:p>
    <w:p>
      <w:pPr>
        <w:widowControl/>
        <w:spacing w:line="440" w:lineRule="exact"/>
        <w:ind w:firstLine="560" w:firstLineChars="200"/>
        <w:rPr>
          <w:rFonts w:ascii="仿宋" w:hAnsi="仿宋" w:eastAsia="仿宋" w:cs="仿宋"/>
          <w:sz w:val="28"/>
          <w:szCs w:val="28"/>
        </w:rPr>
      </w:pPr>
      <w:r>
        <w:rPr>
          <w:rFonts w:hint="eastAsia" w:ascii="仿宋" w:hAnsi="仿宋" w:eastAsia="仿宋" w:cs="仿宋"/>
          <w:color w:val="000000"/>
          <w:sz w:val="28"/>
          <w:szCs w:val="28"/>
        </w:rPr>
        <w:t>3.乙方逾期交付货物的，每逾</w:t>
      </w:r>
      <w:r>
        <w:rPr>
          <w:rFonts w:hint="eastAsia" w:ascii="仿宋" w:hAnsi="仿宋" w:eastAsia="仿宋" w:cs="仿宋"/>
          <w:sz w:val="28"/>
          <w:szCs w:val="28"/>
        </w:rPr>
        <w:t>期1天，乙方向甲方偿付逾期交货部分货款总额的（）%的滞纳金。如超过供货期30天,甲方有权终止合同，同时乙方应向甲方支付合同总价（</w:t>
      </w:r>
      <w:r>
        <w:rPr>
          <w:rFonts w:ascii="仿宋" w:hAnsi="仿宋" w:eastAsia="仿宋" w:cs="仿宋"/>
          <w:sz w:val="28"/>
          <w:szCs w:val="28"/>
        </w:rPr>
        <w:t>）</w:t>
      </w:r>
      <w:r>
        <w:rPr>
          <w:rFonts w:hint="eastAsia" w:ascii="仿宋" w:hAnsi="仿宋" w:eastAsia="仿宋" w:cs="仿宋"/>
          <w:sz w:val="28"/>
          <w:szCs w:val="28"/>
        </w:rPr>
        <w:t>%的违约金。给甲方造成损失的将通过法律程序向乙方进行索赔。</w:t>
      </w:r>
    </w:p>
    <w:p>
      <w:pPr>
        <w:widowControl/>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4.乙方所交付的货物品种、型号、规格不符合合同规定的，甲方有权拒收。甲方拒收的，乙方应向甲方支付货款总额（）%的违约金。</w:t>
      </w:r>
    </w:p>
    <w:p>
      <w:pPr>
        <w:widowControl/>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5.在乙方承诺的或国家规定的质量保证期内（取两者中最长的期限），如经乙方两次更换，货物仍不能达到合同约定的质量标准，甲方有权退货，乙方应退回全部货款。并解除合同</w:t>
      </w:r>
    </w:p>
    <w:p>
      <w:pPr>
        <w:widowControl/>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6.乙方未按本合同的规定和“服务承诺”提供伴随服务/售后服务的，应按合同总价款的（）%向甲方承担违约责任。</w:t>
      </w:r>
    </w:p>
    <w:p>
      <w:pPr>
        <w:widowControl/>
        <w:spacing w:line="440" w:lineRule="exact"/>
        <w:ind w:firstLine="560" w:firstLineChars="200"/>
        <w:rPr>
          <w:rFonts w:ascii="仿宋" w:hAnsi="仿宋" w:eastAsia="仿宋" w:cs="仿宋"/>
          <w:sz w:val="28"/>
          <w:szCs w:val="28"/>
        </w:rPr>
      </w:pPr>
      <w:r>
        <w:rPr>
          <w:rFonts w:hint="eastAsia" w:ascii="仿宋" w:hAnsi="仿宋" w:eastAsia="仿宋" w:cs="仿宋"/>
          <w:kern w:val="0"/>
          <w:sz w:val="28"/>
          <w:szCs w:val="28"/>
        </w:rPr>
        <w:t>7.</w:t>
      </w:r>
      <w:r>
        <w:rPr>
          <w:rFonts w:hint="eastAsia" w:ascii="仿宋" w:hAnsi="仿宋" w:eastAsia="仿宋" w:cs="仿宋"/>
          <w:sz w:val="28"/>
          <w:szCs w:val="28"/>
        </w:rPr>
        <w:t>乙方在承担上述3-6款一项或多项违约责任后，仍应继续履行合同规定的义务（甲方解除合同的除外）。甲方未能及时追究乙方的任何一项违约责任并不表明甲方放弃追究乙方该项或其他违约责任。</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8.未列入以上条款的其他违规事项，则按照《中华人民共和国招标投标法》法律责任条款处理。</w:t>
      </w:r>
    </w:p>
    <w:p>
      <w:pPr>
        <w:widowControl/>
        <w:spacing w:line="440" w:lineRule="exact"/>
        <w:ind w:firstLine="560" w:firstLineChars="200"/>
        <w:rPr>
          <w:rFonts w:ascii="仿宋" w:hAnsi="仿宋" w:eastAsia="仿宋" w:cs="宋体"/>
          <w:sz w:val="28"/>
          <w:szCs w:val="28"/>
        </w:rPr>
      </w:pPr>
      <w:r>
        <w:rPr>
          <w:rFonts w:hint="eastAsia" w:ascii="仿宋" w:hAnsi="仿宋" w:eastAsia="仿宋" w:cs="仿宋"/>
          <w:sz w:val="28"/>
          <w:szCs w:val="28"/>
        </w:rPr>
        <w:t>11.其他。</w:t>
      </w:r>
    </w:p>
    <w:p>
      <w:pPr>
        <w:spacing w:line="440" w:lineRule="exact"/>
        <w:ind w:firstLine="562" w:firstLineChars="200"/>
        <w:rPr>
          <w:rFonts w:ascii="仿宋" w:hAnsi="仿宋" w:eastAsia="仿宋" w:cs="仿宋"/>
          <w:b/>
          <w:sz w:val="28"/>
          <w:szCs w:val="28"/>
        </w:rPr>
      </w:pPr>
      <w:r>
        <w:rPr>
          <w:rFonts w:hint="eastAsia" w:ascii="仿宋" w:hAnsi="仿宋" w:eastAsia="仿宋" w:cs="仿宋"/>
          <w:b/>
          <w:sz w:val="28"/>
          <w:szCs w:val="28"/>
        </w:rPr>
        <w:t>第十二条  免责条款</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若甲、乙双方的任何一方由于不可抗力（包括天灾、意外事故、交通运输、政府法令等特殊客观事件）原因造成不能及时履行或不能履行合同时，应及时向对方通报不能履行或不能及时履行的理由，在取得有关证明后，允许延期履行、部分履行或不履行合同，并根据情况，免除相应责任。</w:t>
      </w:r>
    </w:p>
    <w:p>
      <w:pPr>
        <w:spacing w:line="440" w:lineRule="exact"/>
        <w:ind w:firstLine="562" w:firstLineChars="200"/>
        <w:rPr>
          <w:rFonts w:ascii="仿宋" w:hAnsi="仿宋" w:eastAsia="仿宋" w:cs="仿宋"/>
          <w:b/>
          <w:sz w:val="28"/>
          <w:szCs w:val="28"/>
        </w:rPr>
      </w:pPr>
      <w:r>
        <w:rPr>
          <w:rFonts w:hint="eastAsia" w:ascii="仿宋" w:hAnsi="仿宋" w:eastAsia="仿宋" w:cs="仿宋"/>
          <w:b/>
          <w:sz w:val="28"/>
          <w:szCs w:val="28"/>
        </w:rPr>
        <w:t>第十三条  合同争议解决</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1.因货物质量问题发生争议的，应邀请国家认可的质量检测机构对货物质量进行鉴定。货物符合标准的，鉴定费由甲方承担；货物不符合标准的，鉴定费由乙方承担。</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2.因履行本合同引起的或与本合同有关的争议，甲乙双方应首先通过友好协商解决。如果协商不能解决，向甲方所在地人民法院提起诉讼。</w:t>
      </w:r>
    </w:p>
    <w:p>
      <w:pPr>
        <w:spacing w:line="440" w:lineRule="exact"/>
        <w:ind w:firstLine="562" w:firstLineChars="200"/>
        <w:rPr>
          <w:rFonts w:ascii="仿宋" w:hAnsi="仿宋" w:eastAsia="仿宋" w:cs="仿宋"/>
          <w:b/>
          <w:sz w:val="28"/>
          <w:szCs w:val="28"/>
        </w:rPr>
      </w:pPr>
      <w:r>
        <w:rPr>
          <w:rFonts w:hint="eastAsia" w:ascii="仿宋" w:hAnsi="仿宋" w:eastAsia="仿宋" w:cs="仿宋"/>
          <w:b/>
          <w:sz w:val="28"/>
          <w:szCs w:val="28"/>
        </w:rPr>
        <w:t>第十四条  本合同附件</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以下附件及乙方投标时提供的投标文件和其他相关资料作为本合同的补充内容，具有同等法律效力。</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附件1：供货一览表（加盖公章）；</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附件2：产品销售廉洁协议书</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附件3：龙岗区进一步规范政商交往行为告知书；</w:t>
      </w:r>
    </w:p>
    <w:p>
      <w:pPr>
        <w:spacing w:line="440" w:lineRule="exact"/>
        <w:ind w:firstLine="560" w:firstLineChars="200"/>
      </w:pPr>
      <w:r>
        <w:rPr>
          <w:rFonts w:hint="eastAsia" w:ascii="仿宋" w:hAnsi="仿宋" w:eastAsia="仿宋" w:cs="仿宋"/>
          <w:sz w:val="28"/>
          <w:szCs w:val="28"/>
        </w:rPr>
        <w:t>附件4：售后服务承诺（加盖公章）。</w:t>
      </w:r>
    </w:p>
    <w:p>
      <w:pPr>
        <w:spacing w:line="440" w:lineRule="exact"/>
        <w:ind w:firstLine="562" w:firstLineChars="200"/>
        <w:rPr>
          <w:rFonts w:hint="eastAsia" w:ascii="仿宋" w:hAnsi="仿宋" w:eastAsia="仿宋" w:cs="仿宋"/>
          <w:b/>
          <w:sz w:val="28"/>
          <w:szCs w:val="28"/>
          <w:lang w:val="en-US" w:eastAsia="zh-CN"/>
        </w:rPr>
      </w:pPr>
      <w:r>
        <w:rPr>
          <w:rFonts w:hint="eastAsia" w:ascii="仿宋" w:hAnsi="仿宋" w:eastAsia="仿宋" w:cs="仿宋"/>
          <w:b/>
          <w:sz w:val="28"/>
          <w:szCs w:val="28"/>
        </w:rPr>
        <w:t>第十五条  合同生效及其</w:t>
      </w:r>
      <w:r>
        <w:rPr>
          <w:rFonts w:hint="eastAsia" w:ascii="仿宋" w:hAnsi="仿宋" w:eastAsia="仿宋" w:cs="仿宋"/>
          <w:b/>
          <w:sz w:val="28"/>
          <w:szCs w:val="28"/>
          <w:lang w:val="en-US" w:eastAsia="zh-CN"/>
        </w:rPr>
        <w:t>他</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1.合同经双方法定代表人或授权委托代表人签字并加盖单位公章或合同专用章后生效。</w:t>
      </w:r>
    </w:p>
    <w:p>
      <w:pPr>
        <w:spacing w:line="44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2.其他约定条款：</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3.本合同未尽事宜，遵照《</w:t>
      </w:r>
      <w:r>
        <w:rPr>
          <w:rFonts w:hint="eastAsia" w:ascii="仿宋" w:hAnsi="仿宋" w:eastAsia="仿宋" w:cs="仿宋"/>
          <w:sz w:val="28"/>
          <w:szCs w:val="28"/>
          <w:lang w:val="en-US" w:eastAsia="zh-CN"/>
        </w:rPr>
        <w:t>中华人民共和国</w:t>
      </w:r>
      <w:r>
        <w:rPr>
          <w:rFonts w:hint="eastAsia" w:ascii="仿宋" w:hAnsi="仿宋" w:eastAsia="仿宋" w:cs="仿宋"/>
          <w:sz w:val="28"/>
          <w:szCs w:val="28"/>
        </w:rPr>
        <w:t>民法典》有关条文执行。</w:t>
      </w:r>
    </w:p>
    <w:p>
      <w:pPr>
        <w:spacing w:line="440" w:lineRule="exact"/>
        <w:ind w:firstLine="560" w:firstLineChars="200"/>
      </w:pPr>
      <w:r>
        <w:rPr>
          <w:rFonts w:hint="eastAsia" w:ascii="仿宋" w:hAnsi="仿宋" w:eastAsia="仿宋" w:cs="仿宋"/>
          <w:sz w:val="28"/>
          <w:szCs w:val="28"/>
        </w:rPr>
        <w:t>4.本合同正本一式</w:t>
      </w:r>
      <w:r>
        <w:rPr>
          <w:rFonts w:hint="eastAsia" w:ascii="仿宋" w:hAnsi="仿宋" w:eastAsia="仿宋" w:cs="仿宋"/>
          <w:sz w:val="28"/>
          <w:szCs w:val="28"/>
          <w:u w:val="single"/>
        </w:rPr>
        <w:t xml:space="preserve"> 肆 </w:t>
      </w:r>
      <w:r>
        <w:rPr>
          <w:rFonts w:hint="eastAsia" w:ascii="仿宋" w:hAnsi="仿宋" w:eastAsia="仿宋" w:cs="仿宋"/>
          <w:sz w:val="28"/>
          <w:szCs w:val="28"/>
        </w:rPr>
        <w:t>份，具有同等法律效力，甲方执</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叁</w:t>
      </w:r>
      <w:r>
        <w:rPr>
          <w:rFonts w:hint="eastAsia" w:ascii="仿宋" w:hAnsi="仿宋" w:eastAsia="仿宋" w:cs="仿宋"/>
          <w:sz w:val="28"/>
          <w:szCs w:val="28"/>
          <w:u w:val="single"/>
        </w:rPr>
        <w:t xml:space="preserve"> </w:t>
      </w:r>
      <w:r>
        <w:rPr>
          <w:rFonts w:hint="eastAsia" w:ascii="仿宋" w:hAnsi="仿宋" w:eastAsia="仿宋" w:cs="仿宋"/>
          <w:sz w:val="28"/>
          <w:szCs w:val="28"/>
        </w:rPr>
        <w:t>份；乙方执</w:t>
      </w:r>
      <w:r>
        <w:rPr>
          <w:rFonts w:hint="eastAsia" w:ascii="仿宋" w:hAnsi="仿宋" w:eastAsia="仿宋" w:cs="仿宋"/>
          <w:sz w:val="28"/>
          <w:szCs w:val="28"/>
          <w:u w:val="single"/>
        </w:rPr>
        <w:t>壹</w:t>
      </w:r>
      <w:r>
        <w:rPr>
          <w:rFonts w:hint="eastAsia" w:ascii="仿宋" w:hAnsi="仿宋" w:eastAsia="仿宋" w:cs="仿宋"/>
          <w:sz w:val="28"/>
          <w:szCs w:val="28"/>
        </w:rPr>
        <w:t>份。</w:t>
      </w:r>
    </w:p>
    <w:tbl>
      <w:tblPr>
        <w:tblStyle w:val="21"/>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0"/>
        <w:gridCol w:w="4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0" w:type="dxa"/>
            <w:noWrap/>
            <w:vAlign w:val="top"/>
          </w:tcPr>
          <w:p>
            <w:pPr>
              <w:spacing w:line="360" w:lineRule="auto"/>
              <w:rPr>
                <w:rFonts w:ascii="仿宋" w:hAnsi="仿宋" w:eastAsia="仿宋" w:cs="仿宋"/>
                <w:b/>
                <w:bCs/>
                <w:kern w:val="0"/>
                <w:sz w:val="24"/>
              </w:rPr>
            </w:pPr>
            <w:r>
              <w:rPr>
                <w:rFonts w:hint="eastAsia" w:ascii="仿宋" w:hAnsi="仿宋" w:eastAsia="仿宋" w:cs="仿宋"/>
                <w:b/>
                <w:bCs/>
                <w:kern w:val="0"/>
                <w:sz w:val="24"/>
              </w:rPr>
              <w:t>甲方：深圳市龙岗区第</w:t>
            </w:r>
            <w:r>
              <w:rPr>
                <w:rFonts w:hint="eastAsia" w:ascii="仿宋" w:hAnsi="仿宋" w:eastAsia="仿宋" w:cs="仿宋"/>
                <w:b/>
                <w:bCs/>
                <w:kern w:val="0"/>
                <w:sz w:val="24"/>
                <w:lang w:val="en-US" w:eastAsia="zh-CN"/>
              </w:rPr>
              <w:t>七</w:t>
            </w:r>
            <w:r>
              <w:rPr>
                <w:rFonts w:hint="eastAsia" w:ascii="仿宋" w:hAnsi="仿宋" w:eastAsia="仿宋" w:cs="仿宋"/>
                <w:b/>
                <w:bCs/>
                <w:kern w:val="0"/>
                <w:sz w:val="24"/>
              </w:rPr>
              <w:t>人民医院</w:t>
            </w:r>
          </w:p>
        </w:tc>
        <w:tc>
          <w:tcPr>
            <w:tcW w:w="4314" w:type="dxa"/>
            <w:noWrap/>
            <w:vAlign w:val="top"/>
          </w:tcPr>
          <w:p>
            <w:pPr>
              <w:spacing w:line="360" w:lineRule="auto"/>
              <w:rPr>
                <w:rFonts w:ascii="仿宋" w:hAnsi="仿宋" w:eastAsia="仿宋" w:cs="仿宋"/>
                <w:b/>
                <w:bCs/>
                <w:kern w:val="0"/>
                <w:sz w:val="24"/>
              </w:rPr>
            </w:pPr>
            <w:r>
              <w:rPr>
                <w:rFonts w:hint="eastAsia" w:ascii="仿宋" w:hAnsi="仿宋" w:eastAsia="仿宋" w:cs="仿宋"/>
                <w:b/>
                <w:bCs/>
                <w:kern w:val="0"/>
                <w:sz w:val="24"/>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0" w:type="dxa"/>
            <w:noWrap/>
            <w:vAlign w:val="top"/>
          </w:tcPr>
          <w:p>
            <w:pPr>
              <w:spacing w:line="360" w:lineRule="auto"/>
              <w:rPr>
                <w:rFonts w:hint="default" w:ascii="仿宋" w:hAnsi="仿宋" w:eastAsia="仿宋" w:cs="仿宋"/>
                <w:b/>
                <w:bCs/>
                <w:kern w:val="0"/>
                <w:sz w:val="24"/>
                <w:lang w:val="en-US" w:eastAsia="zh-CN"/>
              </w:rPr>
            </w:pPr>
            <w:r>
              <w:rPr>
                <w:rFonts w:hint="eastAsia" w:ascii="仿宋" w:hAnsi="仿宋" w:eastAsia="仿宋" w:cs="仿宋"/>
                <w:b/>
                <w:bCs/>
                <w:kern w:val="0"/>
                <w:sz w:val="24"/>
              </w:rPr>
              <w:t>地址：深圳市龙岗区</w:t>
            </w:r>
            <w:r>
              <w:rPr>
                <w:rFonts w:hint="eastAsia" w:ascii="仿宋" w:hAnsi="仿宋" w:eastAsia="仿宋" w:cs="仿宋"/>
                <w:b/>
                <w:bCs/>
                <w:kern w:val="0"/>
                <w:sz w:val="24"/>
                <w:lang w:val="en-US" w:eastAsia="zh-CN"/>
              </w:rPr>
              <w:t>南湾</w:t>
            </w:r>
            <w:r>
              <w:rPr>
                <w:rFonts w:hint="eastAsia" w:ascii="仿宋" w:hAnsi="仿宋" w:eastAsia="仿宋" w:cs="仿宋"/>
                <w:b/>
                <w:bCs/>
                <w:kern w:val="0"/>
                <w:sz w:val="24"/>
              </w:rPr>
              <w:t>街道</w:t>
            </w:r>
            <w:r>
              <w:rPr>
                <w:rFonts w:hint="eastAsia" w:ascii="仿宋" w:hAnsi="仿宋" w:eastAsia="仿宋" w:cs="仿宋"/>
                <w:b/>
                <w:bCs/>
                <w:kern w:val="0"/>
                <w:sz w:val="24"/>
                <w:lang w:val="en-US" w:eastAsia="zh-CN"/>
              </w:rPr>
              <w:t>吉厦社区早禾坑工业区2号</w:t>
            </w:r>
          </w:p>
        </w:tc>
        <w:tc>
          <w:tcPr>
            <w:tcW w:w="4314" w:type="dxa"/>
            <w:noWrap/>
            <w:vAlign w:val="top"/>
          </w:tcPr>
          <w:p>
            <w:pPr>
              <w:spacing w:line="360" w:lineRule="auto"/>
              <w:rPr>
                <w:rFonts w:ascii="仿宋" w:hAnsi="仿宋" w:eastAsia="仿宋" w:cs="仿宋"/>
                <w:b/>
                <w:bCs/>
                <w:kern w:val="0"/>
                <w:sz w:val="24"/>
              </w:rPr>
            </w:pPr>
            <w:r>
              <w:rPr>
                <w:rFonts w:hint="eastAsia" w:ascii="仿宋" w:hAnsi="仿宋" w:eastAsia="仿宋" w:cs="仿宋"/>
                <w:b/>
                <w:bCs/>
                <w:kern w:val="0"/>
                <w:sz w:val="24"/>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0" w:type="dxa"/>
            <w:noWrap/>
            <w:vAlign w:val="top"/>
          </w:tcPr>
          <w:p>
            <w:pPr>
              <w:spacing w:line="360" w:lineRule="auto"/>
              <w:rPr>
                <w:rFonts w:hint="default" w:ascii="仿宋" w:hAnsi="仿宋" w:eastAsia="仿宋" w:cs="仿宋"/>
                <w:kern w:val="0"/>
                <w:sz w:val="24"/>
                <w:lang w:val="en-US" w:eastAsia="zh-CN"/>
              </w:rPr>
            </w:pPr>
            <w:r>
              <w:rPr>
                <w:rFonts w:hint="eastAsia" w:ascii="仿宋" w:hAnsi="仿宋" w:eastAsia="仿宋" w:cs="仿宋"/>
                <w:b/>
                <w:bCs/>
                <w:color w:val="000000"/>
                <w:sz w:val="24"/>
              </w:rPr>
              <w:t>纳税人识别号:12440307</w:t>
            </w:r>
            <w:r>
              <w:rPr>
                <w:rFonts w:hint="eastAsia" w:ascii="仿宋" w:hAnsi="仿宋" w:eastAsia="仿宋" w:cs="仿宋"/>
                <w:b/>
                <w:bCs/>
                <w:color w:val="000000"/>
                <w:sz w:val="24"/>
                <w:lang w:val="en-US" w:eastAsia="zh-CN"/>
              </w:rPr>
              <w:t>G34813567P</w:t>
            </w:r>
          </w:p>
        </w:tc>
        <w:tc>
          <w:tcPr>
            <w:tcW w:w="4314" w:type="dxa"/>
            <w:noWrap/>
            <w:vAlign w:val="top"/>
          </w:tcPr>
          <w:p>
            <w:pPr>
              <w:spacing w:line="360" w:lineRule="auto"/>
              <w:rPr>
                <w:rFonts w:ascii="仿宋" w:hAnsi="仿宋" w:eastAsia="仿宋" w:cs="仿宋"/>
                <w:b/>
                <w:bCs/>
                <w:kern w:val="0"/>
                <w:sz w:val="24"/>
              </w:rPr>
            </w:pPr>
            <w:r>
              <w:rPr>
                <w:rFonts w:hint="eastAsia" w:ascii="仿宋" w:hAnsi="仿宋" w:eastAsia="仿宋" w:cs="仿宋"/>
                <w:b/>
                <w:bCs/>
                <w:kern w:val="0"/>
                <w:sz w:val="24"/>
              </w:rPr>
              <w:t>纳税人识别号：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900" w:type="dxa"/>
            <w:noWrap/>
            <w:vAlign w:val="top"/>
          </w:tcPr>
          <w:p>
            <w:pPr>
              <w:spacing w:line="360" w:lineRule="auto"/>
              <w:rPr>
                <w:rFonts w:ascii="仿宋" w:hAnsi="仿宋" w:eastAsia="仿宋" w:cs="仿宋"/>
                <w:kern w:val="0"/>
                <w:sz w:val="24"/>
              </w:rPr>
            </w:pPr>
            <w:r>
              <w:rPr>
                <w:rFonts w:hint="eastAsia" w:ascii="仿宋" w:hAnsi="仿宋" w:eastAsia="仿宋" w:cs="仿宋"/>
                <w:b/>
                <w:bCs/>
                <w:kern w:val="0"/>
                <w:sz w:val="24"/>
              </w:rPr>
              <w:t>开户银行：</w:t>
            </w:r>
            <w:r>
              <w:rPr>
                <w:rFonts w:hint="eastAsia" w:ascii="仿宋" w:hAnsi="仿宋" w:eastAsia="仿宋" w:cs="仿宋"/>
                <w:b/>
                <w:bCs/>
                <w:color w:val="000000"/>
                <w:sz w:val="24"/>
              </w:rPr>
              <w:t>深圳农村商业银行</w:t>
            </w:r>
            <w:r>
              <w:rPr>
                <w:rFonts w:hint="eastAsia" w:ascii="仿宋" w:hAnsi="仿宋" w:eastAsia="仿宋" w:cs="仿宋"/>
                <w:b/>
                <w:bCs/>
                <w:color w:val="000000"/>
                <w:sz w:val="24"/>
                <w:lang w:val="en-US" w:eastAsia="zh-CN"/>
              </w:rPr>
              <w:t>南湾</w:t>
            </w:r>
            <w:r>
              <w:rPr>
                <w:rFonts w:hint="eastAsia" w:ascii="仿宋" w:hAnsi="仿宋" w:eastAsia="仿宋" w:cs="仿宋"/>
                <w:b/>
                <w:bCs/>
                <w:color w:val="000000"/>
                <w:sz w:val="24"/>
              </w:rPr>
              <w:t>支行</w:t>
            </w:r>
          </w:p>
        </w:tc>
        <w:tc>
          <w:tcPr>
            <w:tcW w:w="4314" w:type="dxa"/>
            <w:noWrap/>
            <w:vAlign w:val="top"/>
          </w:tcPr>
          <w:p>
            <w:pPr>
              <w:spacing w:line="360" w:lineRule="auto"/>
              <w:rPr>
                <w:rFonts w:ascii="仿宋" w:hAnsi="仿宋" w:eastAsia="仿宋" w:cs="仿宋"/>
                <w:color w:val="000000"/>
                <w:sz w:val="24"/>
              </w:rPr>
            </w:pPr>
            <w:r>
              <w:rPr>
                <w:rFonts w:hint="eastAsia" w:ascii="仿宋" w:hAnsi="仿宋" w:eastAsia="仿宋" w:cs="仿宋"/>
                <w:b/>
                <w:bCs/>
                <w:color w:val="000000"/>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00" w:type="dxa"/>
            <w:noWrap/>
            <w:vAlign w:val="top"/>
          </w:tcPr>
          <w:p>
            <w:pPr>
              <w:spacing w:line="360" w:lineRule="auto"/>
              <w:rPr>
                <w:rFonts w:hint="default" w:ascii="仿宋" w:hAnsi="仿宋" w:eastAsia="仿宋" w:cs="仿宋"/>
                <w:kern w:val="0"/>
                <w:sz w:val="24"/>
                <w:lang w:val="en-US" w:eastAsia="zh-CN"/>
              </w:rPr>
            </w:pPr>
            <w:r>
              <w:rPr>
                <w:rFonts w:hint="eastAsia" w:ascii="仿宋" w:hAnsi="仿宋" w:eastAsia="仿宋" w:cs="仿宋"/>
                <w:b/>
                <w:bCs/>
                <w:color w:val="000000"/>
                <w:sz w:val="24"/>
              </w:rPr>
              <w:t>帐    号：00007</w:t>
            </w:r>
            <w:r>
              <w:rPr>
                <w:rFonts w:hint="eastAsia" w:ascii="仿宋" w:hAnsi="仿宋" w:eastAsia="仿宋" w:cs="仿宋"/>
                <w:b/>
                <w:bCs/>
                <w:color w:val="000000"/>
                <w:sz w:val="24"/>
                <w:lang w:val="en-US" w:eastAsia="zh-CN"/>
              </w:rPr>
              <w:t>1202940</w:t>
            </w:r>
          </w:p>
        </w:tc>
        <w:tc>
          <w:tcPr>
            <w:tcW w:w="4314" w:type="dxa"/>
            <w:noWrap/>
            <w:vAlign w:val="top"/>
          </w:tcPr>
          <w:p>
            <w:pPr>
              <w:spacing w:line="360" w:lineRule="auto"/>
              <w:rPr>
                <w:rFonts w:ascii="仿宋" w:hAnsi="仿宋" w:eastAsia="仿宋" w:cs="仿宋"/>
                <w:b/>
                <w:bCs/>
                <w:color w:val="000000"/>
                <w:sz w:val="24"/>
              </w:rPr>
            </w:pPr>
            <w:r>
              <w:rPr>
                <w:rFonts w:hint="eastAsia" w:ascii="仿宋" w:hAnsi="仿宋" w:eastAsia="仿宋" w:cs="仿宋"/>
                <w:b/>
                <w:bCs/>
                <w:color w:val="000000"/>
                <w:sz w:val="24"/>
              </w:rPr>
              <w:t>帐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900" w:type="dxa"/>
            <w:noWrap/>
            <w:vAlign w:val="top"/>
          </w:tcPr>
          <w:p>
            <w:pPr>
              <w:spacing w:line="360" w:lineRule="auto"/>
              <w:rPr>
                <w:rFonts w:hint="default" w:ascii="仿宋" w:hAnsi="仿宋" w:eastAsia="仿宋" w:cs="仿宋"/>
                <w:b/>
                <w:bCs/>
                <w:kern w:val="0"/>
                <w:sz w:val="24"/>
                <w:lang w:val="en-US" w:eastAsia="zh-CN"/>
              </w:rPr>
            </w:pPr>
            <w:r>
              <w:rPr>
                <w:rFonts w:hint="eastAsia" w:ascii="仿宋" w:hAnsi="仿宋" w:eastAsia="仿宋" w:cs="仿宋"/>
                <w:b/>
                <w:bCs/>
                <w:color w:val="000000"/>
                <w:sz w:val="24"/>
              </w:rPr>
              <w:t>电话：</w:t>
            </w:r>
            <w:r>
              <w:rPr>
                <w:rFonts w:hint="eastAsia" w:ascii="仿宋" w:hAnsi="仿宋" w:eastAsia="仿宋" w:cs="仿宋"/>
                <w:b/>
                <w:bCs/>
                <w:color w:val="000000"/>
                <w:sz w:val="24"/>
                <w:lang w:val="en-US" w:eastAsia="zh-CN"/>
              </w:rPr>
              <w:t>0755-28746468</w:t>
            </w:r>
          </w:p>
        </w:tc>
        <w:tc>
          <w:tcPr>
            <w:tcW w:w="4314" w:type="dxa"/>
            <w:noWrap/>
            <w:vAlign w:val="top"/>
          </w:tcPr>
          <w:p>
            <w:pPr>
              <w:spacing w:line="360" w:lineRule="auto"/>
              <w:rPr>
                <w:rFonts w:ascii="仿宋" w:hAnsi="仿宋" w:eastAsia="仿宋" w:cs="仿宋"/>
                <w:b/>
                <w:bCs/>
                <w:color w:val="000000"/>
                <w:sz w:val="24"/>
              </w:rPr>
            </w:pPr>
            <w:r>
              <w:rPr>
                <w:rFonts w:hint="eastAsia" w:ascii="仿宋" w:hAnsi="仿宋" w:eastAsia="仿宋" w:cs="仿宋"/>
                <w:b/>
                <w:bCs/>
                <w:color w:val="000000"/>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4900" w:type="dxa"/>
            <w:noWrap/>
            <w:vAlign w:val="top"/>
          </w:tcPr>
          <w:p>
            <w:pPr>
              <w:spacing w:line="360" w:lineRule="auto"/>
              <w:rPr>
                <w:rFonts w:ascii="仿宋" w:hAnsi="仿宋" w:eastAsia="仿宋" w:cs="仿宋"/>
                <w:b/>
                <w:bCs/>
                <w:kern w:val="0"/>
                <w:sz w:val="24"/>
              </w:rPr>
            </w:pPr>
            <w:r>
              <w:rPr>
                <w:rFonts w:hint="eastAsia" w:ascii="仿宋" w:hAnsi="仿宋" w:eastAsia="仿宋" w:cs="仿宋"/>
                <w:b/>
                <w:bCs/>
                <w:kern w:val="0"/>
                <w:sz w:val="24"/>
              </w:rPr>
              <w:t>甲方法定代表人（签字）：</w:t>
            </w:r>
          </w:p>
          <w:p>
            <w:pPr>
              <w:pStyle w:val="8"/>
              <w:ind w:firstLine="0" w:firstLineChars="0"/>
            </w:pPr>
          </w:p>
          <w:p>
            <w:pPr>
              <w:spacing w:line="360" w:lineRule="auto"/>
            </w:pPr>
            <w:r>
              <w:rPr>
                <w:rFonts w:hint="eastAsia" w:ascii="仿宋" w:hAnsi="仿宋" w:eastAsia="仿宋" w:cs="仿宋"/>
                <w:b/>
                <w:bCs/>
                <w:kern w:val="0"/>
                <w:sz w:val="24"/>
              </w:rPr>
              <w:t>授权人</w:t>
            </w:r>
          </w:p>
        </w:tc>
        <w:tc>
          <w:tcPr>
            <w:tcW w:w="4314" w:type="dxa"/>
            <w:noWrap/>
            <w:vAlign w:val="top"/>
          </w:tcPr>
          <w:p>
            <w:pPr>
              <w:spacing w:line="360" w:lineRule="auto"/>
            </w:pPr>
            <w:r>
              <w:rPr>
                <w:rFonts w:hint="eastAsia" w:ascii="仿宋" w:hAnsi="仿宋" w:eastAsia="仿宋" w:cs="仿宋"/>
                <w:b/>
                <w:bCs/>
                <w:kern w:val="0"/>
                <w:sz w:val="24"/>
              </w:rPr>
              <w:t>乙方法定代表人（签字）：</w:t>
            </w:r>
          </w:p>
          <w:p>
            <w:pPr>
              <w:pStyle w:val="8"/>
              <w:ind w:firstLine="0" w:firstLineChars="0"/>
            </w:pPr>
          </w:p>
          <w:p>
            <w:pPr>
              <w:spacing w:line="360" w:lineRule="auto"/>
              <w:rPr>
                <w:rFonts w:ascii="仿宋" w:hAnsi="仿宋" w:eastAsia="仿宋" w:cs="仿宋"/>
                <w:b/>
                <w:bCs/>
                <w:kern w:val="0"/>
                <w:sz w:val="24"/>
              </w:rPr>
            </w:pPr>
            <w:r>
              <w:rPr>
                <w:rFonts w:hint="eastAsia" w:ascii="仿宋" w:hAnsi="仿宋" w:eastAsia="仿宋" w:cs="仿宋"/>
                <w:b/>
                <w:bCs/>
                <w:kern w:val="0"/>
                <w:sz w:val="24"/>
              </w:rPr>
              <w:t>授权人（签字）：</w:t>
            </w:r>
          </w:p>
          <w:p>
            <w:pPr>
              <w:pStyle w:val="8"/>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214" w:type="dxa"/>
            <w:gridSpan w:val="2"/>
            <w:noWrap/>
            <w:vAlign w:val="center"/>
          </w:tcPr>
          <w:p>
            <w:pPr>
              <w:spacing w:line="360" w:lineRule="auto"/>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 xml:space="preserve">签约时间：    年  </w:t>
            </w:r>
            <w:r>
              <w:rPr>
                <w:rFonts w:hint="eastAsia" w:ascii="仿宋" w:hAnsi="仿宋" w:eastAsia="仿宋" w:cs="仿宋"/>
                <w:b/>
                <w:bCs/>
                <w:kern w:val="0"/>
                <w:sz w:val="28"/>
                <w:szCs w:val="28"/>
                <w:lang w:val="en-US" w:eastAsia="zh-CN"/>
              </w:rPr>
              <w:t xml:space="preserve"> </w:t>
            </w:r>
            <w:r>
              <w:rPr>
                <w:rFonts w:hint="eastAsia" w:ascii="仿宋" w:hAnsi="仿宋" w:eastAsia="仿宋" w:cs="仿宋"/>
                <w:b/>
                <w:bCs/>
                <w:kern w:val="0"/>
                <w:sz w:val="28"/>
                <w:szCs w:val="28"/>
              </w:rPr>
              <w:t xml:space="preserve">月 </w:t>
            </w:r>
            <w:r>
              <w:rPr>
                <w:rFonts w:hint="eastAsia" w:ascii="仿宋" w:hAnsi="仿宋" w:eastAsia="仿宋" w:cs="仿宋"/>
                <w:b/>
                <w:bCs/>
                <w:kern w:val="0"/>
                <w:sz w:val="28"/>
                <w:szCs w:val="28"/>
                <w:lang w:val="en-US" w:eastAsia="zh-CN"/>
              </w:rPr>
              <w:t xml:space="preserve"> </w:t>
            </w:r>
            <w:r>
              <w:rPr>
                <w:rFonts w:hint="eastAsia" w:ascii="仿宋" w:hAnsi="仿宋" w:eastAsia="仿宋" w:cs="仿宋"/>
                <w:b/>
                <w:bCs/>
                <w:kern w:val="0"/>
                <w:sz w:val="28"/>
                <w:szCs w:val="28"/>
              </w:rPr>
              <w:t xml:space="preserve"> 日</w:t>
            </w:r>
          </w:p>
          <w:p>
            <w:pPr>
              <w:spacing w:line="360" w:lineRule="auto"/>
              <w:jc w:val="center"/>
              <w:rPr>
                <w:rFonts w:ascii="宋体" w:hAnsi="宋体"/>
                <w:kern w:val="0"/>
                <w:sz w:val="24"/>
              </w:rPr>
            </w:pPr>
            <w:r>
              <w:rPr>
                <w:rFonts w:hint="eastAsia" w:ascii="仿宋" w:hAnsi="仿宋" w:eastAsia="仿宋" w:cs="仿宋"/>
                <w:b/>
                <w:bCs/>
                <w:kern w:val="0"/>
                <w:sz w:val="28"/>
                <w:szCs w:val="28"/>
              </w:rPr>
              <w:t>签约地址：深圳市龙岗区第</w:t>
            </w:r>
            <w:r>
              <w:rPr>
                <w:rFonts w:hint="eastAsia" w:ascii="仿宋" w:hAnsi="仿宋" w:eastAsia="仿宋" w:cs="仿宋"/>
                <w:b/>
                <w:bCs/>
                <w:kern w:val="0"/>
                <w:sz w:val="28"/>
                <w:szCs w:val="28"/>
                <w:lang w:val="en-US" w:eastAsia="zh-CN"/>
              </w:rPr>
              <w:t>七</w:t>
            </w:r>
            <w:r>
              <w:rPr>
                <w:rFonts w:hint="eastAsia" w:ascii="仿宋" w:hAnsi="仿宋" w:eastAsia="仿宋" w:cs="仿宋"/>
                <w:b/>
                <w:bCs/>
                <w:kern w:val="0"/>
                <w:sz w:val="28"/>
                <w:szCs w:val="28"/>
              </w:rPr>
              <w:t>人民医院</w:t>
            </w:r>
          </w:p>
        </w:tc>
      </w:tr>
    </w:tbl>
    <w:p>
      <w:pPr>
        <w:tabs>
          <w:tab w:val="left" w:pos="0"/>
        </w:tabs>
        <w:snapToGrid w:val="0"/>
        <w:spacing w:line="480" w:lineRule="exact"/>
        <w:rPr>
          <w:rFonts w:hint="eastAsia" w:ascii="仿宋" w:hAnsi="仿宋" w:eastAsia="仿宋" w:cs="仿宋"/>
          <w:b/>
          <w:bCs/>
          <w:sz w:val="32"/>
          <w:szCs w:val="32"/>
        </w:rPr>
        <w:sectPr>
          <w:pgSz w:w="11906" w:h="16838"/>
          <w:pgMar w:top="2098" w:right="1474" w:bottom="1984" w:left="1587" w:header="851" w:footer="1417" w:gutter="0"/>
          <w:pgNumType w:fmt="numberInDash"/>
          <w:cols w:space="0" w:num="1"/>
          <w:rtlGutter w:val="0"/>
          <w:docGrid w:type="lines" w:linePitch="327" w:charSpace="0"/>
        </w:sect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000000"/>
          <w:kern w:val="0"/>
          <w:sz w:val="44"/>
          <w:szCs w:val="44"/>
          <w:u w:val="none"/>
          <w:lang w:val="en-US" w:eastAsia="zh-CN" w:bidi="ar"/>
        </w:rPr>
      </w:pPr>
      <w:r>
        <w:rPr>
          <w:rFonts w:hint="eastAsia" w:ascii="宋体" w:hAnsi="宋体" w:eastAsia="宋体" w:cs="宋体"/>
          <w:b w:val="0"/>
          <w:bCs w:val="0"/>
          <w:i w:val="0"/>
          <w:iCs w:val="0"/>
          <w:color w:val="000000"/>
          <w:kern w:val="0"/>
          <w:sz w:val="44"/>
          <w:szCs w:val="44"/>
          <w:u w:val="none"/>
          <w:lang w:val="en-US" w:eastAsia="zh-CN" w:bidi="ar"/>
        </w:rPr>
        <w:t>深圳市龙岗区第七人民医院廉洁购销合同</w:t>
      </w:r>
    </w:p>
    <w:p>
      <w:pPr>
        <w:keepNext w:val="0"/>
        <w:keepLines w:val="0"/>
        <w:pageBreakBefore w:val="0"/>
        <w:kinsoku/>
        <w:wordWrap/>
        <w:overflowPunct/>
        <w:topLinePunct w:val="0"/>
        <w:autoSpaceDE/>
        <w:autoSpaceDN/>
        <w:bidi w:val="0"/>
        <w:adjustRightInd/>
        <w:snapToGrid/>
        <w:spacing w:line="560" w:lineRule="exact"/>
        <w:rPr>
          <w:rFonts w:hint="eastAsia" w:ascii="楷体_GB2312" w:hAnsi="ˎ̥" w:eastAsia="楷体_GB2312"/>
          <w:b/>
          <w:sz w:val="32"/>
          <w:szCs w:val="32"/>
        </w:rPr>
      </w:pPr>
    </w:p>
    <w:p>
      <w:pPr>
        <w:keepNext w:val="0"/>
        <w:keepLines w:val="0"/>
        <w:pageBreakBefore w:val="0"/>
        <w:kinsoku/>
        <w:wordWrap/>
        <w:overflowPunct/>
        <w:topLinePunct w:val="0"/>
        <w:autoSpaceDE/>
        <w:autoSpaceDN/>
        <w:bidi w:val="0"/>
        <w:adjustRightInd/>
        <w:snapToGrid/>
        <w:spacing w:line="560" w:lineRule="exact"/>
        <w:rPr>
          <w:rFonts w:hint="eastAsia" w:ascii="仿宋_GB2312" w:hAnsi="ˎ̥" w:eastAsia="仿宋_GB2312"/>
          <w:sz w:val="32"/>
          <w:szCs w:val="32"/>
        </w:rPr>
      </w:pPr>
      <w:r>
        <w:rPr>
          <w:rFonts w:hint="eastAsia" w:ascii="楷体_GB2312" w:hAnsi="ˎ̥" w:eastAsia="楷体_GB2312"/>
          <w:b/>
          <w:sz w:val="32"/>
          <w:szCs w:val="32"/>
        </w:rPr>
        <w:t>甲方</w:t>
      </w:r>
      <w:r>
        <w:rPr>
          <w:rFonts w:hint="eastAsia" w:ascii="仿宋_GB2312" w:hAnsi="ˎ̥" w:eastAsia="仿宋_GB2312"/>
          <w:sz w:val="32"/>
          <w:szCs w:val="32"/>
        </w:rPr>
        <w:t>：深圳市龙岗区第七人民医院</w:t>
      </w:r>
    </w:p>
    <w:p>
      <w:pPr>
        <w:keepNext w:val="0"/>
        <w:keepLines w:val="0"/>
        <w:pageBreakBefore w:val="0"/>
        <w:kinsoku/>
        <w:wordWrap/>
        <w:overflowPunct/>
        <w:topLinePunct w:val="0"/>
        <w:autoSpaceDE/>
        <w:autoSpaceDN/>
        <w:bidi w:val="0"/>
        <w:adjustRightInd/>
        <w:snapToGrid/>
        <w:spacing w:line="560" w:lineRule="exact"/>
        <w:rPr>
          <w:rFonts w:hint="eastAsia" w:ascii="楷体_GB2312" w:hAnsi="ˎ̥" w:eastAsia="楷体_GB2312"/>
          <w:b/>
          <w:sz w:val="32"/>
          <w:szCs w:val="32"/>
        </w:rPr>
      </w:pPr>
      <w:r>
        <w:rPr>
          <w:rFonts w:hint="eastAsia" w:ascii="楷体_GB2312" w:hAnsi="ˎ̥" w:eastAsia="楷体_GB2312"/>
          <w:b/>
          <w:sz w:val="32"/>
          <w:szCs w:val="32"/>
        </w:rPr>
        <w:t>乙方</w:t>
      </w:r>
      <w:r>
        <w:rPr>
          <w:rFonts w:hint="eastAsia" w:ascii="仿宋_GB2312" w:hAnsi="ˎ̥"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rPr>
          <w:rFonts w:hint="eastAsia" w:ascii="楷体_GB2312" w:hAnsi="ˎ̥" w:eastAsia="楷体_GB2312"/>
          <w:b/>
          <w:sz w:val="32"/>
          <w:szCs w:val="32"/>
        </w:rPr>
      </w:pPr>
      <w:r>
        <w:rPr>
          <w:rFonts w:hint="eastAsia" w:ascii="楷体_GB2312" w:hAnsi="ˎ̥" w:eastAsia="楷体_GB2312"/>
          <w:b/>
          <w:sz w:val="32"/>
          <w:szCs w:val="32"/>
        </w:rPr>
        <w:t xml:space="preserve">项目名称：            </w:t>
      </w:r>
    </w:p>
    <w:p>
      <w:pPr>
        <w:keepNext w:val="0"/>
        <w:keepLines w:val="0"/>
        <w:pageBreakBefore w:val="0"/>
        <w:kinsoku/>
        <w:wordWrap/>
        <w:overflowPunct/>
        <w:topLinePunct w:val="0"/>
        <w:autoSpaceDE/>
        <w:autoSpaceDN/>
        <w:bidi w:val="0"/>
        <w:adjustRightInd/>
        <w:snapToGrid/>
        <w:spacing w:line="560" w:lineRule="exact"/>
        <w:rPr>
          <w:rFonts w:hint="eastAsia" w:ascii="楷体_GB2312" w:hAnsi="ˎ̥" w:eastAsia="楷体_GB2312"/>
          <w:sz w:val="32"/>
          <w:szCs w:val="32"/>
        </w:rPr>
      </w:pPr>
      <w:r>
        <w:rPr>
          <w:rFonts w:hint="eastAsia" w:ascii="楷体_GB2312" w:hAnsi="ˎ̥" w:eastAsia="楷体_GB2312"/>
          <w:b/>
          <w:sz w:val="32"/>
          <w:szCs w:val="32"/>
        </w:rPr>
        <w:t>合同总价</w:t>
      </w:r>
      <w:r>
        <w:rPr>
          <w:rFonts w:hint="eastAsia" w:ascii="楷体_GB2312" w:hAnsi="ˎ̥" w:eastAsia="楷体_GB2312"/>
          <w:sz w:val="32"/>
          <w:szCs w:val="32"/>
        </w:rPr>
        <w:t>：</w:t>
      </w:r>
    </w:p>
    <w:p>
      <w:pPr>
        <w:keepNext w:val="0"/>
        <w:keepLines w:val="0"/>
        <w:pageBreakBefore w:val="0"/>
        <w:kinsoku/>
        <w:wordWrap/>
        <w:overflowPunct/>
        <w:topLinePunct w:val="0"/>
        <w:autoSpaceDE/>
        <w:autoSpaceDN/>
        <w:bidi w:val="0"/>
        <w:adjustRightInd/>
        <w:snapToGrid/>
        <w:spacing w:line="560" w:lineRule="exact"/>
        <w:rPr>
          <w:rFonts w:hint="eastAsia" w:ascii="楷体_GB2312" w:hAnsi="ˎ̥" w:eastAsia="楷体_GB2312"/>
          <w:b/>
          <w:sz w:val="32"/>
          <w:szCs w:val="32"/>
        </w:rPr>
      </w:pPr>
      <w:r>
        <w:rPr>
          <w:rFonts w:hint="eastAsia" w:ascii="楷体_GB2312" w:hAnsi="ˎ̥" w:eastAsia="楷体_GB2312"/>
          <w:b/>
          <w:sz w:val="32"/>
          <w:szCs w:val="32"/>
        </w:rPr>
        <w:t>主办科室：</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为进一步加强医疗卫生行风建设，规范购销行为，有效防范商业贿赂，营造公平交易、诚实守信的购销环境，经甲、乙双方协商，同意签订本合同，并共同遵守：</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一、甲乙双方按照《</w:t>
      </w:r>
      <w:r>
        <w:rPr>
          <w:rFonts w:hint="eastAsia" w:ascii="仿宋_GB2312" w:hAnsi="ˎ̥" w:eastAsia="仿宋_GB2312"/>
          <w:sz w:val="32"/>
          <w:szCs w:val="32"/>
          <w:lang w:val="en-US" w:eastAsia="zh-CN"/>
        </w:rPr>
        <w:t>中华人民共和国民法典</w:t>
      </w:r>
      <w:r>
        <w:rPr>
          <w:rFonts w:hint="eastAsia" w:ascii="仿宋_GB2312" w:hAnsi="ˎ̥" w:eastAsia="仿宋_GB2312"/>
          <w:sz w:val="32"/>
          <w:szCs w:val="32"/>
        </w:rPr>
        <w:t>》及产品</w:t>
      </w:r>
      <w:r>
        <w:rPr>
          <w:rFonts w:hint="eastAsia" w:ascii="仿宋_GB2312" w:eastAsia="仿宋_GB2312"/>
          <w:sz w:val="32"/>
          <w:szCs w:val="32"/>
        </w:rPr>
        <w:t>购销合同</w:t>
      </w:r>
      <w:r>
        <w:rPr>
          <w:rFonts w:hint="eastAsia" w:ascii="仿宋_GB2312" w:hAnsi="ˎ̥" w:eastAsia="仿宋_GB2312"/>
          <w:sz w:val="32"/>
          <w:szCs w:val="32"/>
        </w:rPr>
        <w:t>约定实施购销行为。</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二、甲方应当严格执行验收、入库制度，对采购产品及发票进行查验，不得违反有关规定进行合同外采购、违价采购或从非规定渠道采购。</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三、甲方不得接受乙方以任何名义、形式给予的利益输送，不得将接受捐赠资助与采购挂钩。甲方工作人员不得参加乙方安排并支付费用的营业性娱乐场所的娱乐活动，</w:t>
      </w:r>
      <w:r>
        <w:rPr>
          <w:rFonts w:hint="eastAsia" w:ascii="仿宋_GB2312" w:eastAsia="仿宋_GB2312"/>
          <w:sz w:val="32"/>
          <w:szCs w:val="32"/>
        </w:rPr>
        <w:t>不得以任何形式向乙方索要现金、有价证券、支付凭证和贵重礼品等</w:t>
      </w:r>
      <w:r>
        <w:rPr>
          <w:rFonts w:hint="eastAsia" w:ascii="仿宋_GB2312" w:hAnsi="ˎ̥" w:eastAsia="仿宋_GB2312"/>
          <w:sz w:val="32"/>
          <w:szCs w:val="32"/>
        </w:rPr>
        <w:t>。被迫接受乙方给予的钱物，应予退还，无法退还的，有责任如实向纪检监察部门反映情况。</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四、严禁甲方工作人员利用任何途径和方式，非法为乙方统计医师个人及临床科室有关医药产品用量信息，或为乙方统方提供便利。</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eastAsia="仿宋_GB2312"/>
          <w:sz w:val="32"/>
          <w:szCs w:val="32"/>
        </w:rPr>
      </w:pPr>
      <w:r>
        <w:rPr>
          <w:rFonts w:hint="eastAsia" w:ascii="仿宋_GB2312" w:eastAsia="仿宋_GB2312"/>
          <w:sz w:val="32"/>
          <w:szCs w:val="32"/>
        </w:rPr>
        <w:t>五、</w:t>
      </w:r>
      <w:r>
        <w:rPr>
          <w:rFonts w:hint="eastAsia" w:ascii="仿宋_GB2312" w:hAnsi="ˎ̥" w:eastAsia="仿宋_GB2312"/>
          <w:sz w:val="32"/>
          <w:szCs w:val="32"/>
        </w:rPr>
        <w:t>乙方不得以回扣、</w:t>
      </w:r>
      <w:r>
        <w:rPr>
          <w:rFonts w:hint="eastAsia" w:ascii="仿宋_GB2312" w:eastAsia="仿宋_GB2312"/>
          <w:sz w:val="32"/>
          <w:szCs w:val="32"/>
        </w:rPr>
        <w:t>宴请等方式影响甲方工作人员采购或使用医药产品的选择权，不得在学术活动中提供旅游、超标准支付食宿费用，以及其他任何形式的利益输送。</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ˎ̥" w:eastAsia="仿宋_GB2312"/>
          <w:sz w:val="32"/>
          <w:szCs w:val="32"/>
        </w:rPr>
      </w:pPr>
      <w:r>
        <w:rPr>
          <w:rFonts w:hint="eastAsia" w:ascii="仿宋_GB2312" w:eastAsia="仿宋_GB2312"/>
          <w:sz w:val="32"/>
          <w:szCs w:val="32"/>
        </w:rPr>
        <w:t>六、乙方指定</w:t>
      </w:r>
      <w:r>
        <w:rPr>
          <w:rFonts w:hint="eastAsia" w:ascii="仿宋_GB2312" w:eastAsia="仿宋_GB2312"/>
          <w:sz w:val="32"/>
          <w:szCs w:val="32"/>
          <w:u w:val="single"/>
        </w:rPr>
        <w:t xml:space="preserve">        </w:t>
      </w:r>
      <w:r>
        <w:rPr>
          <w:rFonts w:hint="eastAsia" w:ascii="仿宋_GB2312" w:eastAsia="仿宋_GB2312"/>
          <w:sz w:val="32"/>
          <w:szCs w:val="32"/>
        </w:rPr>
        <w:t>作为销售代表洽谈业务。销售代表必须在工作时间到甲方指定地点联系商谈，不得到住院部、门诊部、医技科室等推销医药产品，不得借故到甲方相关领导、部门</w:t>
      </w:r>
      <w:r>
        <w:rPr>
          <w:rFonts w:hint="eastAsia" w:ascii="仿宋_GB2312" w:hAnsi="ˎ̥" w:eastAsia="仿宋_GB2312"/>
          <w:sz w:val="32"/>
          <w:szCs w:val="32"/>
        </w:rPr>
        <w:t>负责人及相关工作人员家中访谈并提供任何好处费。</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eastAsia="仿宋_GB2312"/>
          <w:sz w:val="32"/>
          <w:szCs w:val="32"/>
        </w:rPr>
      </w:pPr>
      <w:r>
        <w:rPr>
          <w:rFonts w:hint="eastAsia" w:ascii="仿宋_GB2312" w:eastAsia="仿宋_GB2312"/>
          <w:sz w:val="32"/>
          <w:szCs w:val="32"/>
        </w:rPr>
        <w:t>七、</w:t>
      </w:r>
      <w:r>
        <w:rPr>
          <w:rFonts w:hint="eastAsia" w:ascii="仿宋_GB2312" w:hAnsi="ˎ̥" w:eastAsia="仿宋_GB2312"/>
          <w:sz w:val="32"/>
          <w:szCs w:val="32"/>
        </w:rPr>
        <w:t>乙方如违反本合同，一经发现，</w:t>
      </w:r>
      <w:r>
        <w:rPr>
          <w:rFonts w:hint="eastAsia" w:ascii="仿宋_GB2312" w:eastAsia="仿宋_GB2312"/>
          <w:sz w:val="32"/>
          <w:szCs w:val="32"/>
        </w:rPr>
        <w:t>甲方有权终止产品购销合同，并向有关部门报告。如乙方被列入商业贿赂不良记录，则严格按照《国家</w:t>
      </w:r>
      <w:r>
        <w:rPr>
          <w:rFonts w:ascii="仿宋_GB2312" w:eastAsia="仿宋_GB2312"/>
          <w:sz w:val="32"/>
          <w:szCs w:val="32"/>
        </w:rPr>
        <w:t>卫生计生委关于建立医药购销领域商业贿赂不良记录的规定</w:t>
      </w:r>
      <w:r>
        <w:rPr>
          <w:rFonts w:hint="eastAsia" w:ascii="仿宋_GB2312" w:eastAsia="仿宋_GB2312"/>
          <w:sz w:val="32"/>
          <w:szCs w:val="32"/>
        </w:rPr>
        <w:t>》</w:t>
      </w:r>
      <w:r>
        <w:rPr>
          <w:rFonts w:eastAsia="仿宋_GB2312"/>
          <w:color w:val="000000"/>
          <w:sz w:val="32"/>
          <w:szCs w:val="32"/>
          <w:shd w:val="clear" w:color="auto" w:fill="FFFFFF"/>
        </w:rPr>
        <w:t>（国卫法制发〔2013〕50号）</w:t>
      </w:r>
      <w:r>
        <w:rPr>
          <w:rFonts w:hint="eastAsia" w:ascii="仿宋_GB2312" w:eastAsia="仿宋_GB2312"/>
          <w:sz w:val="32"/>
          <w:szCs w:val="32"/>
        </w:rPr>
        <w:t>相关规定处理。</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eastAsia="仿宋_GB2312"/>
          <w:sz w:val="32"/>
          <w:szCs w:val="32"/>
        </w:rPr>
      </w:pPr>
      <w:r>
        <w:rPr>
          <w:rFonts w:hint="eastAsia" w:ascii="仿宋_GB2312" w:hAnsi="ˎ̥" w:eastAsia="仿宋_GB2312"/>
          <w:sz w:val="32"/>
          <w:szCs w:val="32"/>
        </w:rPr>
        <w:t>八、</w:t>
      </w:r>
      <w:r>
        <w:rPr>
          <w:rFonts w:hint="eastAsia" w:ascii="仿宋_GB2312" w:eastAsia="仿宋_GB2312"/>
          <w:sz w:val="32"/>
          <w:szCs w:val="32"/>
        </w:rPr>
        <w:t>本合同作为产品购销合同的组成部分，与购销合同一并执行，具有同等的法律效力。</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eastAsia="仿宋_GB2312"/>
          <w:sz w:val="32"/>
          <w:szCs w:val="32"/>
        </w:rPr>
      </w:pPr>
      <w:r>
        <w:rPr>
          <w:rFonts w:hint="eastAsia" w:ascii="仿宋_GB2312" w:eastAsia="仿宋_GB2312"/>
          <w:sz w:val="32"/>
          <w:szCs w:val="32"/>
        </w:rPr>
        <w:t>九、本合同一式叁份，甲方贰份（一份随购销主合同存档，一份交医院纪检监察部门），乙方壹份，从签订之日起生效。</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rPr>
          <w:rFonts w:ascii="楷体_GB2312" w:eastAsia="楷体_GB2312"/>
          <w:b/>
          <w:sz w:val="32"/>
          <w:szCs w:val="32"/>
        </w:rPr>
      </w:pPr>
      <w:r>
        <w:rPr>
          <w:rFonts w:hint="eastAsia" w:ascii="楷体_GB2312" w:eastAsia="楷体_GB2312"/>
          <w:b/>
          <w:sz w:val="32"/>
          <w:szCs w:val="32"/>
        </w:rPr>
        <w:t>甲方（盖章）：                  乙方（盖章）：</w:t>
      </w:r>
    </w:p>
    <w:p>
      <w:pPr>
        <w:keepNext w:val="0"/>
        <w:keepLines w:val="0"/>
        <w:pageBreakBefore w:val="0"/>
        <w:kinsoku/>
        <w:wordWrap/>
        <w:overflowPunct/>
        <w:topLinePunct w:val="0"/>
        <w:autoSpaceDE/>
        <w:autoSpaceDN/>
        <w:bidi w:val="0"/>
        <w:adjustRightInd/>
        <w:snapToGrid/>
        <w:spacing w:line="560" w:lineRule="exact"/>
        <w:rPr>
          <w:rFonts w:ascii="楷体_GB2312" w:eastAsia="楷体_GB2312"/>
          <w:b/>
          <w:sz w:val="32"/>
          <w:szCs w:val="32"/>
        </w:rPr>
      </w:pPr>
      <w:r>
        <w:rPr>
          <w:rFonts w:hint="eastAsia" w:ascii="楷体_GB2312" w:eastAsia="楷体_GB2312"/>
          <w:b/>
          <w:sz w:val="32"/>
          <w:szCs w:val="32"/>
        </w:rPr>
        <w:t>法定代表人（</w:t>
      </w:r>
      <w:r>
        <w:rPr>
          <w:rFonts w:ascii="楷体_GB2312" w:eastAsia="楷体_GB2312"/>
          <w:b/>
          <w:sz w:val="32"/>
          <w:szCs w:val="32"/>
        </w:rPr>
        <w:t>负责人</w:t>
      </w:r>
      <w:r>
        <w:rPr>
          <w:rFonts w:hint="eastAsia" w:ascii="楷体_GB2312" w:eastAsia="楷体_GB2312"/>
          <w:b/>
          <w:sz w:val="32"/>
          <w:szCs w:val="32"/>
        </w:rPr>
        <w:t>）：          法定代表人（</w:t>
      </w:r>
      <w:r>
        <w:rPr>
          <w:rFonts w:ascii="楷体_GB2312" w:eastAsia="楷体_GB2312"/>
          <w:b/>
          <w:sz w:val="32"/>
          <w:szCs w:val="32"/>
        </w:rPr>
        <w:t>负责人</w:t>
      </w:r>
      <w:r>
        <w:rPr>
          <w:rFonts w:hint="eastAsia" w:ascii="楷体_GB2312" w:eastAsia="楷体_GB2312"/>
          <w:b/>
          <w:sz w:val="32"/>
          <w:szCs w:val="32"/>
        </w:rPr>
        <w:t>）：</w:t>
      </w:r>
    </w:p>
    <w:p>
      <w:pPr>
        <w:keepNext w:val="0"/>
        <w:keepLines w:val="0"/>
        <w:pageBreakBefore w:val="0"/>
        <w:kinsoku/>
        <w:wordWrap/>
        <w:overflowPunct/>
        <w:topLinePunct w:val="0"/>
        <w:autoSpaceDE/>
        <w:autoSpaceDN/>
        <w:bidi w:val="0"/>
        <w:adjustRightInd/>
        <w:snapToGrid/>
        <w:spacing w:line="560" w:lineRule="exact"/>
        <w:rPr>
          <w:rFonts w:hint="eastAsia"/>
        </w:rPr>
      </w:pPr>
      <w:r>
        <w:rPr>
          <w:rFonts w:hint="eastAsia" w:ascii="楷体_GB2312" w:eastAsia="楷体_GB2312"/>
          <w:b/>
          <w:sz w:val="32"/>
          <w:szCs w:val="32"/>
        </w:rPr>
        <w:t>委托代理人签名：               经办人签名：</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宋体" w:hAnsi="宋体" w:eastAsia="宋体" w:cs="宋体"/>
          <w:b w:val="0"/>
          <w:bCs w:val="0"/>
          <w:i w:val="0"/>
          <w:iCs w:val="0"/>
          <w:color w:val="000000"/>
          <w:kern w:val="0"/>
          <w:sz w:val="44"/>
          <w:szCs w:val="44"/>
          <w:u w:val="none"/>
          <w:lang w:val="en-US" w:eastAsia="zh-CN" w:bidi="ar"/>
        </w:rPr>
      </w:pPr>
      <w:r>
        <w:rPr>
          <w:rFonts w:hint="eastAsia" w:ascii="仿宋_GB2312" w:eastAsia="仿宋_GB2312"/>
          <w:sz w:val="32"/>
          <w:szCs w:val="32"/>
        </w:rPr>
        <w:t>年    月   日                 年    月   日</w:t>
      </w:r>
    </w:p>
    <w:p>
      <w:pPr>
        <w:keepNext w:val="0"/>
        <w:keepLines w:val="0"/>
        <w:pageBreakBefore w:val="0"/>
        <w:widowControl/>
        <w:suppressLineNumbers w:val="0"/>
        <w:kinsoku/>
        <w:wordWrap/>
        <w:overflowPunct/>
        <w:topLinePunct w:val="0"/>
        <w:autoSpaceDE/>
        <w:autoSpaceDN/>
        <w:bidi w:val="0"/>
        <w:adjustRightInd/>
        <w:snapToGrid/>
        <w:spacing w:line="440" w:lineRule="exact"/>
        <w:ind w:right="0"/>
        <w:jc w:val="center"/>
        <w:textAlignment w:val="center"/>
        <w:rPr>
          <w:rFonts w:hint="eastAsia" w:ascii="宋体" w:hAnsi="宋体" w:eastAsia="宋体" w:cs="宋体"/>
          <w:b w:val="0"/>
          <w:bCs w:val="0"/>
          <w:i w:val="0"/>
          <w:iCs w:val="0"/>
          <w:color w:val="000000"/>
          <w:kern w:val="0"/>
          <w:sz w:val="44"/>
          <w:szCs w:val="44"/>
          <w:u w:val="none"/>
          <w:lang w:val="en-US" w:eastAsia="zh-CN" w:bidi="ar"/>
        </w:rPr>
      </w:pPr>
      <w:r>
        <w:rPr>
          <w:rFonts w:hint="eastAsia" w:ascii="宋体" w:hAnsi="宋体" w:eastAsia="宋体" w:cs="宋体"/>
          <w:b w:val="0"/>
          <w:bCs w:val="0"/>
          <w:i w:val="0"/>
          <w:iCs w:val="0"/>
          <w:color w:val="000000"/>
          <w:kern w:val="0"/>
          <w:sz w:val="44"/>
          <w:szCs w:val="44"/>
          <w:u w:val="none"/>
          <w:lang w:val="en-US" w:eastAsia="zh-CN" w:bidi="ar"/>
        </w:rPr>
        <w:t>龙岗区进一步规范政商交往行为告知书</w:t>
      </w:r>
    </w:p>
    <w:p>
      <w:pPr>
        <w:keepNext w:val="0"/>
        <w:keepLines w:val="0"/>
        <w:pageBreakBefore w:val="0"/>
        <w:kinsoku/>
        <w:wordWrap/>
        <w:overflowPunct/>
        <w:topLinePunct w:val="0"/>
        <w:autoSpaceDE/>
        <w:autoSpaceDN/>
        <w:bidi w:val="0"/>
        <w:adjustRightInd/>
        <w:snapToGrid/>
        <w:spacing w:line="440" w:lineRule="exact"/>
        <w:ind w:right="0"/>
        <w:rPr>
          <w:rFonts w:ascii="宋体" w:hAnsi="宋体" w:cs="宋体"/>
          <w:sz w:val="28"/>
          <w:szCs w:val="28"/>
        </w:rPr>
      </w:pPr>
    </w:p>
    <w:p>
      <w:pPr>
        <w:keepNext w:val="0"/>
        <w:keepLines w:val="0"/>
        <w:pageBreakBefore w:val="0"/>
        <w:kinsoku/>
        <w:wordWrap/>
        <w:overflowPunct/>
        <w:topLinePunct w:val="0"/>
        <w:autoSpaceDE/>
        <w:autoSpaceDN/>
        <w:bidi w:val="0"/>
        <w:adjustRightInd/>
        <w:snapToGrid/>
        <w:spacing w:line="440" w:lineRule="exac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为深入构建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清</w:t>
      </w:r>
      <w:r>
        <w:rPr>
          <w:rFonts w:hint="eastAsia" w:ascii="仿宋_GB2312" w:hAnsi="仿宋_GB2312" w:eastAsia="仿宋_GB2312" w:cs="仿宋_GB2312"/>
          <w:sz w:val="32"/>
          <w:szCs w:val="32"/>
          <w:lang w:eastAsia="zh-CN"/>
        </w:rPr>
        <w:t>”</w:t>
      </w:r>
      <w:bookmarkStart w:id="2" w:name="_GoBack"/>
      <w:bookmarkEnd w:id="2"/>
      <w:r>
        <w:rPr>
          <w:rFonts w:hint="eastAsia" w:ascii="仿宋_GB2312" w:hAnsi="仿宋_GB2312" w:eastAsia="仿宋_GB2312" w:cs="仿宋_GB2312"/>
          <w:sz w:val="32"/>
          <w:szCs w:val="32"/>
        </w:rPr>
        <w:t>新型政商关系，努力打造尊商、亲商、助商、安商良好营商环境，龙岗区委区政府制定了《龙岗区公职人员政商交往“十个不准”》，严明公职人员在政商交往中的纪律要求。 请参与龙岗建设的广大企业及其从业人员，严格监督我区公职人员落实“十个不准”，并在与我区公职人员交往中切实做到“十个不得”。</w:t>
      </w:r>
    </w:p>
    <w:p>
      <w:pPr>
        <w:keepNext w:val="0"/>
        <w:keepLines w:val="0"/>
        <w:pageBreakBefore w:val="0"/>
        <w:kinsoku/>
        <w:wordWrap/>
        <w:overflowPunct/>
        <w:topLinePunct w:val="0"/>
        <w:autoSpaceDE/>
        <w:autoSpaceDN/>
        <w:bidi w:val="0"/>
        <w:adjustRightInd/>
        <w:snapToGrid/>
        <w:spacing w:line="440" w:lineRule="exac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一、不得向公职人员赠送礼品、礼金、消费卡等财物。</w:t>
      </w:r>
    </w:p>
    <w:p>
      <w:pPr>
        <w:keepNext w:val="0"/>
        <w:keepLines w:val="0"/>
        <w:pageBreakBefore w:val="0"/>
        <w:kinsoku/>
        <w:wordWrap/>
        <w:overflowPunct/>
        <w:topLinePunct w:val="0"/>
        <w:autoSpaceDE/>
        <w:autoSpaceDN/>
        <w:bidi w:val="0"/>
        <w:adjustRightInd/>
        <w:snapToGrid/>
        <w:spacing w:line="440" w:lineRule="exac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二、不得违规向公职人员提供宴请、旅游、娱乐等安排。</w:t>
      </w:r>
    </w:p>
    <w:p>
      <w:pPr>
        <w:keepNext w:val="0"/>
        <w:keepLines w:val="0"/>
        <w:pageBreakBefore w:val="0"/>
        <w:kinsoku/>
        <w:wordWrap/>
        <w:overflowPunct/>
        <w:topLinePunct w:val="0"/>
        <w:autoSpaceDE/>
        <w:autoSpaceDN/>
        <w:bidi w:val="0"/>
        <w:adjustRightInd/>
        <w:snapToGrid/>
        <w:spacing w:line="440" w:lineRule="exac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三、不得通过打麻将等形式向公职人员输送利益。</w:t>
      </w:r>
    </w:p>
    <w:p>
      <w:pPr>
        <w:keepNext w:val="0"/>
        <w:keepLines w:val="0"/>
        <w:pageBreakBefore w:val="0"/>
        <w:kinsoku/>
        <w:wordWrap/>
        <w:overflowPunct/>
        <w:topLinePunct w:val="0"/>
        <w:autoSpaceDE/>
        <w:autoSpaceDN/>
        <w:bidi w:val="0"/>
        <w:adjustRightInd/>
        <w:snapToGrid/>
        <w:spacing w:line="440" w:lineRule="exac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四、不得为公职人员报销应由其个人支付的费用。</w:t>
      </w:r>
    </w:p>
    <w:p>
      <w:pPr>
        <w:keepNext w:val="0"/>
        <w:keepLines w:val="0"/>
        <w:pageBreakBefore w:val="0"/>
        <w:kinsoku/>
        <w:wordWrap/>
        <w:overflowPunct/>
        <w:topLinePunct w:val="0"/>
        <w:autoSpaceDE/>
        <w:autoSpaceDN/>
        <w:bidi w:val="0"/>
        <w:adjustRightInd/>
        <w:snapToGrid/>
        <w:spacing w:line="440" w:lineRule="exac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五、不得违规向公职人员及其亲友借贷款。</w:t>
      </w:r>
    </w:p>
    <w:p>
      <w:pPr>
        <w:keepNext w:val="0"/>
        <w:keepLines w:val="0"/>
        <w:pageBreakBefore w:val="0"/>
        <w:kinsoku/>
        <w:wordWrap/>
        <w:overflowPunct/>
        <w:topLinePunct w:val="0"/>
        <w:autoSpaceDE/>
        <w:autoSpaceDN/>
        <w:bidi w:val="0"/>
        <w:adjustRightInd/>
        <w:snapToGrid/>
        <w:spacing w:line="440" w:lineRule="exac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六、不得违规将车辆、住房等借给公职人员使用。</w:t>
      </w:r>
    </w:p>
    <w:p>
      <w:pPr>
        <w:keepNext w:val="0"/>
        <w:keepLines w:val="0"/>
        <w:pageBreakBefore w:val="0"/>
        <w:kinsoku/>
        <w:wordWrap/>
        <w:overflowPunct/>
        <w:topLinePunct w:val="0"/>
        <w:autoSpaceDE/>
        <w:autoSpaceDN/>
        <w:bidi w:val="0"/>
        <w:adjustRightInd/>
        <w:snapToGrid/>
        <w:spacing w:line="440" w:lineRule="exac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七、不得在招投标中与公职人员搞暗箱操作、围标串标。</w:t>
      </w:r>
    </w:p>
    <w:p>
      <w:pPr>
        <w:keepNext w:val="0"/>
        <w:keepLines w:val="0"/>
        <w:pageBreakBefore w:val="0"/>
        <w:kinsoku/>
        <w:wordWrap/>
        <w:overflowPunct/>
        <w:topLinePunct w:val="0"/>
        <w:autoSpaceDE/>
        <w:autoSpaceDN/>
        <w:bidi w:val="0"/>
        <w:adjustRightInd/>
        <w:snapToGrid/>
        <w:spacing w:line="440" w:lineRule="exac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八、不得为利益相关人和公职人员牵线搭桥或者代为传递信息、传递财物。</w:t>
      </w:r>
    </w:p>
    <w:p>
      <w:pPr>
        <w:keepNext w:val="0"/>
        <w:keepLines w:val="0"/>
        <w:pageBreakBefore w:val="0"/>
        <w:kinsoku/>
        <w:wordWrap/>
        <w:overflowPunct/>
        <w:topLinePunct w:val="0"/>
        <w:autoSpaceDE/>
        <w:autoSpaceDN/>
        <w:bidi w:val="0"/>
        <w:adjustRightInd/>
        <w:snapToGrid/>
        <w:spacing w:line="440" w:lineRule="exac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九、不得让公职人员在企业违规兼职取酬。</w:t>
      </w:r>
    </w:p>
    <w:p>
      <w:pPr>
        <w:keepNext w:val="0"/>
        <w:keepLines w:val="0"/>
        <w:pageBreakBefore w:val="0"/>
        <w:kinsoku/>
        <w:wordWrap/>
        <w:overflowPunct/>
        <w:topLinePunct w:val="0"/>
        <w:autoSpaceDE/>
        <w:autoSpaceDN/>
        <w:bidi w:val="0"/>
        <w:adjustRightInd/>
        <w:snapToGrid/>
        <w:spacing w:line="440" w:lineRule="exac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十、不得为公职人员亲友违规承揽业务提供便利。</w:t>
      </w:r>
    </w:p>
    <w:p>
      <w:pPr>
        <w:keepNext w:val="0"/>
        <w:keepLines w:val="0"/>
        <w:pageBreakBefore w:val="0"/>
        <w:kinsoku/>
        <w:wordWrap/>
        <w:overflowPunct/>
        <w:topLinePunct w:val="0"/>
        <w:autoSpaceDE/>
        <w:autoSpaceDN/>
        <w:bidi w:val="0"/>
        <w:adjustRightInd/>
        <w:snapToGrid/>
        <w:spacing w:line="440" w:lineRule="exac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上述“十个不得”，请您严格遵守。同时，在政商交往中， 如有发现我区公职人员存在违反“十个不准”的问题，请及时通过网络举报平台或者 12388 举报电话等方式，向纪检监察机关反映举报，我们将一律严格保密、一律优先处置、一律严肃查处。</w:t>
      </w:r>
    </w:p>
    <w:p>
      <w:pPr>
        <w:keepNext w:val="0"/>
        <w:keepLines w:val="0"/>
        <w:pageBreakBefore w:val="0"/>
        <w:kinsoku/>
        <w:wordWrap/>
        <w:overflowPunct/>
        <w:topLinePunct w:val="0"/>
        <w:autoSpaceDE/>
        <w:autoSpaceDN/>
        <w:bidi w:val="0"/>
        <w:adjustRightInd/>
        <w:snapToGrid/>
        <w:spacing w:line="440" w:lineRule="exac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本人已知晓上述告知内容，并愿意遵照执行（签名）：</w:t>
      </w:r>
    </w:p>
    <w:p>
      <w:pPr>
        <w:keepNext w:val="0"/>
        <w:keepLines w:val="0"/>
        <w:pageBreakBefore w:val="0"/>
        <w:kinsoku/>
        <w:wordWrap/>
        <w:overflowPunct/>
        <w:topLinePunct w:val="0"/>
        <w:autoSpaceDE/>
        <w:autoSpaceDN/>
        <w:bidi w:val="0"/>
        <w:adjustRightInd/>
        <w:snapToGrid/>
        <w:spacing w:line="440" w:lineRule="exact"/>
        <w:ind w:right="0" w:firstLine="5760" w:firstLineChars="18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p>
    <w:p>
      <w:pPr>
        <w:keepNext w:val="0"/>
        <w:keepLines w:val="0"/>
        <w:pageBreakBefore w:val="0"/>
        <w:kinsoku/>
        <w:wordWrap/>
        <w:overflowPunct/>
        <w:topLinePunct w:val="0"/>
        <w:autoSpaceDE/>
        <w:autoSpaceDN/>
        <w:bidi w:val="0"/>
        <w:adjustRightInd/>
        <w:snapToGrid/>
        <w:spacing w:line="440" w:lineRule="exact"/>
        <w:ind w:right="0" w:firstLine="4480" w:firstLineChars="1400"/>
        <w:rPr>
          <w:rFonts w:hint="eastAsia" w:ascii="仿宋_GB2312" w:hAnsi="仿宋_GB2312" w:eastAsia="仿宋_GB2312" w:cs="仿宋_GB2312"/>
          <w:sz w:val="32"/>
          <w:szCs w:val="32"/>
        </w:rPr>
      </w:pPr>
    </w:p>
    <w:p>
      <w:pPr>
        <w:pStyle w:val="11"/>
        <w:keepNext w:val="0"/>
        <w:keepLines w:val="0"/>
        <w:pageBreakBefore w:val="0"/>
        <w:kinsoku/>
        <w:wordWrap/>
        <w:overflowPunct/>
        <w:topLinePunct w:val="0"/>
        <w:autoSpaceDE/>
        <w:autoSpaceDN/>
        <w:bidi w:val="0"/>
        <w:adjustRightInd/>
        <w:snapToGrid/>
        <w:spacing w:line="440" w:lineRule="exact"/>
        <w:ind w:right="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单位名称（盖章）：</w:t>
      </w:r>
    </w:p>
    <w:p>
      <w:pPr>
        <w:pStyle w:val="11"/>
        <w:keepNext w:val="0"/>
        <w:keepLines w:val="0"/>
        <w:pageBreakBefore w:val="0"/>
        <w:kinsoku/>
        <w:wordWrap/>
        <w:overflowPunct/>
        <w:topLinePunct w:val="0"/>
        <w:autoSpaceDE/>
        <w:autoSpaceDN/>
        <w:bidi w:val="0"/>
        <w:adjustRightInd/>
        <w:snapToGrid/>
        <w:spacing w:line="440" w:lineRule="exact"/>
        <w:ind w:right="0"/>
        <w:jc w:val="center"/>
        <w:rPr>
          <w:rFonts w:hint="eastAsia" w:ascii="仿宋" w:hAnsi="仿宋" w:eastAsia="仿宋" w:cs="仿宋"/>
          <w:color w:val="auto"/>
          <w:sz w:val="28"/>
          <w:szCs w:val="28"/>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  月  日</w:t>
      </w:r>
    </w:p>
    <w:sectPr>
      <w:headerReference r:id="rId5" w:type="default"/>
      <w:footerReference r:id="rId6" w:type="default"/>
      <w:pgSz w:w="11906" w:h="16838"/>
      <w:pgMar w:top="2098" w:right="1474" w:bottom="1984" w:left="1587" w:header="851" w:footer="1417" w:gutter="0"/>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3"/>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47</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s84UPXAQAAsQ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1TssjLMOEkTmPvyYrDbpiI&#10;7lx7Qp49LkRDLe4/JfqTRb3T7sxGmI3dbBx8UPsuL1eqBf7DIWJzuedUYYRFrsnBSWbW09alVXnq&#10;56zHP23z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AbPOFD1wEAALEDAAAOAAAAAAAAAAEA&#10;IAAAACIBAABkcnMvZTJvRG9jLnhtbFBLBQYAAAAABgAGAFkBAABrBQAAAAA=&#10;">
              <v:fill on="f" focussize="0,0"/>
              <v:stroke on="f" weight="1.25pt"/>
              <v:imagedata o:title=""/>
              <o:lock v:ext="edit" aspectratio="f"/>
              <v:textbox inset="0mm,0mm,0mm,0mm" style="mso-fit-shape-to-text:t;">
                <w:txbxContent>
                  <w:p>
                    <w:pPr>
                      <w:pStyle w:val="13"/>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47</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6205" cy="139700"/>
              <wp:effectExtent l="0" t="0" r="0" b="0"/>
              <wp:wrapNone/>
              <wp:docPr id="1" name="文本框 1038"/>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15875">
                        <a:noFill/>
                      </a:ln>
                      <a:effectLst/>
                    </wps:spPr>
                    <wps:txbx>
                      <w:txbxContent>
                        <w:p>
                          <w:pPr>
                            <w:pStyle w:val="13"/>
                          </w:pPr>
                          <w:r>
                            <w:fldChar w:fldCharType="begin"/>
                          </w:r>
                          <w:r>
                            <w:instrText xml:space="preserve"> PAGE  \* MERGEFORMAT </w:instrText>
                          </w:r>
                          <w:r>
                            <w:fldChar w:fldCharType="separate"/>
                          </w:r>
                          <w:r>
                            <w:t>13</w:t>
                          </w:r>
                          <w:r>
                            <w:fldChar w:fldCharType="end"/>
                          </w:r>
                        </w:p>
                      </w:txbxContent>
                    </wps:txbx>
                    <wps:bodyPr wrap="none" lIns="0" tIns="0" rIns="0" bIns="0">
                      <a:spAutoFit/>
                    </wps:bodyPr>
                  </wps:wsp>
                </a:graphicData>
              </a:graphic>
            </wp:anchor>
          </w:drawing>
        </mc:Choice>
        <mc:Fallback>
          <w:pict>
            <v:shape id="文本框 1038" o:spid="_x0000_s1026" o:spt="202" type="#_x0000_t202" style="position:absolute;left:0pt;margin-top:0pt;height:11pt;width:9.15pt;mso-position-horizontal:outside;mso-position-horizontal-relative:margin;mso-wrap-style:none;z-index:251659264;mso-width-relative:page;mso-height-relative:page;" filled="f" stroked="f" coordsize="21600,21600" o:gfxdata="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Bccv3dQAAAADAQAADwAAAAAAAAABACAA&#10;AAAiAAAAZHJzL2Rvd25yZXYueG1sUEsBAhQAFAAAAAgAh07iQHZGHzHYAQAApgMAAA4AAAAAAAAA&#10;AQAgAAAAIwEAAGRycy9lMm9Eb2MueG1sUEsFBgAAAAAGAAYAWQEAAG0FAAAAAA==&#10;">
              <v:fill on="f" focussize="0,0"/>
              <v:stroke on="f" weight="1.2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1F8018"/>
    <w:multiLevelType w:val="singleLevel"/>
    <w:tmpl w:val="BC1F8018"/>
    <w:lvl w:ilvl="0" w:tentative="0">
      <w:start w:val="2"/>
      <w:numFmt w:val="chineseCounting"/>
      <w:suff w:val="nothing"/>
      <w:lvlText w:val="%1、"/>
      <w:lvlJc w:val="left"/>
      <w:rPr>
        <w:rFonts w:hint="eastAsia"/>
      </w:rPr>
    </w:lvl>
  </w:abstractNum>
  <w:abstractNum w:abstractNumId="1">
    <w:nsid w:val="EB9A6AC7"/>
    <w:multiLevelType w:val="singleLevel"/>
    <w:tmpl w:val="EB9A6AC7"/>
    <w:lvl w:ilvl="0" w:tentative="0">
      <w:start w:val="1"/>
      <w:numFmt w:val="decimal"/>
      <w:lvlText w:val="%1."/>
      <w:lvlJc w:val="left"/>
      <w:pPr>
        <w:tabs>
          <w:tab w:val="left" w:pos="312"/>
        </w:tabs>
      </w:pPr>
    </w:lvl>
  </w:abstractNum>
  <w:abstractNum w:abstractNumId="2">
    <w:nsid w:val="02E82962"/>
    <w:multiLevelType w:val="multilevel"/>
    <w:tmpl w:val="02E829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3CFC27C"/>
    <w:multiLevelType w:val="singleLevel"/>
    <w:tmpl w:val="13CFC27C"/>
    <w:lvl w:ilvl="0" w:tentative="0">
      <w:start w:val="4"/>
      <w:numFmt w:val="chineseCounting"/>
      <w:suff w:val="nothing"/>
      <w:lvlText w:val="%1、"/>
      <w:lvlJc w:val="left"/>
      <w:rPr>
        <w:rFonts w:hint="eastAsia"/>
      </w:rPr>
    </w:lvl>
  </w:abstractNum>
  <w:abstractNum w:abstractNumId="4">
    <w:nsid w:val="1E60E62B"/>
    <w:multiLevelType w:val="singleLevel"/>
    <w:tmpl w:val="1E60E62B"/>
    <w:lvl w:ilvl="0" w:tentative="0">
      <w:start w:val="1"/>
      <w:numFmt w:val="decimal"/>
      <w:suff w:val="nothing"/>
      <w:lvlText w:val="（%1）"/>
      <w:lvlJc w:val="left"/>
    </w:lvl>
  </w:abstractNum>
  <w:abstractNum w:abstractNumId="5">
    <w:nsid w:val="22B7BE7E"/>
    <w:multiLevelType w:val="singleLevel"/>
    <w:tmpl w:val="22B7BE7E"/>
    <w:lvl w:ilvl="0" w:tentative="0">
      <w:start w:val="3"/>
      <w:numFmt w:val="chineseCounting"/>
      <w:suff w:val="nothing"/>
      <w:lvlText w:val="（%1）"/>
      <w:lvlJc w:val="left"/>
      <w:rPr>
        <w:rFonts w:hint="eastAsia"/>
      </w:rPr>
    </w:lvl>
  </w:abstractNum>
  <w:abstractNum w:abstractNumId="6">
    <w:nsid w:val="26ADB14C"/>
    <w:multiLevelType w:val="singleLevel"/>
    <w:tmpl w:val="26ADB14C"/>
    <w:lvl w:ilvl="0" w:tentative="0">
      <w:start w:val="2"/>
      <w:numFmt w:val="chineseCounting"/>
      <w:suff w:val="nothing"/>
      <w:lvlText w:val="（%1）"/>
      <w:lvlJc w:val="left"/>
      <w:rPr>
        <w:rFonts w:hint="eastAsia"/>
      </w:rPr>
    </w:lvl>
  </w:abstractNum>
  <w:abstractNum w:abstractNumId="7">
    <w:nsid w:val="423D1CA3"/>
    <w:multiLevelType w:val="singleLevel"/>
    <w:tmpl w:val="423D1CA3"/>
    <w:lvl w:ilvl="0" w:tentative="0">
      <w:start w:val="1"/>
      <w:numFmt w:val="decimal"/>
      <w:suff w:val="nothing"/>
      <w:lvlText w:val="（%1）"/>
      <w:lvlJc w:val="left"/>
    </w:lvl>
  </w:abstractNum>
  <w:abstractNum w:abstractNumId="8">
    <w:nsid w:val="5874376B"/>
    <w:multiLevelType w:val="singleLevel"/>
    <w:tmpl w:val="5874376B"/>
    <w:lvl w:ilvl="0" w:tentative="0">
      <w:start w:val="1"/>
      <w:numFmt w:val="decimal"/>
      <w:lvlText w:val="%1."/>
      <w:lvlJc w:val="left"/>
      <w:pPr>
        <w:ind w:left="425" w:hanging="425"/>
      </w:pPr>
      <w:rPr>
        <w:rFonts w:hint="default"/>
      </w:rPr>
    </w:lvl>
  </w:abstractNum>
  <w:abstractNum w:abstractNumId="9">
    <w:nsid w:val="58A3C9C7"/>
    <w:multiLevelType w:val="singleLevel"/>
    <w:tmpl w:val="58A3C9C7"/>
    <w:lvl w:ilvl="0" w:tentative="0">
      <w:start w:val="1"/>
      <w:numFmt w:val="decimal"/>
      <w:suff w:val="space"/>
      <w:lvlText w:val="%1."/>
      <w:lvlJc w:val="left"/>
    </w:lvl>
  </w:abstractNum>
  <w:abstractNum w:abstractNumId="10">
    <w:nsid w:val="58C64E55"/>
    <w:multiLevelType w:val="singleLevel"/>
    <w:tmpl w:val="58C64E55"/>
    <w:lvl w:ilvl="0" w:tentative="0">
      <w:start w:val="1"/>
      <w:numFmt w:val="decimal"/>
      <w:lvlText w:val="%1."/>
      <w:lvlJc w:val="left"/>
      <w:pPr>
        <w:ind w:left="425" w:hanging="425"/>
      </w:pPr>
      <w:rPr>
        <w:rFonts w:hint="default"/>
      </w:rPr>
    </w:lvl>
  </w:abstractNum>
  <w:abstractNum w:abstractNumId="11">
    <w:nsid w:val="69B7580B"/>
    <w:multiLevelType w:val="singleLevel"/>
    <w:tmpl w:val="69B7580B"/>
    <w:lvl w:ilvl="0" w:tentative="0">
      <w:start w:val="4"/>
      <w:numFmt w:val="chineseCounting"/>
      <w:suff w:val="space"/>
      <w:lvlText w:val="第%1章"/>
      <w:lvlJc w:val="left"/>
      <w:pPr>
        <w:ind w:left="2882" w:firstLine="0"/>
      </w:pPr>
      <w:rPr>
        <w:rFonts w:hint="eastAsia"/>
      </w:rPr>
    </w:lvl>
  </w:abstractNum>
  <w:num w:numId="1">
    <w:abstractNumId w:val="7"/>
  </w:num>
  <w:num w:numId="2">
    <w:abstractNumId w:val="0"/>
  </w:num>
  <w:num w:numId="3">
    <w:abstractNumId w:val="6"/>
  </w:num>
  <w:num w:numId="4">
    <w:abstractNumId w:val="3"/>
  </w:num>
  <w:num w:numId="5">
    <w:abstractNumId w:val="2"/>
  </w:num>
  <w:num w:numId="6">
    <w:abstractNumId w:val="4"/>
  </w:num>
  <w:num w:numId="7">
    <w:abstractNumId w:val="1"/>
  </w:num>
  <w:num w:numId="8">
    <w:abstractNumId w:val="11"/>
  </w:num>
  <w:num w:numId="9">
    <w:abstractNumId w:val="8"/>
  </w:num>
  <w:num w:numId="10">
    <w:abstractNumId w:val="9"/>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64"/>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xMmRkYjg1MWYxOTgzYmE0YjcwNjU0NzA5NzU1Y2UifQ=="/>
  </w:docVars>
  <w:rsids>
    <w:rsidRoot w:val="00E95BF7"/>
    <w:rsid w:val="00023C37"/>
    <w:rsid w:val="000B2CC5"/>
    <w:rsid w:val="00163896"/>
    <w:rsid w:val="00165FE7"/>
    <w:rsid w:val="00196B3D"/>
    <w:rsid w:val="002622DC"/>
    <w:rsid w:val="00271963"/>
    <w:rsid w:val="00285085"/>
    <w:rsid w:val="00392E7D"/>
    <w:rsid w:val="00401A3C"/>
    <w:rsid w:val="00473A6A"/>
    <w:rsid w:val="004C0647"/>
    <w:rsid w:val="0053571C"/>
    <w:rsid w:val="00535E7A"/>
    <w:rsid w:val="0058316C"/>
    <w:rsid w:val="005E0AA6"/>
    <w:rsid w:val="00707324"/>
    <w:rsid w:val="00736ADA"/>
    <w:rsid w:val="00787D75"/>
    <w:rsid w:val="00836ECA"/>
    <w:rsid w:val="0086406B"/>
    <w:rsid w:val="00943FCA"/>
    <w:rsid w:val="00BA43D3"/>
    <w:rsid w:val="00BC0D42"/>
    <w:rsid w:val="00C803B1"/>
    <w:rsid w:val="00CD6E5A"/>
    <w:rsid w:val="00D630DA"/>
    <w:rsid w:val="00D977C1"/>
    <w:rsid w:val="00DD5E66"/>
    <w:rsid w:val="00E7334C"/>
    <w:rsid w:val="00E95BF7"/>
    <w:rsid w:val="00F07F48"/>
    <w:rsid w:val="00F47BBF"/>
    <w:rsid w:val="00FF786A"/>
    <w:rsid w:val="0100390C"/>
    <w:rsid w:val="01101675"/>
    <w:rsid w:val="01145609"/>
    <w:rsid w:val="011D4A64"/>
    <w:rsid w:val="012617C3"/>
    <w:rsid w:val="01317F69"/>
    <w:rsid w:val="0147778C"/>
    <w:rsid w:val="014869DB"/>
    <w:rsid w:val="01600EA0"/>
    <w:rsid w:val="016C71F3"/>
    <w:rsid w:val="01EF572E"/>
    <w:rsid w:val="0256755B"/>
    <w:rsid w:val="02686F3C"/>
    <w:rsid w:val="02DE0E3A"/>
    <w:rsid w:val="03D1158F"/>
    <w:rsid w:val="03D270B5"/>
    <w:rsid w:val="03F637F9"/>
    <w:rsid w:val="03F711FC"/>
    <w:rsid w:val="03FD4132"/>
    <w:rsid w:val="044C6E68"/>
    <w:rsid w:val="04571146"/>
    <w:rsid w:val="048D195A"/>
    <w:rsid w:val="04C81AE6"/>
    <w:rsid w:val="04CD7FA9"/>
    <w:rsid w:val="05213330"/>
    <w:rsid w:val="05355B4E"/>
    <w:rsid w:val="055C30DB"/>
    <w:rsid w:val="05BC2F2E"/>
    <w:rsid w:val="05CF1AFF"/>
    <w:rsid w:val="05EB284D"/>
    <w:rsid w:val="05F663AE"/>
    <w:rsid w:val="060774EA"/>
    <w:rsid w:val="06345E06"/>
    <w:rsid w:val="0664493D"/>
    <w:rsid w:val="069E5CF3"/>
    <w:rsid w:val="06BE35C9"/>
    <w:rsid w:val="06FD6861"/>
    <w:rsid w:val="071D159D"/>
    <w:rsid w:val="073A569E"/>
    <w:rsid w:val="0749768F"/>
    <w:rsid w:val="07550729"/>
    <w:rsid w:val="07554ACD"/>
    <w:rsid w:val="075E75DE"/>
    <w:rsid w:val="07611F44"/>
    <w:rsid w:val="07666493"/>
    <w:rsid w:val="0784456A"/>
    <w:rsid w:val="07B00CD0"/>
    <w:rsid w:val="07C06F8A"/>
    <w:rsid w:val="07C37728"/>
    <w:rsid w:val="07CC0CBC"/>
    <w:rsid w:val="07E775D3"/>
    <w:rsid w:val="07F13FAE"/>
    <w:rsid w:val="080143BB"/>
    <w:rsid w:val="08241F16"/>
    <w:rsid w:val="08294E5C"/>
    <w:rsid w:val="0833183D"/>
    <w:rsid w:val="086329D2"/>
    <w:rsid w:val="08BB45BC"/>
    <w:rsid w:val="08C6368D"/>
    <w:rsid w:val="08F31FA8"/>
    <w:rsid w:val="08FB186A"/>
    <w:rsid w:val="09095327"/>
    <w:rsid w:val="096249C6"/>
    <w:rsid w:val="09774987"/>
    <w:rsid w:val="099F5C8C"/>
    <w:rsid w:val="09DA2B0B"/>
    <w:rsid w:val="09E0077E"/>
    <w:rsid w:val="0A0124A3"/>
    <w:rsid w:val="0A20118A"/>
    <w:rsid w:val="0A312D88"/>
    <w:rsid w:val="0A5627EE"/>
    <w:rsid w:val="0AA95014"/>
    <w:rsid w:val="0AC06B13"/>
    <w:rsid w:val="0AC57974"/>
    <w:rsid w:val="0B057D70"/>
    <w:rsid w:val="0B597665"/>
    <w:rsid w:val="0BA650B0"/>
    <w:rsid w:val="0BFC1173"/>
    <w:rsid w:val="0BFC36AA"/>
    <w:rsid w:val="0C000C64"/>
    <w:rsid w:val="0C497853"/>
    <w:rsid w:val="0C664690"/>
    <w:rsid w:val="0C684A5B"/>
    <w:rsid w:val="0C963376"/>
    <w:rsid w:val="0C9F6722"/>
    <w:rsid w:val="0CC223BD"/>
    <w:rsid w:val="0CC941A9"/>
    <w:rsid w:val="0CCF6888"/>
    <w:rsid w:val="0CD45C4C"/>
    <w:rsid w:val="0D774F56"/>
    <w:rsid w:val="0D9553DC"/>
    <w:rsid w:val="0D985869"/>
    <w:rsid w:val="0DC14CDC"/>
    <w:rsid w:val="0E2967A9"/>
    <w:rsid w:val="0E39045D"/>
    <w:rsid w:val="0E4B5F8B"/>
    <w:rsid w:val="0EE77EB9"/>
    <w:rsid w:val="0F1467D4"/>
    <w:rsid w:val="0F2E7896"/>
    <w:rsid w:val="0F543075"/>
    <w:rsid w:val="0F8546E6"/>
    <w:rsid w:val="0FD7617F"/>
    <w:rsid w:val="0FE95EB3"/>
    <w:rsid w:val="10173DF5"/>
    <w:rsid w:val="101A3CE9"/>
    <w:rsid w:val="102307D9"/>
    <w:rsid w:val="10354C54"/>
    <w:rsid w:val="10685029"/>
    <w:rsid w:val="10A36062"/>
    <w:rsid w:val="10B67062"/>
    <w:rsid w:val="10CD2D27"/>
    <w:rsid w:val="10E17F29"/>
    <w:rsid w:val="10FB7C4C"/>
    <w:rsid w:val="113A2D14"/>
    <w:rsid w:val="1148585C"/>
    <w:rsid w:val="115B693C"/>
    <w:rsid w:val="11627AC5"/>
    <w:rsid w:val="11651DD5"/>
    <w:rsid w:val="116A370C"/>
    <w:rsid w:val="116B3023"/>
    <w:rsid w:val="11847C41"/>
    <w:rsid w:val="119F0F1F"/>
    <w:rsid w:val="11B11DE5"/>
    <w:rsid w:val="11C12C43"/>
    <w:rsid w:val="11F36B7F"/>
    <w:rsid w:val="11FA43A7"/>
    <w:rsid w:val="126E269F"/>
    <w:rsid w:val="12CD386A"/>
    <w:rsid w:val="13390EFF"/>
    <w:rsid w:val="133A2482"/>
    <w:rsid w:val="13710699"/>
    <w:rsid w:val="14220022"/>
    <w:rsid w:val="14445DAD"/>
    <w:rsid w:val="14465F8D"/>
    <w:rsid w:val="14700951"/>
    <w:rsid w:val="14861F22"/>
    <w:rsid w:val="14C36CD2"/>
    <w:rsid w:val="14D56A06"/>
    <w:rsid w:val="14E153AA"/>
    <w:rsid w:val="15011746"/>
    <w:rsid w:val="15035321"/>
    <w:rsid w:val="151B08BC"/>
    <w:rsid w:val="158A77F0"/>
    <w:rsid w:val="15A57BAA"/>
    <w:rsid w:val="15C94BA9"/>
    <w:rsid w:val="15D942D4"/>
    <w:rsid w:val="15E32EC1"/>
    <w:rsid w:val="16005256"/>
    <w:rsid w:val="160C6457"/>
    <w:rsid w:val="16481B85"/>
    <w:rsid w:val="167209B0"/>
    <w:rsid w:val="168626AD"/>
    <w:rsid w:val="16AB5C70"/>
    <w:rsid w:val="171657DF"/>
    <w:rsid w:val="17606A5A"/>
    <w:rsid w:val="17B9616B"/>
    <w:rsid w:val="17CC63B4"/>
    <w:rsid w:val="17CF598E"/>
    <w:rsid w:val="17FF6273"/>
    <w:rsid w:val="181E2472"/>
    <w:rsid w:val="184E4D3B"/>
    <w:rsid w:val="18534811"/>
    <w:rsid w:val="18BE0B52"/>
    <w:rsid w:val="193006AE"/>
    <w:rsid w:val="198F3627"/>
    <w:rsid w:val="19A51664"/>
    <w:rsid w:val="19B337B9"/>
    <w:rsid w:val="19EC45DA"/>
    <w:rsid w:val="19F618F8"/>
    <w:rsid w:val="1A225332"/>
    <w:rsid w:val="1A34526B"/>
    <w:rsid w:val="1A6A2560"/>
    <w:rsid w:val="1A6D51C7"/>
    <w:rsid w:val="1A8F17E2"/>
    <w:rsid w:val="1A903AFB"/>
    <w:rsid w:val="1AA44EB0"/>
    <w:rsid w:val="1AEA644E"/>
    <w:rsid w:val="1B03143F"/>
    <w:rsid w:val="1B1800E8"/>
    <w:rsid w:val="1B2C5627"/>
    <w:rsid w:val="1B2F50C2"/>
    <w:rsid w:val="1B304996"/>
    <w:rsid w:val="1B3157FC"/>
    <w:rsid w:val="1B324BB2"/>
    <w:rsid w:val="1BA67444"/>
    <w:rsid w:val="1BCC1517"/>
    <w:rsid w:val="1C206CED"/>
    <w:rsid w:val="1C346708"/>
    <w:rsid w:val="1C4A7CD9"/>
    <w:rsid w:val="1CC41839"/>
    <w:rsid w:val="1D167BBB"/>
    <w:rsid w:val="1D6923E1"/>
    <w:rsid w:val="1D7E7C3A"/>
    <w:rsid w:val="1D9C6312"/>
    <w:rsid w:val="1D9E3123"/>
    <w:rsid w:val="1DA23028"/>
    <w:rsid w:val="1DFB74DD"/>
    <w:rsid w:val="1E0839A8"/>
    <w:rsid w:val="1E144B81"/>
    <w:rsid w:val="1E6908EA"/>
    <w:rsid w:val="1EF328AA"/>
    <w:rsid w:val="1F170346"/>
    <w:rsid w:val="1F196E7F"/>
    <w:rsid w:val="1F226CEB"/>
    <w:rsid w:val="1F3709E9"/>
    <w:rsid w:val="1F6115C2"/>
    <w:rsid w:val="1F6F423A"/>
    <w:rsid w:val="20256A93"/>
    <w:rsid w:val="20337402"/>
    <w:rsid w:val="205904EB"/>
    <w:rsid w:val="20CA763A"/>
    <w:rsid w:val="20DB1848"/>
    <w:rsid w:val="20DF30E6"/>
    <w:rsid w:val="20F739C6"/>
    <w:rsid w:val="210C1A01"/>
    <w:rsid w:val="2132436E"/>
    <w:rsid w:val="21425423"/>
    <w:rsid w:val="217557F8"/>
    <w:rsid w:val="21BC6F83"/>
    <w:rsid w:val="21FE57EE"/>
    <w:rsid w:val="22123047"/>
    <w:rsid w:val="221D20F7"/>
    <w:rsid w:val="222006E2"/>
    <w:rsid w:val="22372AAE"/>
    <w:rsid w:val="22631AF5"/>
    <w:rsid w:val="2264488C"/>
    <w:rsid w:val="22837AA1"/>
    <w:rsid w:val="22904754"/>
    <w:rsid w:val="22D95913"/>
    <w:rsid w:val="22FD5AA5"/>
    <w:rsid w:val="23056708"/>
    <w:rsid w:val="23243032"/>
    <w:rsid w:val="235002CB"/>
    <w:rsid w:val="237C7B18"/>
    <w:rsid w:val="23977CA8"/>
    <w:rsid w:val="23C10881"/>
    <w:rsid w:val="23C2284B"/>
    <w:rsid w:val="240B5FA0"/>
    <w:rsid w:val="242B219E"/>
    <w:rsid w:val="24305A06"/>
    <w:rsid w:val="247973AD"/>
    <w:rsid w:val="248D10AB"/>
    <w:rsid w:val="2492221D"/>
    <w:rsid w:val="256242E5"/>
    <w:rsid w:val="25D16D75"/>
    <w:rsid w:val="25E940BF"/>
    <w:rsid w:val="26320B8A"/>
    <w:rsid w:val="264F486A"/>
    <w:rsid w:val="26A64B87"/>
    <w:rsid w:val="26CC689A"/>
    <w:rsid w:val="275C3465"/>
    <w:rsid w:val="275F433B"/>
    <w:rsid w:val="27846795"/>
    <w:rsid w:val="27D9008B"/>
    <w:rsid w:val="27E666CE"/>
    <w:rsid w:val="28612632"/>
    <w:rsid w:val="286A3F94"/>
    <w:rsid w:val="28757E8C"/>
    <w:rsid w:val="28853A70"/>
    <w:rsid w:val="289C5F17"/>
    <w:rsid w:val="289E73E3"/>
    <w:rsid w:val="29104C1F"/>
    <w:rsid w:val="2912538D"/>
    <w:rsid w:val="29174CCE"/>
    <w:rsid w:val="292813A2"/>
    <w:rsid w:val="293935AF"/>
    <w:rsid w:val="29453D02"/>
    <w:rsid w:val="29520F1C"/>
    <w:rsid w:val="299B1115"/>
    <w:rsid w:val="2A180220"/>
    <w:rsid w:val="2A2E0C3A"/>
    <w:rsid w:val="2A81520E"/>
    <w:rsid w:val="2AA35184"/>
    <w:rsid w:val="2AAA583F"/>
    <w:rsid w:val="2AC11AAE"/>
    <w:rsid w:val="2AC91894"/>
    <w:rsid w:val="2AE80DE9"/>
    <w:rsid w:val="2B0A7301"/>
    <w:rsid w:val="2B234BA1"/>
    <w:rsid w:val="2B7663F5"/>
    <w:rsid w:val="2B9176D3"/>
    <w:rsid w:val="2BAA42F0"/>
    <w:rsid w:val="2BC55BA2"/>
    <w:rsid w:val="2BEF4F82"/>
    <w:rsid w:val="2BF65788"/>
    <w:rsid w:val="2C0233FB"/>
    <w:rsid w:val="2C363DD6"/>
    <w:rsid w:val="2CB01DDA"/>
    <w:rsid w:val="2CB82A3D"/>
    <w:rsid w:val="2CED26E7"/>
    <w:rsid w:val="2D3B78F6"/>
    <w:rsid w:val="2D6D1BF5"/>
    <w:rsid w:val="2DA76D39"/>
    <w:rsid w:val="2DA82AB1"/>
    <w:rsid w:val="2DE03FF9"/>
    <w:rsid w:val="2DEC05E2"/>
    <w:rsid w:val="2DEC299E"/>
    <w:rsid w:val="2E3D144C"/>
    <w:rsid w:val="2E725599"/>
    <w:rsid w:val="2E727FF7"/>
    <w:rsid w:val="2E7330BF"/>
    <w:rsid w:val="2E782484"/>
    <w:rsid w:val="2E953036"/>
    <w:rsid w:val="2EE8585B"/>
    <w:rsid w:val="2EF35FAE"/>
    <w:rsid w:val="2F880DEC"/>
    <w:rsid w:val="2FAA48BF"/>
    <w:rsid w:val="2FC260AC"/>
    <w:rsid w:val="2FD14541"/>
    <w:rsid w:val="2FFD0E93"/>
    <w:rsid w:val="2FFD5337"/>
    <w:rsid w:val="300C7328"/>
    <w:rsid w:val="30115E21"/>
    <w:rsid w:val="306727B0"/>
    <w:rsid w:val="30E3452C"/>
    <w:rsid w:val="31681B1F"/>
    <w:rsid w:val="316F4012"/>
    <w:rsid w:val="317258B0"/>
    <w:rsid w:val="319D72B9"/>
    <w:rsid w:val="31A94CC1"/>
    <w:rsid w:val="31B9528D"/>
    <w:rsid w:val="31C0486E"/>
    <w:rsid w:val="31DB5204"/>
    <w:rsid w:val="31FD161E"/>
    <w:rsid w:val="31FD4A26"/>
    <w:rsid w:val="321D1044"/>
    <w:rsid w:val="32223AA8"/>
    <w:rsid w:val="323245B1"/>
    <w:rsid w:val="323D6795"/>
    <w:rsid w:val="32A553D3"/>
    <w:rsid w:val="32CE2FBA"/>
    <w:rsid w:val="33140D0D"/>
    <w:rsid w:val="3330157F"/>
    <w:rsid w:val="333472C1"/>
    <w:rsid w:val="336425C4"/>
    <w:rsid w:val="33D22636"/>
    <w:rsid w:val="342310E4"/>
    <w:rsid w:val="342509B8"/>
    <w:rsid w:val="343468C1"/>
    <w:rsid w:val="344E43B3"/>
    <w:rsid w:val="34790D04"/>
    <w:rsid w:val="34870DAA"/>
    <w:rsid w:val="34873421"/>
    <w:rsid w:val="34B327EA"/>
    <w:rsid w:val="34D80120"/>
    <w:rsid w:val="34F76440"/>
    <w:rsid w:val="352A3AB6"/>
    <w:rsid w:val="35A324DC"/>
    <w:rsid w:val="35A65B28"/>
    <w:rsid w:val="35C3492C"/>
    <w:rsid w:val="35CD7559"/>
    <w:rsid w:val="36154A5C"/>
    <w:rsid w:val="365B3E4B"/>
    <w:rsid w:val="369462C9"/>
    <w:rsid w:val="36BB450C"/>
    <w:rsid w:val="36D641EB"/>
    <w:rsid w:val="36E508D2"/>
    <w:rsid w:val="371D52FB"/>
    <w:rsid w:val="373A6E70"/>
    <w:rsid w:val="377A158B"/>
    <w:rsid w:val="37F9704D"/>
    <w:rsid w:val="38367638"/>
    <w:rsid w:val="388A78E0"/>
    <w:rsid w:val="38971721"/>
    <w:rsid w:val="38E452E6"/>
    <w:rsid w:val="39037E27"/>
    <w:rsid w:val="39162FC5"/>
    <w:rsid w:val="391D07F7"/>
    <w:rsid w:val="39E37C3B"/>
    <w:rsid w:val="3A0B0650"/>
    <w:rsid w:val="3A654204"/>
    <w:rsid w:val="3A7C32FC"/>
    <w:rsid w:val="3A7D77A0"/>
    <w:rsid w:val="3AAA2282"/>
    <w:rsid w:val="3B023801"/>
    <w:rsid w:val="3B0752BB"/>
    <w:rsid w:val="3B832EA3"/>
    <w:rsid w:val="3B903503"/>
    <w:rsid w:val="3BB05953"/>
    <w:rsid w:val="3BC149D5"/>
    <w:rsid w:val="3BDF7FE6"/>
    <w:rsid w:val="3BE06401"/>
    <w:rsid w:val="3C070A0C"/>
    <w:rsid w:val="3C3955C9"/>
    <w:rsid w:val="3C683B38"/>
    <w:rsid w:val="3C836820"/>
    <w:rsid w:val="3CF61143"/>
    <w:rsid w:val="3CF67395"/>
    <w:rsid w:val="3CF7310E"/>
    <w:rsid w:val="3D033860"/>
    <w:rsid w:val="3E111FAD"/>
    <w:rsid w:val="3E74790C"/>
    <w:rsid w:val="3E7569E0"/>
    <w:rsid w:val="3E8C33CA"/>
    <w:rsid w:val="3E9230EE"/>
    <w:rsid w:val="3EDC080D"/>
    <w:rsid w:val="3EFC4A0B"/>
    <w:rsid w:val="3F257176"/>
    <w:rsid w:val="3F2D72BA"/>
    <w:rsid w:val="3F636838"/>
    <w:rsid w:val="3FC63871"/>
    <w:rsid w:val="3FC921F2"/>
    <w:rsid w:val="3FF676AC"/>
    <w:rsid w:val="40477F08"/>
    <w:rsid w:val="40526FD9"/>
    <w:rsid w:val="40BB3015"/>
    <w:rsid w:val="40E8793D"/>
    <w:rsid w:val="40F7192E"/>
    <w:rsid w:val="4105229D"/>
    <w:rsid w:val="41390199"/>
    <w:rsid w:val="41D67795"/>
    <w:rsid w:val="41FE529E"/>
    <w:rsid w:val="42546AC6"/>
    <w:rsid w:val="427F607F"/>
    <w:rsid w:val="42997141"/>
    <w:rsid w:val="4302313A"/>
    <w:rsid w:val="43301127"/>
    <w:rsid w:val="435766B4"/>
    <w:rsid w:val="43882D11"/>
    <w:rsid w:val="43A35D9D"/>
    <w:rsid w:val="43FD54AD"/>
    <w:rsid w:val="441C1DBD"/>
    <w:rsid w:val="442962A2"/>
    <w:rsid w:val="444035EC"/>
    <w:rsid w:val="44426CAB"/>
    <w:rsid w:val="44974855"/>
    <w:rsid w:val="44A27E03"/>
    <w:rsid w:val="44D426B2"/>
    <w:rsid w:val="44E8085B"/>
    <w:rsid w:val="455820DF"/>
    <w:rsid w:val="4588349D"/>
    <w:rsid w:val="459534C4"/>
    <w:rsid w:val="45A33E32"/>
    <w:rsid w:val="45AC3A10"/>
    <w:rsid w:val="45D24718"/>
    <w:rsid w:val="45EA380F"/>
    <w:rsid w:val="45F4468E"/>
    <w:rsid w:val="45FD1795"/>
    <w:rsid w:val="46405B25"/>
    <w:rsid w:val="46524729"/>
    <w:rsid w:val="46A47E62"/>
    <w:rsid w:val="46E26BDC"/>
    <w:rsid w:val="47AF4D11"/>
    <w:rsid w:val="4812529F"/>
    <w:rsid w:val="485D29BF"/>
    <w:rsid w:val="48B91D4F"/>
    <w:rsid w:val="48E25F7F"/>
    <w:rsid w:val="48F36E7F"/>
    <w:rsid w:val="493F0316"/>
    <w:rsid w:val="494D47E1"/>
    <w:rsid w:val="49AB1508"/>
    <w:rsid w:val="49B77CC7"/>
    <w:rsid w:val="49FC1D63"/>
    <w:rsid w:val="4A002A60"/>
    <w:rsid w:val="4A0271B8"/>
    <w:rsid w:val="4A332184"/>
    <w:rsid w:val="4A7C0DFC"/>
    <w:rsid w:val="4A9B0D6A"/>
    <w:rsid w:val="4AB80380"/>
    <w:rsid w:val="4B11724C"/>
    <w:rsid w:val="4B125CE2"/>
    <w:rsid w:val="4B5856BF"/>
    <w:rsid w:val="4B591FD6"/>
    <w:rsid w:val="4B702A09"/>
    <w:rsid w:val="4B7A3887"/>
    <w:rsid w:val="4B83098E"/>
    <w:rsid w:val="4B906184"/>
    <w:rsid w:val="4BA206E8"/>
    <w:rsid w:val="4BFE0015"/>
    <w:rsid w:val="4C40062D"/>
    <w:rsid w:val="4CA87F80"/>
    <w:rsid w:val="4CEA67EB"/>
    <w:rsid w:val="4CEC2563"/>
    <w:rsid w:val="4D0633AD"/>
    <w:rsid w:val="4D275349"/>
    <w:rsid w:val="4D384EFF"/>
    <w:rsid w:val="4D534390"/>
    <w:rsid w:val="4DA05D0D"/>
    <w:rsid w:val="4DB7491F"/>
    <w:rsid w:val="4DBC1F35"/>
    <w:rsid w:val="4DF72F6D"/>
    <w:rsid w:val="4E41243B"/>
    <w:rsid w:val="4E700A66"/>
    <w:rsid w:val="4ECC120F"/>
    <w:rsid w:val="4EFC3A63"/>
    <w:rsid w:val="4F345540"/>
    <w:rsid w:val="4F367C3E"/>
    <w:rsid w:val="4F6E3703"/>
    <w:rsid w:val="4F7725B8"/>
    <w:rsid w:val="4FC652ED"/>
    <w:rsid w:val="4FCD544B"/>
    <w:rsid w:val="4FE439C5"/>
    <w:rsid w:val="4FF04118"/>
    <w:rsid w:val="4FF97471"/>
    <w:rsid w:val="50414974"/>
    <w:rsid w:val="504931C5"/>
    <w:rsid w:val="50E61077"/>
    <w:rsid w:val="50EC0D83"/>
    <w:rsid w:val="50EF2622"/>
    <w:rsid w:val="512C5624"/>
    <w:rsid w:val="51A27694"/>
    <w:rsid w:val="51D70826"/>
    <w:rsid w:val="51F31A7C"/>
    <w:rsid w:val="52432C25"/>
    <w:rsid w:val="526E7576"/>
    <w:rsid w:val="52CC2C1B"/>
    <w:rsid w:val="52E141EC"/>
    <w:rsid w:val="52E77A54"/>
    <w:rsid w:val="530A54F1"/>
    <w:rsid w:val="532C5467"/>
    <w:rsid w:val="53346A12"/>
    <w:rsid w:val="534704F3"/>
    <w:rsid w:val="53513120"/>
    <w:rsid w:val="535350EA"/>
    <w:rsid w:val="53607807"/>
    <w:rsid w:val="53966D85"/>
    <w:rsid w:val="54104D89"/>
    <w:rsid w:val="542C1497"/>
    <w:rsid w:val="54436F0C"/>
    <w:rsid w:val="548F1073"/>
    <w:rsid w:val="54C811C0"/>
    <w:rsid w:val="54FC355F"/>
    <w:rsid w:val="551A270F"/>
    <w:rsid w:val="551F0656"/>
    <w:rsid w:val="552438F8"/>
    <w:rsid w:val="555869E7"/>
    <w:rsid w:val="558570B1"/>
    <w:rsid w:val="55902B33"/>
    <w:rsid w:val="55A41C2D"/>
    <w:rsid w:val="55A82D9F"/>
    <w:rsid w:val="55DB4F33"/>
    <w:rsid w:val="55E97640"/>
    <w:rsid w:val="56114DE8"/>
    <w:rsid w:val="56671AA5"/>
    <w:rsid w:val="567877A1"/>
    <w:rsid w:val="567E4EEE"/>
    <w:rsid w:val="56E24A46"/>
    <w:rsid w:val="56E524FD"/>
    <w:rsid w:val="5751101D"/>
    <w:rsid w:val="576D42A0"/>
    <w:rsid w:val="578F7385"/>
    <w:rsid w:val="58A52424"/>
    <w:rsid w:val="58AD704A"/>
    <w:rsid w:val="58D04AE7"/>
    <w:rsid w:val="58F5454D"/>
    <w:rsid w:val="59170968"/>
    <w:rsid w:val="592D018B"/>
    <w:rsid w:val="594A4899"/>
    <w:rsid w:val="59592D2E"/>
    <w:rsid w:val="59945B14"/>
    <w:rsid w:val="59AF0BA0"/>
    <w:rsid w:val="59BE4AE8"/>
    <w:rsid w:val="5A105AE3"/>
    <w:rsid w:val="5A250E62"/>
    <w:rsid w:val="5A3F0D98"/>
    <w:rsid w:val="5A663955"/>
    <w:rsid w:val="5A7B7C2B"/>
    <w:rsid w:val="5AA00825"/>
    <w:rsid w:val="5AA1498D"/>
    <w:rsid w:val="5AD14B46"/>
    <w:rsid w:val="5AFD593B"/>
    <w:rsid w:val="5B2E3D47"/>
    <w:rsid w:val="5B37709F"/>
    <w:rsid w:val="5B7151AD"/>
    <w:rsid w:val="5B793214"/>
    <w:rsid w:val="5B8878FB"/>
    <w:rsid w:val="5BB03B5F"/>
    <w:rsid w:val="5BD62414"/>
    <w:rsid w:val="5C1359CC"/>
    <w:rsid w:val="5C237623"/>
    <w:rsid w:val="5C583E75"/>
    <w:rsid w:val="5C5D0D87"/>
    <w:rsid w:val="5C6254EA"/>
    <w:rsid w:val="5C7F2AAC"/>
    <w:rsid w:val="5C941D09"/>
    <w:rsid w:val="5CE7657A"/>
    <w:rsid w:val="5D6554C1"/>
    <w:rsid w:val="5D714CD8"/>
    <w:rsid w:val="5D835E67"/>
    <w:rsid w:val="5E0A5B42"/>
    <w:rsid w:val="5E756369"/>
    <w:rsid w:val="5EB84053"/>
    <w:rsid w:val="5EEA04A7"/>
    <w:rsid w:val="5F0B6879"/>
    <w:rsid w:val="5F16292E"/>
    <w:rsid w:val="5F2E2567"/>
    <w:rsid w:val="5F3A0F0C"/>
    <w:rsid w:val="5FA07832"/>
    <w:rsid w:val="5FAF18FA"/>
    <w:rsid w:val="5FB817E0"/>
    <w:rsid w:val="5FBD7995"/>
    <w:rsid w:val="5FC66C44"/>
    <w:rsid w:val="5FC74A1E"/>
    <w:rsid w:val="5FF90DC7"/>
    <w:rsid w:val="5FFC08B7"/>
    <w:rsid w:val="60310561"/>
    <w:rsid w:val="604016C3"/>
    <w:rsid w:val="605E51FA"/>
    <w:rsid w:val="60B151FE"/>
    <w:rsid w:val="60E530F9"/>
    <w:rsid w:val="61377DF9"/>
    <w:rsid w:val="615C33BC"/>
    <w:rsid w:val="615F3E26"/>
    <w:rsid w:val="6171237D"/>
    <w:rsid w:val="61930DA7"/>
    <w:rsid w:val="61BF1B9C"/>
    <w:rsid w:val="61FB61B5"/>
    <w:rsid w:val="6245446B"/>
    <w:rsid w:val="624565BD"/>
    <w:rsid w:val="626C655C"/>
    <w:rsid w:val="62C23C2F"/>
    <w:rsid w:val="62D17DD9"/>
    <w:rsid w:val="63343EC4"/>
    <w:rsid w:val="635A1B7D"/>
    <w:rsid w:val="63CA5388"/>
    <w:rsid w:val="63D9752E"/>
    <w:rsid w:val="64167B1A"/>
    <w:rsid w:val="646F3406"/>
    <w:rsid w:val="64AF64BE"/>
    <w:rsid w:val="64C73242"/>
    <w:rsid w:val="64F733FB"/>
    <w:rsid w:val="652E1513"/>
    <w:rsid w:val="659D4D34"/>
    <w:rsid w:val="65AE4402"/>
    <w:rsid w:val="65F500A7"/>
    <w:rsid w:val="66652ED8"/>
    <w:rsid w:val="66860EDB"/>
    <w:rsid w:val="66FD059E"/>
    <w:rsid w:val="67136C12"/>
    <w:rsid w:val="672C55DE"/>
    <w:rsid w:val="672E75A8"/>
    <w:rsid w:val="677E1BB2"/>
    <w:rsid w:val="678F2C94"/>
    <w:rsid w:val="679413D5"/>
    <w:rsid w:val="67CE0D8B"/>
    <w:rsid w:val="68071BA7"/>
    <w:rsid w:val="683735EC"/>
    <w:rsid w:val="684828EC"/>
    <w:rsid w:val="68CA3301"/>
    <w:rsid w:val="68F51BCA"/>
    <w:rsid w:val="68F71C1C"/>
    <w:rsid w:val="6917406C"/>
    <w:rsid w:val="698F3D71"/>
    <w:rsid w:val="699E02E9"/>
    <w:rsid w:val="699F29DF"/>
    <w:rsid w:val="6A957A01"/>
    <w:rsid w:val="6AC241B0"/>
    <w:rsid w:val="6AC56475"/>
    <w:rsid w:val="6AFE79EB"/>
    <w:rsid w:val="6B1C3002"/>
    <w:rsid w:val="6B397FE0"/>
    <w:rsid w:val="6B76049D"/>
    <w:rsid w:val="6B7B4D86"/>
    <w:rsid w:val="6B7F67E4"/>
    <w:rsid w:val="6B9D1C9D"/>
    <w:rsid w:val="6BCA3618"/>
    <w:rsid w:val="6BE33621"/>
    <w:rsid w:val="6BE50451"/>
    <w:rsid w:val="6C21592D"/>
    <w:rsid w:val="6C6B4DFB"/>
    <w:rsid w:val="6C953C26"/>
    <w:rsid w:val="6C9C1458"/>
    <w:rsid w:val="6C9C3935"/>
    <w:rsid w:val="6CAE2F39"/>
    <w:rsid w:val="6CC369E5"/>
    <w:rsid w:val="6CDE737B"/>
    <w:rsid w:val="6D0B213A"/>
    <w:rsid w:val="6D262AD0"/>
    <w:rsid w:val="6D401DE3"/>
    <w:rsid w:val="6D433682"/>
    <w:rsid w:val="6D6A6E60"/>
    <w:rsid w:val="6D7158E3"/>
    <w:rsid w:val="6D800432"/>
    <w:rsid w:val="6D8B5833"/>
    <w:rsid w:val="6D9B34BE"/>
    <w:rsid w:val="6DB6265E"/>
    <w:rsid w:val="6DF46B4F"/>
    <w:rsid w:val="6DFD1A82"/>
    <w:rsid w:val="6E027099"/>
    <w:rsid w:val="6E083E59"/>
    <w:rsid w:val="6E5D4C17"/>
    <w:rsid w:val="6F3A4760"/>
    <w:rsid w:val="6F6447C8"/>
    <w:rsid w:val="6F7723CE"/>
    <w:rsid w:val="6FD40F09"/>
    <w:rsid w:val="6FDF7AF8"/>
    <w:rsid w:val="6FE61F3E"/>
    <w:rsid w:val="6FEB7EFB"/>
    <w:rsid w:val="7036127C"/>
    <w:rsid w:val="70455963"/>
    <w:rsid w:val="7055204A"/>
    <w:rsid w:val="70657DB3"/>
    <w:rsid w:val="707C57BB"/>
    <w:rsid w:val="709C4DBC"/>
    <w:rsid w:val="70C40F7D"/>
    <w:rsid w:val="70FE23F0"/>
    <w:rsid w:val="71175551"/>
    <w:rsid w:val="711C66C3"/>
    <w:rsid w:val="7127621E"/>
    <w:rsid w:val="71445C1A"/>
    <w:rsid w:val="714874B8"/>
    <w:rsid w:val="71493231"/>
    <w:rsid w:val="716E0821"/>
    <w:rsid w:val="717E737E"/>
    <w:rsid w:val="71973F9C"/>
    <w:rsid w:val="71E04502"/>
    <w:rsid w:val="71EC1C24"/>
    <w:rsid w:val="71F8529B"/>
    <w:rsid w:val="71FC0415"/>
    <w:rsid w:val="723E08BB"/>
    <w:rsid w:val="72850298"/>
    <w:rsid w:val="733C6EC5"/>
    <w:rsid w:val="73532145"/>
    <w:rsid w:val="73555EBD"/>
    <w:rsid w:val="737D2999"/>
    <w:rsid w:val="737D4C63"/>
    <w:rsid w:val="73BB1DD0"/>
    <w:rsid w:val="73C87B98"/>
    <w:rsid w:val="74171D49"/>
    <w:rsid w:val="742B4C2C"/>
    <w:rsid w:val="745F5036"/>
    <w:rsid w:val="74746816"/>
    <w:rsid w:val="74B621FC"/>
    <w:rsid w:val="75273889"/>
    <w:rsid w:val="752B5547"/>
    <w:rsid w:val="758E56B6"/>
    <w:rsid w:val="75A25616"/>
    <w:rsid w:val="75A75423"/>
    <w:rsid w:val="7650794E"/>
    <w:rsid w:val="765336FE"/>
    <w:rsid w:val="7682346D"/>
    <w:rsid w:val="768C7E47"/>
    <w:rsid w:val="76960CC6"/>
    <w:rsid w:val="76CD220E"/>
    <w:rsid w:val="770519A8"/>
    <w:rsid w:val="7724396F"/>
    <w:rsid w:val="77493F8A"/>
    <w:rsid w:val="7755292F"/>
    <w:rsid w:val="77811024"/>
    <w:rsid w:val="778A2D4A"/>
    <w:rsid w:val="779E2EEF"/>
    <w:rsid w:val="77D040AC"/>
    <w:rsid w:val="781B4306"/>
    <w:rsid w:val="783C589D"/>
    <w:rsid w:val="784449D2"/>
    <w:rsid w:val="78623556"/>
    <w:rsid w:val="786A41B8"/>
    <w:rsid w:val="78801C2E"/>
    <w:rsid w:val="78D87374"/>
    <w:rsid w:val="78F50C83"/>
    <w:rsid w:val="79006A68"/>
    <w:rsid w:val="79240F16"/>
    <w:rsid w:val="792B2FD4"/>
    <w:rsid w:val="797D616D"/>
    <w:rsid w:val="79AE424C"/>
    <w:rsid w:val="7A081EDB"/>
    <w:rsid w:val="7A346E45"/>
    <w:rsid w:val="7A3C5ED5"/>
    <w:rsid w:val="7A8B6668"/>
    <w:rsid w:val="7AA00365"/>
    <w:rsid w:val="7AD26045"/>
    <w:rsid w:val="7AE00762"/>
    <w:rsid w:val="7B2F16E9"/>
    <w:rsid w:val="7B31720F"/>
    <w:rsid w:val="7B463003"/>
    <w:rsid w:val="7B713AB0"/>
    <w:rsid w:val="7B75733B"/>
    <w:rsid w:val="7BBD0AA3"/>
    <w:rsid w:val="7BC260B9"/>
    <w:rsid w:val="7BCB7664"/>
    <w:rsid w:val="7BEB1AB4"/>
    <w:rsid w:val="7C016BE2"/>
    <w:rsid w:val="7C042B76"/>
    <w:rsid w:val="7C4D42B1"/>
    <w:rsid w:val="7C8554FF"/>
    <w:rsid w:val="7C8D7B94"/>
    <w:rsid w:val="7CCC5A94"/>
    <w:rsid w:val="7CE64887"/>
    <w:rsid w:val="7D0D7525"/>
    <w:rsid w:val="7D3F37E9"/>
    <w:rsid w:val="7D786ADC"/>
    <w:rsid w:val="7D796C4C"/>
    <w:rsid w:val="7D7F63B7"/>
    <w:rsid w:val="7DAC049B"/>
    <w:rsid w:val="7DB639FC"/>
    <w:rsid w:val="7E33504C"/>
    <w:rsid w:val="7E4251F7"/>
    <w:rsid w:val="7E531782"/>
    <w:rsid w:val="7E680B05"/>
    <w:rsid w:val="7E6F077A"/>
    <w:rsid w:val="7E7F0722"/>
    <w:rsid w:val="7EAB552B"/>
    <w:rsid w:val="7ED92098"/>
    <w:rsid w:val="7F1C1F84"/>
    <w:rsid w:val="7F6E35B7"/>
    <w:rsid w:val="7FAE52D2"/>
    <w:rsid w:val="7FBA3C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cs="Times New Roman"/>
      <w:b/>
      <w:kern w:val="44"/>
      <w:sz w:val="48"/>
      <w:szCs w:val="48"/>
    </w:rPr>
  </w:style>
  <w:style w:type="paragraph" w:styleId="4">
    <w:name w:val="heading 2"/>
    <w:basedOn w:val="1"/>
    <w:next w:val="1"/>
    <w:semiHidden/>
    <w:unhideWhenUsed/>
    <w:qFormat/>
    <w:uiPriority w:val="0"/>
    <w:pPr>
      <w:spacing w:beforeAutospacing="1" w:afterAutospacing="1"/>
      <w:jc w:val="left"/>
      <w:outlineLvl w:val="1"/>
    </w:pPr>
    <w:rPr>
      <w:rFonts w:hint="eastAsia" w:ascii="宋体" w:hAnsi="宋体" w:cs="Times New Roman"/>
      <w:b/>
      <w:bCs/>
      <w:kern w:val="0"/>
      <w:sz w:val="36"/>
      <w:szCs w:val="36"/>
    </w:rPr>
  </w:style>
  <w:style w:type="paragraph" w:styleId="5">
    <w:name w:val="heading 3"/>
    <w:basedOn w:val="1"/>
    <w:next w:val="1"/>
    <w:semiHidden/>
    <w:unhideWhenUsed/>
    <w:qFormat/>
    <w:uiPriority w:val="0"/>
    <w:pPr>
      <w:spacing w:beforeAutospacing="1" w:afterAutospacing="1"/>
      <w:jc w:val="left"/>
      <w:outlineLvl w:val="2"/>
    </w:pPr>
    <w:rPr>
      <w:rFonts w:hint="eastAsia" w:ascii="宋体" w:hAnsi="宋体" w:cs="Times New Roman"/>
      <w:kern w:val="0"/>
      <w:sz w:val="27"/>
      <w:szCs w:val="27"/>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_Style 1"/>
    <w:basedOn w:val="1"/>
    <w:next w:val="1"/>
    <w:qFormat/>
    <w:uiPriority w:val="99"/>
    <w:pPr>
      <w:ind w:firstLine="420" w:firstLineChars="200"/>
    </w:pPr>
  </w:style>
  <w:style w:type="paragraph" w:styleId="7">
    <w:name w:val="index 8"/>
    <w:basedOn w:val="1"/>
    <w:next w:val="1"/>
    <w:qFormat/>
    <w:uiPriority w:val="0"/>
    <w:pPr>
      <w:ind w:left="2940"/>
    </w:pPr>
  </w:style>
  <w:style w:type="paragraph" w:styleId="8">
    <w:name w:val="Normal Indent"/>
    <w:basedOn w:val="1"/>
    <w:qFormat/>
    <w:uiPriority w:val="0"/>
    <w:pPr>
      <w:ind w:firstLine="420"/>
    </w:pPr>
  </w:style>
  <w:style w:type="paragraph" w:styleId="9">
    <w:name w:val="annotation text"/>
    <w:basedOn w:val="1"/>
    <w:link w:val="46"/>
    <w:qFormat/>
    <w:uiPriority w:val="0"/>
    <w:pPr>
      <w:jc w:val="left"/>
    </w:pPr>
  </w:style>
  <w:style w:type="paragraph" w:styleId="10">
    <w:name w:val="Body Text"/>
    <w:basedOn w:val="1"/>
    <w:next w:val="1"/>
    <w:qFormat/>
    <w:uiPriority w:val="0"/>
    <w:pPr>
      <w:autoSpaceDE w:val="0"/>
      <w:autoSpaceDN w:val="0"/>
      <w:jc w:val="left"/>
    </w:pPr>
    <w:rPr>
      <w:rFonts w:ascii="宋体" w:hAnsi="宋体"/>
      <w:kern w:val="0"/>
      <w:sz w:val="32"/>
      <w:szCs w:val="32"/>
    </w:rPr>
  </w:style>
  <w:style w:type="paragraph" w:styleId="11">
    <w:name w:val="Plain Text"/>
    <w:basedOn w:val="1"/>
    <w:next w:val="7"/>
    <w:qFormat/>
    <w:uiPriority w:val="0"/>
    <w:rPr>
      <w:rFonts w:hint="eastAsia" w:ascii="宋体" w:hAnsi="Courier New"/>
      <w:kern w:val="0"/>
      <w:sz w:val="20"/>
      <w:szCs w:val="21"/>
    </w:rPr>
  </w:style>
  <w:style w:type="paragraph" w:styleId="12">
    <w:name w:val="Balloon Text"/>
    <w:basedOn w:val="1"/>
    <w:link w:val="36"/>
    <w:qFormat/>
    <w:uiPriority w:val="0"/>
    <w:rPr>
      <w:sz w:val="18"/>
      <w:szCs w:val="18"/>
    </w:rPr>
  </w:style>
  <w:style w:type="paragraph" w:styleId="13">
    <w:name w:val="footer"/>
    <w:basedOn w:val="1"/>
    <w:link w:val="37"/>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footnote text"/>
    <w:basedOn w:val="1"/>
    <w:qFormat/>
    <w:uiPriority w:val="0"/>
    <w:pPr>
      <w:snapToGrid w:val="0"/>
      <w:jc w:val="left"/>
    </w:pPr>
    <w:rPr>
      <w:sz w:val="18"/>
      <w:szCs w:val="18"/>
    </w:rPr>
  </w:style>
  <w:style w:type="paragraph" w:styleId="16">
    <w:name w:val="Body Text 2"/>
    <w:basedOn w:val="1"/>
    <w:qFormat/>
    <w:uiPriority w:val="0"/>
    <w:pPr>
      <w:spacing w:line="360" w:lineRule="auto"/>
    </w:pPr>
    <w:rPr>
      <w:sz w:val="24"/>
    </w:rPr>
  </w:style>
  <w:style w:type="paragraph" w:styleId="17">
    <w:name w:val="Normal (Web)"/>
    <w:basedOn w:val="1"/>
    <w:qFormat/>
    <w:uiPriority w:val="0"/>
    <w:pPr>
      <w:spacing w:beforeAutospacing="1" w:afterAutospacing="1"/>
      <w:jc w:val="left"/>
    </w:pPr>
    <w:rPr>
      <w:rFonts w:cs="Times New Roman"/>
      <w:kern w:val="0"/>
      <w:sz w:val="24"/>
    </w:rPr>
  </w:style>
  <w:style w:type="paragraph" w:styleId="18">
    <w:name w:val="Title"/>
    <w:basedOn w:val="1"/>
    <w:next w:val="1"/>
    <w:qFormat/>
    <w:uiPriority w:val="0"/>
    <w:pPr>
      <w:spacing w:before="240" w:after="60"/>
      <w:jc w:val="center"/>
      <w:outlineLvl w:val="0"/>
    </w:pPr>
    <w:rPr>
      <w:rFonts w:ascii="Calibri Light" w:hAnsi="Calibri Light"/>
      <w:b/>
      <w:bCs/>
      <w:sz w:val="32"/>
      <w:szCs w:val="32"/>
    </w:rPr>
  </w:style>
  <w:style w:type="paragraph" w:styleId="19">
    <w:name w:val="annotation subject"/>
    <w:basedOn w:val="9"/>
    <w:next w:val="9"/>
    <w:link w:val="47"/>
    <w:qFormat/>
    <w:uiPriority w:val="0"/>
    <w:rPr>
      <w:b/>
      <w:bCs/>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qFormat/>
    <w:uiPriority w:val="0"/>
    <w:rPr>
      <w:rFonts w:hint="default"/>
      <w:b/>
    </w:rPr>
  </w:style>
  <w:style w:type="character" w:styleId="24">
    <w:name w:val="page number"/>
    <w:basedOn w:val="22"/>
    <w:qFormat/>
    <w:uiPriority w:val="0"/>
    <w:rPr>
      <w:rFonts w:hint="default" w:ascii="Times New Roman"/>
    </w:rPr>
  </w:style>
  <w:style w:type="character" w:styleId="25">
    <w:name w:val="Hyperlink"/>
    <w:basedOn w:val="22"/>
    <w:qFormat/>
    <w:uiPriority w:val="0"/>
    <w:rPr>
      <w:color w:val="0000FF"/>
      <w:u w:val="single"/>
    </w:rPr>
  </w:style>
  <w:style w:type="character" w:styleId="26">
    <w:name w:val="annotation reference"/>
    <w:basedOn w:val="22"/>
    <w:qFormat/>
    <w:uiPriority w:val="0"/>
    <w:rPr>
      <w:sz w:val="21"/>
      <w:szCs w:val="21"/>
    </w:rPr>
  </w:style>
  <w:style w:type="character" w:styleId="27">
    <w:name w:val="footnote reference"/>
    <w:qFormat/>
    <w:uiPriority w:val="0"/>
    <w:rPr>
      <w:vertAlign w:val="superscript"/>
    </w:rPr>
  </w:style>
  <w:style w:type="paragraph" w:customStyle="1" w:styleId="28">
    <w:name w:val="表格文字"/>
    <w:basedOn w:val="1"/>
    <w:qFormat/>
    <w:uiPriority w:val="0"/>
    <w:pPr>
      <w:spacing w:before="25" w:after="25"/>
      <w:jc w:val="left"/>
    </w:pPr>
    <w:rPr>
      <w:bCs/>
      <w:spacing w:val="10"/>
      <w:kern w:val="0"/>
      <w:sz w:val="24"/>
    </w:rPr>
  </w:style>
  <w:style w:type="paragraph" w:customStyle="1" w:styleId="29">
    <w:name w:val="纯文本1"/>
    <w:basedOn w:val="1"/>
    <w:qFormat/>
    <w:uiPriority w:val="0"/>
    <w:pPr>
      <w:widowControl/>
      <w:adjustRightInd w:val="0"/>
      <w:snapToGrid w:val="0"/>
      <w:spacing w:after="200"/>
      <w:jc w:val="left"/>
    </w:pPr>
    <w:rPr>
      <w:rFonts w:ascii="宋体" w:hAnsi="Courier New" w:eastAsia="微软雅黑"/>
      <w:kern w:val="0"/>
      <w:sz w:val="22"/>
      <w:szCs w:val="20"/>
    </w:rPr>
  </w:style>
  <w:style w:type="paragraph" w:customStyle="1" w:styleId="30">
    <w:name w:val="Heading #1|1"/>
    <w:basedOn w:val="1"/>
    <w:autoRedefine/>
    <w:qFormat/>
    <w:uiPriority w:val="0"/>
    <w:pPr>
      <w:spacing w:after="500" w:line="616" w:lineRule="exact"/>
      <w:jc w:val="center"/>
      <w:outlineLvl w:val="0"/>
    </w:pPr>
    <w:rPr>
      <w:rFonts w:ascii="宋体" w:hAnsi="宋体" w:cs="宋体"/>
      <w:sz w:val="44"/>
      <w:szCs w:val="44"/>
      <w:lang w:val="zh-TW" w:eastAsia="zh-TW" w:bidi="zh-TW"/>
    </w:rPr>
  </w:style>
  <w:style w:type="paragraph" w:customStyle="1" w:styleId="31">
    <w:name w:val="Body text|1"/>
    <w:basedOn w:val="1"/>
    <w:autoRedefine/>
    <w:qFormat/>
    <w:uiPriority w:val="0"/>
    <w:pPr>
      <w:spacing w:line="434" w:lineRule="auto"/>
      <w:ind w:firstLine="400"/>
    </w:pPr>
    <w:rPr>
      <w:rFonts w:ascii="宋体" w:hAnsi="宋体" w:cs="宋体"/>
      <w:sz w:val="28"/>
      <w:szCs w:val="28"/>
      <w:lang w:val="zh-TW" w:eastAsia="zh-TW" w:bidi="zh-TW"/>
    </w:rPr>
  </w:style>
  <w:style w:type="paragraph" w:customStyle="1" w:styleId="32">
    <w:name w:val="列出段落1"/>
    <w:basedOn w:val="1"/>
    <w:autoRedefine/>
    <w:qFormat/>
    <w:uiPriority w:val="99"/>
    <w:pPr>
      <w:ind w:firstLine="420" w:firstLineChars="200"/>
    </w:pPr>
  </w:style>
  <w:style w:type="paragraph" w:customStyle="1" w:styleId="33">
    <w:name w:val="PlainText"/>
    <w:basedOn w:val="1"/>
    <w:autoRedefine/>
    <w:qFormat/>
    <w:uiPriority w:val="0"/>
    <w:pPr>
      <w:textAlignment w:val="baseline"/>
    </w:pPr>
    <w:rPr>
      <w:rFonts w:ascii="宋体" w:hAnsi="Courier New"/>
    </w:rPr>
  </w:style>
  <w:style w:type="paragraph" w:customStyle="1" w:styleId="34">
    <w:name w:val="列出段落2"/>
    <w:basedOn w:val="1"/>
    <w:autoRedefine/>
    <w:qFormat/>
    <w:uiPriority w:val="34"/>
    <w:pPr>
      <w:ind w:firstLine="420" w:firstLineChars="200"/>
    </w:pPr>
  </w:style>
  <w:style w:type="paragraph" w:customStyle="1" w:styleId="35">
    <w:name w:val="列出段落3"/>
    <w:basedOn w:val="1"/>
    <w:autoRedefine/>
    <w:qFormat/>
    <w:uiPriority w:val="34"/>
    <w:pPr>
      <w:ind w:firstLine="420" w:firstLineChars="200"/>
    </w:pPr>
  </w:style>
  <w:style w:type="character" w:customStyle="1" w:styleId="36">
    <w:name w:val="批注框文本 Char"/>
    <w:basedOn w:val="22"/>
    <w:link w:val="12"/>
    <w:autoRedefine/>
    <w:qFormat/>
    <w:uiPriority w:val="0"/>
    <w:rPr>
      <w:rFonts w:ascii="Calibri" w:hAnsi="Calibri" w:cs="黑体"/>
      <w:kern w:val="2"/>
      <w:sz w:val="18"/>
      <w:szCs w:val="18"/>
    </w:rPr>
  </w:style>
  <w:style w:type="character" w:customStyle="1" w:styleId="37">
    <w:name w:val="页脚 Char"/>
    <w:basedOn w:val="22"/>
    <w:link w:val="13"/>
    <w:autoRedefine/>
    <w:unhideWhenUsed/>
    <w:qFormat/>
    <w:uiPriority w:val="0"/>
    <w:rPr>
      <w:rFonts w:hint="default" w:ascii="Times New Roman"/>
      <w:kern w:val="2"/>
      <w:sz w:val="18"/>
    </w:rPr>
  </w:style>
  <w:style w:type="character" w:customStyle="1" w:styleId="38">
    <w:name w:val="font31"/>
    <w:basedOn w:val="22"/>
    <w:autoRedefine/>
    <w:qFormat/>
    <w:uiPriority w:val="0"/>
    <w:rPr>
      <w:rFonts w:hint="eastAsia" w:ascii="宋体" w:hAnsi="宋体" w:eastAsia="宋体" w:cs="宋体"/>
      <w:color w:val="000000"/>
      <w:sz w:val="24"/>
      <w:szCs w:val="24"/>
      <w:u w:val="none"/>
    </w:rPr>
  </w:style>
  <w:style w:type="character" w:customStyle="1" w:styleId="39">
    <w:name w:val="font41"/>
    <w:basedOn w:val="22"/>
    <w:autoRedefine/>
    <w:qFormat/>
    <w:uiPriority w:val="0"/>
    <w:rPr>
      <w:rFonts w:hint="eastAsia" w:ascii="宋体" w:hAnsi="宋体" w:eastAsia="宋体" w:cs="宋体"/>
      <w:color w:val="FF0000"/>
      <w:sz w:val="24"/>
      <w:szCs w:val="24"/>
      <w:u w:val="none"/>
    </w:rPr>
  </w:style>
  <w:style w:type="character" w:customStyle="1" w:styleId="40">
    <w:name w:val="font51"/>
    <w:basedOn w:val="22"/>
    <w:autoRedefine/>
    <w:qFormat/>
    <w:uiPriority w:val="0"/>
    <w:rPr>
      <w:rFonts w:hint="eastAsia" w:ascii="宋体" w:hAnsi="宋体" w:eastAsia="宋体" w:cs="宋体"/>
      <w:b/>
      <w:bCs/>
      <w:color w:val="FF0000"/>
      <w:sz w:val="24"/>
      <w:szCs w:val="24"/>
      <w:u w:val="none"/>
    </w:rPr>
  </w:style>
  <w:style w:type="paragraph" w:customStyle="1" w:styleId="41">
    <w:name w:val="p0"/>
    <w:basedOn w:val="1"/>
    <w:autoRedefine/>
    <w:qFormat/>
    <w:uiPriority w:val="0"/>
    <w:pPr>
      <w:widowControl/>
    </w:pPr>
    <w:rPr>
      <w:kern w:val="0"/>
      <w:szCs w:val="21"/>
    </w:rPr>
  </w:style>
  <w:style w:type="table" w:customStyle="1" w:styleId="42">
    <w:name w:val="Table Normal"/>
    <w:autoRedefine/>
    <w:unhideWhenUsed/>
    <w:qFormat/>
    <w:uiPriority w:val="0"/>
    <w:tblPr>
      <w:tblCellMar>
        <w:top w:w="0" w:type="dxa"/>
        <w:left w:w="0" w:type="dxa"/>
        <w:bottom w:w="0" w:type="dxa"/>
        <w:right w:w="0" w:type="dxa"/>
      </w:tblCellMar>
    </w:tblPr>
  </w:style>
  <w:style w:type="paragraph" w:customStyle="1" w:styleId="43">
    <w:name w:val="样式2"/>
    <w:basedOn w:val="1"/>
    <w:autoRedefine/>
    <w:qFormat/>
    <w:uiPriority w:val="0"/>
    <w:rPr>
      <w:rFonts w:ascii="楷体_GB2312" w:eastAsia="楷体_GB2312"/>
      <w:color w:val="000000"/>
      <w:sz w:val="24"/>
    </w:rPr>
  </w:style>
  <w:style w:type="character" w:customStyle="1" w:styleId="44">
    <w:name w:val="font21"/>
    <w:basedOn w:val="22"/>
    <w:autoRedefine/>
    <w:qFormat/>
    <w:uiPriority w:val="0"/>
    <w:rPr>
      <w:rFonts w:hint="default" w:ascii="Calibri" w:hAnsi="Calibri" w:cs="Calibri"/>
      <w:color w:val="000000"/>
      <w:sz w:val="21"/>
      <w:szCs w:val="21"/>
      <w:u w:val="none"/>
    </w:rPr>
  </w:style>
  <w:style w:type="paragraph" w:customStyle="1" w:styleId="45">
    <w:name w:val="0级"/>
    <w:basedOn w:val="1"/>
    <w:autoRedefine/>
    <w:qFormat/>
    <w:uiPriority w:val="0"/>
    <w:pPr>
      <w:ind w:left="420" w:hanging="420"/>
    </w:pPr>
    <w:rPr>
      <w:rFonts w:ascii="宋体" w:hAnsi="宋体" w:cs="Times New Roman"/>
      <w:color w:val="000000"/>
      <w:szCs w:val="21"/>
    </w:rPr>
  </w:style>
  <w:style w:type="character" w:customStyle="1" w:styleId="46">
    <w:name w:val="批注文字 Char"/>
    <w:basedOn w:val="22"/>
    <w:link w:val="9"/>
    <w:autoRedefine/>
    <w:qFormat/>
    <w:uiPriority w:val="0"/>
    <w:rPr>
      <w:rFonts w:ascii="Calibri" w:hAnsi="Calibri" w:cs="黑体"/>
      <w:kern w:val="2"/>
      <w:sz w:val="21"/>
      <w:szCs w:val="24"/>
    </w:rPr>
  </w:style>
  <w:style w:type="character" w:customStyle="1" w:styleId="47">
    <w:name w:val="批注主题 Char"/>
    <w:basedOn w:val="46"/>
    <w:link w:val="19"/>
    <w:autoRedefine/>
    <w:qFormat/>
    <w:uiPriority w:val="0"/>
    <w:rPr>
      <w:rFonts w:ascii="Calibri" w:hAnsi="Calibri" w:cs="黑体"/>
      <w:kern w:val="2"/>
      <w:sz w:val="21"/>
      <w:szCs w:val="24"/>
    </w:rPr>
  </w:style>
  <w:style w:type="paragraph" w:styleId="48">
    <w:name w:val="List Paragraph"/>
    <w:basedOn w:val="1"/>
    <w:autoRedefine/>
    <w:qFormat/>
    <w:uiPriority w:val="34"/>
    <w:pPr>
      <w:ind w:firstLine="420" w:firstLineChars="200"/>
    </w:pPr>
    <w:rPr>
      <w:rFonts w:cs="Times New Roman"/>
      <w:szCs w:val="22"/>
    </w:rPr>
  </w:style>
  <w:style w:type="paragraph" w:customStyle="1" w:styleId="49">
    <w:name w:val="列出段落111"/>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53CF1E-718D-469A-9A8A-950956A885F0}">
  <ds:schemaRefs/>
</ds:datastoreItem>
</file>

<file path=docProps/app.xml><?xml version="1.0" encoding="utf-8"?>
<Properties xmlns="http://schemas.openxmlformats.org/officeDocument/2006/extended-properties" xmlns:vt="http://schemas.openxmlformats.org/officeDocument/2006/docPropsVTypes">
  <Template>Normal.dotm</Template>
  <Company>DoubleOX</Company>
  <Pages>35</Pages>
  <Words>15808</Words>
  <Characters>16263</Characters>
  <Lines>45</Lines>
  <Paragraphs>12</Paragraphs>
  <TotalTime>13</TotalTime>
  <ScaleCrop>false</ScaleCrop>
  <LinksUpToDate>false</LinksUpToDate>
  <CharactersWithSpaces>16902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2023-10-25T06:28:00Z</dcterms:created>
  <dc:creator>观辉</dc:creator>
  <cp:lastModifiedBy>HyoQi</cp:lastModifiedBy>
  <cp:lastPrinted>2023-11-28T07:42:00Z</cp:lastPrinted>
  <dcterms:modified xsi:type="dcterms:W3CDTF">2024-01-10T08:59:31Z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D540A768165F471AB6F1976F91C0C945_13</vt:lpwstr>
  </property>
</Properties>
</file>