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附件1:</w:t>
      </w:r>
    </w:p>
    <w:p>
      <w:pPr>
        <w:spacing w:after="316" w:afterLines="100" w:line="560" w:lineRule="exact"/>
        <w:ind w:right="0"/>
        <w:jc w:val="center"/>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保养电梯型号</w:t>
      </w:r>
    </w:p>
    <w:tbl>
      <w:tblPr>
        <w:tblStyle w:val="11"/>
        <w:tblW w:w="8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2839"/>
        <w:gridCol w:w="768"/>
        <w:gridCol w:w="867"/>
        <w:gridCol w:w="1517"/>
        <w:gridCol w:w="711"/>
        <w:gridCol w:w="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jc w:val="center"/>
        </w:trPr>
        <w:tc>
          <w:tcPr>
            <w:tcW w:w="116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序号</w:t>
            </w:r>
          </w:p>
        </w:tc>
        <w:tc>
          <w:tcPr>
            <w:tcW w:w="283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电梯</w:t>
            </w:r>
            <w:r>
              <w:rPr>
                <w:rFonts w:hint="eastAsia" w:ascii="宋体" w:hAnsi="宋体" w:eastAsia="宋体" w:cs="宋体"/>
                <w:b w:val="0"/>
                <w:bCs/>
                <w:sz w:val="21"/>
                <w:szCs w:val="21"/>
                <w:highlight w:val="none"/>
                <w:lang w:val="en-US" w:eastAsia="zh-CN"/>
              </w:rPr>
              <w:t>的</w:t>
            </w:r>
            <w:r>
              <w:rPr>
                <w:rFonts w:hint="eastAsia" w:ascii="宋体" w:hAnsi="宋体" w:eastAsia="宋体" w:cs="宋体"/>
                <w:b w:val="0"/>
                <w:bCs/>
                <w:sz w:val="21"/>
                <w:szCs w:val="21"/>
                <w:highlight w:val="none"/>
                <w:lang w:eastAsia="zh-CN"/>
              </w:rPr>
              <w:t>设备注册代码</w:t>
            </w:r>
          </w:p>
        </w:tc>
        <w:tc>
          <w:tcPr>
            <w:tcW w:w="768"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电梯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品牌</w:t>
            </w:r>
          </w:p>
        </w:tc>
        <w:tc>
          <w:tcPr>
            <w:tcW w:w="86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数量</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台</w:t>
            </w:r>
            <w:r>
              <w:rPr>
                <w:rFonts w:hint="eastAsia" w:ascii="宋体" w:hAnsi="宋体" w:eastAsia="宋体" w:cs="宋体"/>
                <w:b w:val="0"/>
                <w:bCs/>
                <w:sz w:val="21"/>
                <w:szCs w:val="21"/>
                <w:highlight w:val="none"/>
                <w:lang w:eastAsia="zh-CN"/>
              </w:rPr>
              <w:t>）</w:t>
            </w:r>
          </w:p>
        </w:tc>
        <w:tc>
          <w:tcPr>
            <w:tcW w:w="151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主要参数</w:t>
            </w:r>
          </w:p>
        </w:tc>
        <w:tc>
          <w:tcPr>
            <w:tcW w:w="711"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维保</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类型</w:t>
            </w:r>
          </w:p>
        </w:tc>
        <w:tc>
          <w:tcPr>
            <w:tcW w:w="78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blHeader/>
          <w:jc w:val="center"/>
        </w:trPr>
        <w:tc>
          <w:tcPr>
            <w:tcW w:w="116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c>
          <w:tcPr>
            <w:tcW w:w="283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c>
          <w:tcPr>
            <w:tcW w:w="768"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c>
          <w:tcPr>
            <w:tcW w:w="86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c>
          <w:tcPr>
            <w:tcW w:w="151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c>
          <w:tcPr>
            <w:tcW w:w="711"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c>
          <w:tcPr>
            <w:tcW w:w="78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bookmarkStart w:id="0" w:name="OLE_LINK1" w:colFirst="6" w:colLast="6"/>
            <w:r>
              <w:rPr>
                <w:rFonts w:hint="eastAsia" w:ascii="宋体" w:hAnsi="宋体" w:eastAsia="宋体" w:cs="宋体"/>
                <w:b w:val="0"/>
                <w:bCs/>
                <w:sz w:val="21"/>
                <w:szCs w:val="21"/>
                <w:highlight w:val="none"/>
                <w:lang w:val="en-US" w:eastAsia="zh-CN"/>
              </w:rPr>
              <w:t>1</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31104403002016008535~7；</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31104403002016009662</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31104403002016007006；</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1.75m/s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11/11/11</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31104403002016007004~5；</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11/11/11</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31104403002017000313</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1000kg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4/4/4</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31104403002016009663；</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31104403002016009665</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26/26/26</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31104403002016010792~5</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26/14/14</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31104403002016009666~9</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1.75m/s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15/15/15</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31204403002016009664</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2000kg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2/2/2</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33104403002017000311~2</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康力</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H=5.5m</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0.5m/s</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扶梯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31104403002018001585</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10/10/10</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31104403002018002397</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2000kg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7/7/7</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11</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31104403002018004953~4</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10/9/9</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31104403002018004955~6</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（高速电梯）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23/15/15</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31104403002018004957~60</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（高速电梯）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23/16/16</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14</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33104403002018006106~7</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H=4.5m</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0.5m/s</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扶梯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15</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33104403002018006108~11</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H=3.9m</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0.5m/s</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扶梯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16</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33104403002018006112~15</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H=5.9m</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0.5m/s</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扶梯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17</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31104403002018009743</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1000kg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3/3/3</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18</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31104403002018009740~2</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10/10/10</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19</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31104403002018011074</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26/26/26</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31104403002018009736~9</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15/15/15</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21</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31104403002018012653</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（高速电梯）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36/36/36</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22</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31104403002018011069~70</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26/15/15</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31104403002018011071~3</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7/7/7</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24</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31104403002018011060~1</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1.5m/s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5/5/5</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25</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31104403002018012650~2</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（高速电梯）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36/16/16</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31104403002019013898~900</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蒂升</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1350kg</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（高速电梯）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36/16/16</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27</w:t>
            </w:r>
          </w:p>
        </w:tc>
        <w:tc>
          <w:tcPr>
            <w:tcW w:w="283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31104403002020028828</w:t>
            </w:r>
          </w:p>
        </w:tc>
        <w:tc>
          <w:tcPr>
            <w:tcW w:w="76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广州永日</w:t>
            </w:r>
          </w:p>
        </w:tc>
        <w:tc>
          <w:tcPr>
            <w:tcW w:w="86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51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2000kg，2.0m/s</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26/26/26</w:t>
            </w:r>
          </w:p>
        </w:tc>
        <w:tc>
          <w:tcPr>
            <w:tcW w:w="71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半包</w:t>
            </w:r>
          </w:p>
        </w:tc>
        <w:tc>
          <w:tcPr>
            <w:tcW w:w="78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both"/>
              <w:textAlignment w:val="auto"/>
              <w:outlineLvl w:val="9"/>
              <w:rPr>
                <w:rFonts w:hint="eastAsia" w:ascii="宋体" w:hAnsi="宋体" w:eastAsia="宋体" w:cs="宋体"/>
                <w:b w:val="0"/>
                <w:bCs/>
                <w:sz w:val="21"/>
                <w:szCs w:val="21"/>
                <w:highlight w:val="none"/>
                <w:lang w:val="en-US" w:eastAsia="zh-CN"/>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1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left"/>
              <w:textAlignment w:val="auto"/>
              <w:outlineLvl w:val="9"/>
              <w:rPr>
                <w:rFonts w:hint="eastAsia" w:ascii="宋体" w:hAnsi="宋体" w:eastAsia="宋体" w:cs="宋体"/>
                <w:b w:val="0"/>
                <w:bCs/>
                <w:sz w:val="21"/>
                <w:szCs w:val="21"/>
                <w:highlight w:val="none"/>
                <w:lang w:val="en-US" w:eastAsia="zh-CN"/>
              </w:rPr>
            </w:pPr>
          </w:p>
        </w:tc>
        <w:tc>
          <w:tcPr>
            <w:tcW w:w="3607"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right"/>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电梯总数（台）</w:t>
            </w:r>
          </w:p>
        </w:tc>
        <w:tc>
          <w:tcPr>
            <w:tcW w:w="3877"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65</w:t>
            </w:r>
          </w:p>
        </w:tc>
      </w:tr>
    </w:tbl>
    <w:p>
      <w:pPr>
        <w:keepNext w:val="0"/>
        <w:keepLines w:val="0"/>
        <w:pageBreakBefore w:val="0"/>
        <w:widowControl/>
        <w:kinsoku/>
        <w:wordWrap/>
        <w:overflowPunct/>
        <w:topLinePunct w:val="0"/>
        <w:autoSpaceDE/>
        <w:autoSpaceDN/>
        <w:bidi w:val="0"/>
        <w:adjustRightInd/>
        <w:snapToGrid/>
        <w:spacing w:after="0" w:afterLines="-2147483648" w:line="240" w:lineRule="auto"/>
        <w:ind w:right="0" w:rightChars="0"/>
        <w:jc w:val="left"/>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after="316" w:afterLines="100" w:line="560" w:lineRule="exact"/>
        <w:ind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保养服务内容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b w:val="0"/>
          <w:bCs/>
          <w:color w:val="auto"/>
          <w:sz w:val="32"/>
          <w:szCs w:val="32"/>
          <w:highlight w:val="none"/>
          <w:lang w:eastAsia="zh-CN"/>
        </w:rPr>
        <w:t>一、</w:t>
      </w:r>
      <w:r>
        <w:rPr>
          <w:rFonts w:hint="eastAsia" w:ascii="黑体" w:hAnsi="黑体" w:eastAsia="黑体" w:cs="黑体"/>
          <w:color w:val="000000"/>
          <w:sz w:val="32"/>
          <w:szCs w:val="32"/>
          <w:highlight w:val="none"/>
        </w:rPr>
        <w:t>机房内检查及保养事项</w:t>
      </w:r>
    </w:p>
    <w:tbl>
      <w:tblPr>
        <w:tblStyle w:val="11"/>
        <w:tblW w:w="950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3"/>
        <w:gridCol w:w="8"/>
        <w:gridCol w:w="597"/>
        <w:gridCol w:w="10"/>
        <w:gridCol w:w="945"/>
        <w:gridCol w:w="23"/>
        <w:gridCol w:w="5962"/>
        <w:gridCol w:w="8"/>
        <w:gridCol w:w="1218"/>
        <w:gridCol w:w="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序号</w:t>
            </w:r>
          </w:p>
        </w:tc>
        <w:tc>
          <w:tcPr>
            <w:tcW w:w="1575" w:type="dxa"/>
            <w:gridSpan w:val="4"/>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保养项目</w:t>
            </w:r>
          </w:p>
        </w:tc>
        <w:tc>
          <w:tcPr>
            <w:tcW w:w="5970"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保养内容及要求</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保养周期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w:t>
            </w:r>
          </w:p>
        </w:tc>
        <w:tc>
          <w:tcPr>
            <w:tcW w:w="1575" w:type="dxa"/>
            <w:gridSpan w:val="4"/>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机房的通道，出入口门</w:t>
            </w: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·通道应通畅无障碍物、应有适当的照明设施且有效</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·机房门应有告示牌、出入口锁紧装置要良好</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·机房内应清洁卫生，不得堆放非电梯用物品</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1.2</w:t>
            </w:r>
          </w:p>
        </w:tc>
        <w:tc>
          <w:tcPr>
            <w:tcW w:w="1575" w:type="dxa"/>
            <w:gridSpan w:val="4"/>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机房设施</w:t>
            </w: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·机房内温度要维持5℃～40℃、</w:t>
            </w:r>
            <w:r>
              <w:rPr>
                <w:rFonts w:hint="eastAsia" w:ascii="仿宋_GB2312" w:hAnsi="仿宋_GB2312" w:eastAsia="仿宋_GB2312" w:cs="仿宋_GB2312"/>
                <w:color w:val="000000"/>
                <w:sz w:val="24"/>
                <w:szCs w:val="24"/>
                <w:highlight w:val="none"/>
                <w:lang w:eastAsia="zh-CN"/>
              </w:rPr>
              <w:t>天</w:t>
            </w:r>
            <w:r>
              <w:rPr>
                <w:rFonts w:hint="eastAsia" w:ascii="仿宋_GB2312" w:hAnsi="仿宋_GB2312" w:eastAsia="仿宋_GB2312" w:cs="仿宋_GB2312"/>
                <w:color w:val="000000"/>
                <w:sz w:val="24"/>
                <w:szCs w:val="24"/>
                <w:highlight w:val="none"/>
              </w:rPr>
              <w:t>花板或窗户不应漏水</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·消防器材在有效期内</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1.3</w:t>
            </w:r>
          </w:p>
        </w:tc>
        <w:tc>
          <w:tcPr>
            <w:tcW w:w="1575" w:type="dxa"/>
            <w:gridSpan w:val="4"/>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滑轮间</w:t>
            </w: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·滑轮间应有足够的固定照明、电源插座</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·滑轮间入口，急停开关动作可靠</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·滑轮间地面清洁无油污</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31"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1.4</w:t>
            </w:r>
          </w:p>
        </w:tc>
        <w:tc>
          <w:tcPr>
            <w:tcW w:w="1575" w:type="dxa"/>
            <w:gridSpan w:val="4"/>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手动盘车</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装置</w:t>
            </w: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·手动盘车装置齐全，标识明确，操作说明清晰详细</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·制动器松闸板手应挂在制动器附近容易接近的墙上</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1.5</w:t>
            </w:r>
          </w:p>
        </w:tc>
        <w:tc>
          <w:tcPr>
            <w:tcW w:w="1575" w:type="dxa"/>
            <w:gridSpan w:val="4"/>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配电盘，控制柜（屏）</w:t>
            </w: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·各开关装置及保险标识明确、工作可靠无异常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·接触器、继电器等电器元件固定良好、工作可靠无异常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·电子板插件固定要良好，表面无积尘，无异味</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·门锁及安全回路无短接线</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·设置有故障检测功能的微机电梯，需检查故障记录并做相应处理</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·布线整齐，线槽盖板齐全、严密，接地良好</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75"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·各接线端子标志和编号清晰、并紧固，无氧化及接触不良</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·清洁卫生良好</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75"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·各电气部件的工作状态及检测点的工作参数符合产品说明要求</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75"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·断错相保护功能正常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·动力和控制回路的电气绝缘符合标准要求</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1.6</w:t>
            </w:r>
          </w:p>
        </w:tc>
        <w:tc>
          <w:tcPr>
            <w:tcW w:w="597"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曳</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引</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w:t>
            </w:r>
          </w:p>
        </w:tc>
        <w:tc>
          <w:tcPr>
            <w:tcW w:w="978" w:type="dxa"/>
            <w:gridSpan w:val="3"/>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减速箱</w:t>
            </w: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·表面无积尘及油污，油漆无剥落；箱体密封可靠，漏油无异常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·运转时应无异常响声及振动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·传动部件啮合状态良好，无异常温升</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78"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·油位正常，无杂质，按厂家要求定期更换</w:t>
            </w:r>
          </w:p>
        </w:tc>
        <w:tc>
          <w:tcPr>
            <w:tcW w:w="1233"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1.7</w:t>
            </w:r>
          </w:p>
        </w:tc>
        <w:tc>
          <w:tcPr>
            <w:tcW w:w="59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78" w:type="dxa"/>
            <w:gridSpan w:val="3"/>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曳引轮</w:t>
            </w: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·曳引轮绳槽无严重油垢，磨损无异常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·正常运行时曳引轮与钢丝绳之间无严重滑移现象</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·曳引轮线槽磨损严重时，需满足曳引条件要求，并确认更换或监控使用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·所设置的防止机械伤害的安全装置固定可靠，警告标识清晰</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·所设置的防止钢丝绳脱离装置应稳固</w:t>
            </w:r>
          </w:p>
        </w:tc>
        <w:tc>
          <w:tcPr>
            <w:tcW w:w="123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31"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78"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70"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·曳引轮在各负荷状态下的垂直度偏差不大于2mm</w:t>
            </w:r>
          </w:p>
        </w:tc>
        <w:tc>
          <w:tcPr>
            <w:tcW w:w="1233"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1.8</w:t>
            </w:r>
          </w:p>
        </w:tc>
        <w:tc>
          <w:tcPr>
            <w:tcW w:w="615" w:type="dxa"/>
            <w:gridSpan w:val="3"/>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曳引机</w:t>
            </w:r>
          </w:p>
        </w:tc>
        <w:tc>
          <w:tcPr>
            <w:tcW w:w="945"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轴承</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·应无异常发热、无异常声音</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615"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·按润滑要求定期加注</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1.9</w:t>
            </w:r>
          </w:p>
        </w:tc>
        <w:tc>
          <w:tcPr>
            <w:tcW w:w="615"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45"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制动器</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·制动器动作灵活、各部件齐全并可靠固定、所设置的电气触点接触良好</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·制动轮光洁、无异常划痕，运行时无异响</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·制动器线圈表面无异常发热、电气接线可靠</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·制动器机械机构各相关尺寸按产品标准要求调整正确</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·制动器闸瓦工作可靠、磨损无异常，接近使用期限时应更换</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615"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·制动器解体清理、各运动部件选用规定润滑剂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·解体清理装配完毕的制动器性能应满足相关制动要求</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1.10</w:t>
            </w:r>
          </w:p>
        </w:tc>
        <w:tc>
          <w:tcPr>
            <w:tcW w:w="615"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45"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导向轮/复绕轮</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·旋转顺畅、无异常声响；绳槽无严重油垢，磨损无异常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·所设置的防止机械伤害的安全装置固定可靠，警告标识清晰</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1.11</w:t>
            </w:r>
          </w:p>
        </w:tc>
        <w:tc>
          <w:tcPr>
            <w:tcW w:w="615"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45"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电机</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·工作无异常发热和异常声响、表面清洁卫生</w:t>
            </w:r>
          </w:p>
        </w:tc>
        <w:tc>
          <w:tcPr>
            <w:tcW w:w="1226"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615"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·定子线圈应清洁、无积尘</w:t>
            </w:r>
          </w:p>
        </w:tc>
        <w:tc>
          <w:tcPr>
            <w:tcW w:w="1226"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615"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945"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·电机的接线端子固定可靠、接触良好，无明显氧化及锈蚀</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1.12</w:t>
            </w:r>
          </w:p>
        </w:tc>
        <w:tc>
          <w:tcPr>
            <w:tcW w:w="1560" w:type="dxa"/>
            <w:gridSpan w:val="4"/>
            <w:vMerge w:val="restart"/>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编码器/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测速电机</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·固定可靠、清洁卫生、转动灵活，无异常声响</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60"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·接线端固定可靠、接触良好</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1.13</w:t>
            </w:r>
          </w:p>
        </w:tc>
        <w:tc>
          <w:tcPr>
            <w:tcW w:w="1560" w:type="dxa"/>
            <w:gridSpan w:val="4"/>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选层器</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·所设置的传动钢带受力均匀无扭曲，无裂痕或破损现象</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60"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·固定/运动各触点位置固定可靠、表面清洁、磨损值在允许范围内</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·电气接线标志清晰、接触良好、无明显氧化</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1.14</w:t>
            </w:r>
          </w:p>
        </w:tc>
        <w:tc>
          <w:tcPr>
            <w:tcW w:w="1560" w:type="dxa"/>
            <w:gridSpan w:val="4"/>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限速器和</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安全钳</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·各运动部件转动灵活、无异常声响，铅封或漆封标记齐全，无移动痕迹</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60"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·钢丝绳及绳槽无严重油垢，磨损无异常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·所设置的电气开关及触点工作可靠，接线良好</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60"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·限速器、安全钳联动试验可靠；限速器可靠固定、垂直度偏差不大于0.5mm</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60"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·定期现场检测限速器各动作速度符合铭牌及标准要求</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tblCellSpacing w:w="0" w:type="dxa"/>
          <w:jc w:val="center"/>
        </w:trPr>
        <w:tc>
          <w:tcPr>
            <w:tcW w:w="723"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1.15</w:t>
            </w:r>
          </w:p>
        </w:tc>
        <w:tc>
          <w:tcPr>
            <w:tcW w:w="1560" w:type="dxa"/>
            <w:gridSpan w:val="4"/>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曳引机减震装置</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·限位挡块及缓冲橡胶齐全并固定可靠；橡胶表面无裂痕、老化现象</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1.16</w:t>
            </w:r>
          </w:p>
        </w:tc>
        <w:tc>
          <w:tcPr>
            <w:tcW w:w="1560" w:type="dxa"/>
            <w:gridSpan w:val="4"/>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停电自动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救援装置</w:t>
            </w: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·所使用的蓄电池接线端子无明显的氧化腐蚀</w:t>
            </w:r>
          </w:p>
        </w:tc>
        <w:tc>
          <w:tcPr>
            <w:tcW w:w="1226"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15" w:type="dxa"/>
          <w:cantSplit/>
          <w:tblCellSpacing w:w="0" w:type="dxa"/>
          <w:jc w:val="center"/>
        </w:trPr>
        <w:tc>
          <w:tcPr>
            <w:tcW w:w="72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560" w:type="dxa"/>
            <w:gridSpan w:val="4"/>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8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·定期检查其功能正常。如需停电检修，应采取措施，防止误动作</w:t>
            </w:r>
          </w:p>
        </w:tc>
        <w:tc>
          <w:tcPr>
            <w:tcW w:w="1226"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bl>
    <w:p>
      <w:pPr>
        <w:rPr>
          <w:rFonts w:hint="default" w:ascii="黑体" w:hAnsi="黑体" w:eastAsia="黑体" w:cs="黑体"/>
          <w:b w:val="0"/>
          <w:bCs/>
          <w:color w:val="auto"/>
          <w:sz w:val="32"/>
          <w:szCs w:val="32"/>
          <w:highlight w:val="none"/>
          <w:lang w:eastAsia="zh-CN"/>
        </w:rPr>
      </w:pPr>
      <w:r>
        <w:rPr>
          <w:rFonts w:hint="default" w:ascii="黑体" w:hAnsi="黑体" w:eastAsia="黑体" w:cs="黑体"/>
          <w:b w:val="0"/>
          <w:bCs/>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b w:val="0"/>
          <w:bCs/>
          <w:color w:val="auto"/>
          <w:sz w:val="32"/>
          <w:szCs w:val="32"/>
          <w:highlight w:val="none"/>
          <w:lang w:eastAsia="zh-CN"/>
        </w:rPr>
      </w:pPr>
      <w:r>
        <w:rPr>
          <w:rFonts w:hint="default"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lang w:eastAsia="zh-CN"/>
        </w:rPr>
        <w:t>、轿厢和对重检查及保养事项</w:t>
      </w:r>
    </w:p>
    <w:tbl>
      <w:tblPr>
        <w:tblStyle w:val="11"/>
        <w:tblW w:w="948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4"/>
        <w:gridCol w:w="1890"/>
        <w:gridCol w:w="13"/>
        <w:gridCol w:w="5552"/>
        <w:gridCol w:w="3"/>
        <w:gridCol w:w="1216"/>
        <w:gridCol w:w="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序号</w:t>
            </w:r>
          </w:p>
        </w:tc>
        <w:tc>
          <w:tcPr>
            <w:tcW w:w="1907" w:type="dxa"/>
            <w:gridSpan w:val="3"/>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保养项目</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保养内容及要求</w:t>
            </w:r>
          </w:p>
        </w:tc>
        <w:tc>
          <w:tcPr>
            <w:tcW w:w="1223"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保养周期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w:t>
            </w:r>
          </w:p>
        </w:tc>
        <w:tc>
          <w:tcPr>
            <w:tcW w:w="1907" w:type="dxa"/>
            <w:gridSpan w:val="3"/>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轿内标示牌</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·轿内应有标明额定载重量、人数和制造单位的铭牌</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·电梯使用守则、紧急情况时联络电话</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·电梯注册登记标志、电梯维保标志</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·电梯轿厢内所需的所有标识牌由维保单位负责提供</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2.2</w:t>
            </w:r>
          </w:p>
        </w:tc>
        <w:tc>
          <w:tcPr>
            <w:tcW w:w="1907" w:type="dxa"/>
            <w:gridSpan w:val="3"/>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轿厢壁、天花板及地板</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·轿内应清洁（须与业主明确责任）</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·不应存在严重的变形、磨损、生锈、腐蚀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·如轿厢重新装修，不应使用易燃材料，且需检查及调整平衡系数</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2.3</w:t>
            </w:r>
          </w:p>
        </w:tc>
        <w:tc>
          <w:tcPr>
            <w:tcW w:w="1907" w:type="dxa"/>
            <w:gridSpan w:val="3"/>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轿内操纵箱</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及显示器</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·按钮、开关无明显的老化、损伤，标记清晰、功能正常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·所设置的轿内检修盒面板锁有效，检修盒内各开关功能正常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·显示器表面无破损，显示状态正确无误</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2.4</w:t>
            </w:r>
          </w:p>
        </w:tc>
        <w:tc>
          <w:tcPr>
            <w:tcW w:w="1907" w:type="dxa"/>
            <w:gridSpan w:val="3"/>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轿厢照明和</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通风装置</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·轿厢内照明和通风装置工作应正常，轿内地板的照明度要在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50Lx以上</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907"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·应定期检查及清洁轿厢风扇，风扇的轴承应定期注油润滑</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2.5</w:t>
            </w:r>
          </w:p>
        </w:tc>
        <w:tc>
          <w:tcPr>
            <w:tcW w:w="1907" w:type="dxa"/>
            <w:gridSpan w:val="3"/>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轿厢门、地坎、护脚板</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·不应存在严重的变形、磨损、生锈、腐蚀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·轿厢地坎及上坎清洁无积尘</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·轿门门滑块齐全，无脱落</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907"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·护脚板符合标准要求并固定可靠</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·阻止关门所需的力不应大于150N</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·门扇与门扇，门扇与门框、地坎之间的间隙符合标准要求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·轿门门滑块、轿门门挂轮、门挂板偏心轮检查磨损及间隙调整</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·不应出现因轿门滑块磨损而产生噪音</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3"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2.6</w:t>
            </w:r>
          </w:p>
        </w:tc>
        <w:tc>
          <w:tcPr>
            <w:tcW w:w="1907" w:type="dxa"/>
            <w:gridSpan w:val="3"/>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轿门开关</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·开关安装应紧固、无松动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·开关动作位置应适当，开关动作时电梯不能启动或停止运行</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·如两扇轿门不是直接连接，副门锁也应正常动作</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2.7</w:t>
            </w:r>
          </w:p>
        </w:tc>
        <w:tc>
          <w:tcPr>
            <w:tcW w:w="1907" w:type="dxa"/>
            <w:gridSpan w:val="3"/>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门机系统</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·各部件固定可靠、运动机构传动灵活、润滑良好</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·开关门顺畅，无异响及卡阻</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·开、关门装置的传动链、带不应</w:t>
            </w:r>
            <w:r>
              <w:rPr>
                <w:rFonts w:hint="eastAsia" w:ascii="仿宋_GB2312" w:hAnsi="仿宋_GB2312" w:eastAsia="仿宋_GB2312" w:cs="仿宋_GB2312"/>
                <w:color w:val="000000"/>
                <w:sz w:val="24"/>
                <w:szCs w:val="24"/>
                <w:highlight w:val="none"/>
                <w:lang w:eastAsia="zh-CN"/>
              </w:rPr>
              <w:t>松弛</w:t>
            </w:r>
            <w:r>
              <w:rPr>
                <w:rFonts w:hint="eastAsia" w:ascii="仿宋_GB2312" w:hAnsi="仿宋_GB2312" w:eastAsia="仿宋_GB2312" w:cs="仿宋_GB2312"/>
                <w:color w:val="000000"/>
                <w:sz w:val="24"/>
                <w:szCs w:val="24"/>
                <w:highlight w:val="none"/>
              </w:rPr>
              <w:t>和过度磨损</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·所设置的光电安全触板清洁无积尘，发射接收准确无误动作</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907"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·接线端子标记清晰、固定可靠、接触良好，无明显氧化及锈蚀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·机械安全触板相关尺寸调整符合产品要求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·安全装置动作应迅速可靠；安全装置动作时轿门应反向开门，运转应平稳</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·开关门位置、速度传感装置工作正常</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2.8</w:t>
            </w:r>
          </w:p>
        </w:tc>
        <w:tc>
          <w:tcPr>
            <w:tcW w:w="1907" w:type="dxa"/>
            <w:gridSpan w:val="3"/>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轿厢地坎、轿门边缘与井道壁之间的距离</w:t>
            </w: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·不能超越规定尺寸150mm</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907"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·轿厢地坎与厅门地坎间隙、轿厢地坎与厅门门锁轮间隙检查符合标准</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803"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907" w:type="dxa"/>
            <w:gridSpan w:val="3"/>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5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·如装有井道壁防护网或防护板，防护网（板）不应松脱或损坏</w:t>
            </w:r>
          </w:p>
        </w:tc>
        <w:tc>
          <w:tcPr>
            <w:tcW w:w="1223"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2.9</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紧急出口（安全窗、安全门、检修门、活板门）</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·出口门（窗）开、关顺畅，锁紧装置可靠有效并符合标准要求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·出口门（窗）应附带开关，打开出口时电梯停止</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·出口门（窗）强度足够，不应破损</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2.10</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轿门机械锁</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装置</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·应符合相关的动作条件，动作应灵活、可靠</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·如依靠电磁装置动作，电磁装置动作正常，温升不应过高</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2.11</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应急照明、</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警铃和电话</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·停电后应急照明装置应正常，并保证应急照明至少能持续1小时</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·报警装置、通话装置的按钮标记清晰、功能正常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·外部的警铃及电话等设置在管理员常驻的消防中心或值班室</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·为方便紧急救援、检修，机房与轿厢间应设置电话联络装置</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·设置在轿内的紧急联络装置要使用方便，停电时应能通话1小时以上</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2.12</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轿顶检修装置</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·轿顶检修装置应优先于其他一切检修装置</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·检修开关动作应灵活可靠</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2.13</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轿顶停止开关</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·停止开关的动作要良好</w:t>
            </w:r>
          </w:p>
        </w:tc>
        <w:tc>
          <w:tcPr>
            <w:tcW w:w="1219"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2.14</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停层、平层装置</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·各平层感应器表面清洁无积尘，感应器与感应片的各相关尺寸符合要求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·确认轿厢运行时产生的位移不会导致感应器与感应片碰撞</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·电气连线固定可靠，接触良好</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2.15</w:t>
            </w:r>
          </w:p>
        </w:tc>
        <w:tc>
          <w:tcPr>
            <w:tcW w:w="1890"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轿顶照明及</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w:t>
            </w:r>
          </w:p>
        </w:tc>
        <w:tc>
          <w:tcPr>
            <w:tcW w:w="5565"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·轿顶照明、照明开关及防护罩应齐全并良好，有备用灯泡</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2.16</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轿顶面、防护栏</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·轿顶面清洁无油污，防护栏应有足够强度和合适的尺寸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·轿顶面各装置电气布线整齐</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2.17</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轿顶反绳轮</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·钢丝绳槽无严重油污，不应有过度磨损，绳轮转动灵活；轴承润滑良好，无异响</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·绳轮应有防护罩和挡绳装置，挡绳装置的位置合适</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2.18</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导靴（滚轮）</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·运行时无异响，接触部(转动部)的磨损不应太大、润滑良好</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·导靴（滚轮）安装尺寸符合产品要求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·轿顶、对重上油杯内油量充足且油杯不漏油不破损</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2.19</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机械选层器</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·机械选层器的钢带应张紧，接头固定良好</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·断带安全保护开关位置正确，功能正常</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cantSplit/>
          <w:tblCellSpacing w:w="0" w:type="dxa"/>
          <w:jc w:val="center"/>
        </w:trPr>
        <w:tc>
          <w:tcPr>
            <w:tcW w:w="807"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2.20</w:t>
            </w:r>
          </w:p>
        </w:tc>
        <w:tc>
          <w:tcPr>
            <w:tcW w:w="1890"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称重装置</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·称重装置的安装位置正确，动作状态应良好</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·满载、超载信号所对应的电梯控制功能及相关声光信号正常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·对于连续检测载重量变化的称重装置，应定期通过电脑数据检查是否正确</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cantSplit/>
          <w:tblCellSpacing w:w="0" w:type="dxa"/>
          <w:jc w:val="center"/>
        </w:trPr>
        <w:tc>
          <w:tcPr>
            <w:tcW w:w="807"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89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·应定期调整称重装置的初始状态</w:t>
            </w:r>
          </w:p>
        </w:tc>
        <w:tc>
          <w:tcPr>
            <w:tcW w:w="1219"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7" w:type="dxa"/>
          <w:tblCellSpacing w:w="0" w:type="dxa"/>
          <w:jc w:val="center"/>
        </w:trPr>
        <w:tc>
          <w:tcPr>
            <w:tcW w:w="807"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2.21</w:t>
            </w:r>
          </w:p>
        </w:tc>
        <w:tc>
          <w:tcPr>
            <w:tcW w:w="189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对重</w:t>
            </w:r>
          </w:p>
        </w:tc>
        <w:tc>
          <w:tcPr>
            <w:tcW w:w="5565" w:type="dxa"/>
            <w:gridSpan w:val="2"/>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·对重架的连接螺栓不应松动和生锈腐蚀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·对重如有反绳轮，其绳槽磨损不应太大，轴承润滑良好，无异常噪音</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·绳轮应有防护罩和挡绳装置，挡绳装置的位置合适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·对重块应固定可靠，运行无异响</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·绳头连接装置应固定可靠；如用螺杆连接，应至少用两个并紧螺母，并用开口销锁</w:t>
            </w:r>
          </w:p>
        </w:tc>
        <w:tc>
          <w:tcPr>
            <w:tcW w:w="1219" w:type="dxa"/>
            <w:gridSpan w:val="2"/>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bl>
    <w:p>
      <w:pP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br w:type="page"/>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highlight w:val="none"/>
        </w:rPr>
      </w:pPr>
      <w:r>
        <w:rPr>
          <w:rFonts w:hint="default" w:ascii="黑体" w:hAnsi="黑体" w:eastAsia="黑体" w:cs="黑体"/>
          <w:b w:val="0"/>
          <w:bCs/>
          <w:color w:val="auto"/>
          <w:kern w:val="2"/>
          <w:sz w:val="32"/>
          <w:szCs w:val="32"/>
          <w:highlight w:val="none"/>
          <w:lang w:eastAsia="zh-CN" w:bidi="ar-SA"/>
        </w:rPr>
        <w:t>三</w:t>
      </w:r>
      <w:r>
        <w:rPr>
          <w:rFonts w:hint="eastAsia" w:ascii="黑体" w:hAnsi="黑体" w:eastAsia="黑体" w:cs="黑体"/>
          <w:b w:val="0"/>
          <w:bCs/>
          <w:color w:val="auto"/>
          <w:kern w:val="2"/>
          <w:sz w:val="32"/>
          <w:szCs w:val="32"/>
          <w:highlight w:val="none"/>
          <w:lang w:val="en-US" w:eastAsia="zh-CN" w:bidi="ar-SA"/>
        </w:rPr>
        <w:t>、井道、层门和候梯厅检查及保养事项</w:t>
      </w: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2"/>
        <w:gridCol w:w="1860"/>
        <w:gridCol w:w="5560"/>
        <w:gridCol w:w="119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序号</w:t>
            </w:r>
          </w:p>
        </w:tc>
        <w:tc>
          <w:tcPr>
            <w:tcW w:w="1860"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保养项目</w:t>
            </w:r>
          </w:p>
        </w:tc>
        <w:tc>
          <w:tcPr>
            <w:tcW w:w="5560"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保养内容及要求</w:t>
            </w:r>
          </w:p>
        </w:tc>
        <w:tc>
          <w:tcPr>
            <w:tcW w:w="1199"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保养周期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3.1</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井道照明</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·井道照明应齐全</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3.2</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限速器钢丝绳</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·钢丝绳槽磨损在规定值以内</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·钢丝绳不应有断股现象，不应有过量的断丝和磨损</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·与安全钳拉杆的连接部位材料不应有过量的磨损、锈蚀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·端接部组装应良好，应使用三个绳夹夹紧，夹绳方向应正确</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3.3</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主钢丝绳</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·钢丝绳的张力应均等，与平均值偏差不超过5%</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·钢丝绳不应有过多油污；不应有断股现象，断丝数不超过标准，不应有过量磨损</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·绳头连接装置的各部件齐全、固定可靠，紧固件无松动</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3.4</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导轨及支架</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·限速器、安全钳联动试验后，应将安全钳动作痕迹打磨平整</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·导轨及支架表面清洁，无严重油污及锈蚀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·导轨撑架、压板的紧固件不应松动</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3.5</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强迫换速、限位、极限开关</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·开关紧固可靠，开关动作部位不应生锈，滚轮无严重磨损</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·开关动作位置要适当，符合产品要求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·电气触点接触良好，各开关相应功能应正常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·轿厢或对重接触缓冲器前极限开关应动作</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3.6</w:t>
            </w:r>
          </w:p>
        </w:tc>
        <w:tc>
          <w:tcPr>
            <w:tcW w:w="1860"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·门头清洁,无垃圾杂物，厅门不应严重变形、磨损、生锈、腐蚀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·门开关动作应顺畅良好，无卡阻、异响</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·厅门关门到位的电气保护装置功能正常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·门扇采用间接机械联动时，被动门电气连锁保护装置功能可靠</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·在层门最不利位置，施加外力，门扇之间的间隙不超过30mm，且无停梯现象</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·厅门三角锁动作、复位灵活，开锁钥匙应经授权使用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·厅门验证锁紧的电气保护装置功能正常，锁紧元件的最小啮合尺寸为7mm</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·门扇与门扇、门扇与门框、地坎之间的间隙符合标准要求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·门锁滚轮的间隙及与开门刀的配合尺寸符合产品说明要求</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·门偏心轮检查及调整、门挂轮磨损检查</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·闭门器功能在各层工作正常</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3.7</w:t>
            </w:r>
          </w:p>
        </w:tc>
        <w:tc>
          <w:tcPr>
            <w:tcW w:w="1860"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厅门地坎</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·厅门门脚胶齐全，无脱离</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·厅门护脚板可靠固定，运行时不得与轿厢部件相摩擦</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·不应出现因厅门门脚胶磨损而发生的噪音</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82"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86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·轿厢开门刀与厅门地坎间隙应在5—10mm</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·厅门地坎和轿厢地坎之间的间隙应符合产品及标准要求</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3.8</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随行电缆及</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附件</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·随行电缆两端应可靠固定，不应有打结及波浪扭曲现象</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·运行时随行电缆不应触及其他部件而导致磨损或损坏</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·轿厢完全压缩缓冲器后，电缆不得与底坑地面及其他部件接触</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·轿厢监控线与随行电缆同步捆绑时，必须确保不产生大的晃动和表面破损</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3.9</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大厅按钮及</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显示器</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·按钮、开关功能正常，且不应有显著的老化、损坏、卡阻现象</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·显示器的显示应正确、没有缺划、错划的现象</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·候梯厅应有足够照明（须与业主明确责任）</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8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3.10</w:t>
            </w:r>
          </w:p>
        </w:tc>
        <w:tc>
          <w:tcPr>
            <w:tcW w:w="18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消防功能</w:t>
            </w:r>
          </w:p>
        </w:tc>
        <w:tc>
          <w:tcPr>
            <w:tcW w:w="556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·消防迫降和消防员专用各项功能应正常，基站消防开关应有适当防护</w:t>
            </w:r>
          </w:p>
        </w:tc>
        <w:tc>
          <w:tcPr>
            <w:tcW w:w="119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bl>
    <w:p>
      <w:pP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br w:type="page"/>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highlight w:val="none"/>
        </w:rPr>
      </w:pPr>
      <w:r>
        <w:rPr>
          <w:rFonts w:hint="default" w:ascii="黑体" w:hAnsi="黑体" w:eastAsia="黑体" w:cs="黑体"/>
          <w:b w:val="0"/>
          <w:bCs/>
          <w:color w:val="auto"/>
          <w:kern w:val="2"/>
          <w:sz w:val="32"/>
          <w:szCs w:val="32"/>
          <w:highlight w:val="none"/>
          <w:lang w:eastAsia="zh-CN" w:bidi="ar-SA"/>
        </w:rPr>
        <w:t>四</w:t>
      </w:r>
      <w:r>
        <w:rPr>
          <w:rFonts w:hint="eastAsia" w:ascii="黑体" w:hAnsi="黑体" w:eastAsia="黑体" w:cs="黑体"/>
          <w:b w:val="0"/>
          <w:bCs/>
          <w:color w:val="auto"/>
          <w:kern w:val="2"/>
          <w:sz w:val="32"/>
          <w:szCs w:val="32"/>
          <w:highlight w:val="none"/>
          <w:lang w:eastAsia="zh-CN" w:bidi="ar-SA"/>
        </w:rPr>
        <w:t>、底坑检查</w:t>
      </w:r>
    </w:p>
    <w:tbl>
      <w:tblPr>
        <w:tblStyle w:val="11"/>
        <w:tblW w:w="935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71"/>
        <w:gridCol w:w="1477"/>
        <w:gridCol w:w="5933"/>
        <w:gridCol w:w="11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序号</w:t>
            </w:r>
          </w:p>
        </w:tc>
        <w:tc>
          <w:tcPr>
            <w:tcW w:w="1477"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保养项目</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保养内容及要求</w:t>
            </w:r>
          </w:p>
        </w:tc>
        <w:tc>
          <w:tcPr>
            <w:tcW w:w="1169"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保养周期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4.1</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底坑停止装置</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·不应有显著的生锈、腐蚀现象，开关动作应正常可靠</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4.2</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底坑爬梯</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·底坑爬梯固定可靠并方便人员安全进出</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12个月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4.3</w:t>
            </w:r>
          </w:p>
        </w:tc>
        <w:tc>
          <w:tcPr>
            <w:tcW w:w="1477"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缓冲器</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·液压缓冲器被压缩后应能自动复位，完全复位后开关才能恢复正常</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·液压缓冲器的电气保护开关动作灵活，功能可靠</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·液压式缓冲器的液量应正确</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·缓冲器顶面至轿厢、对重的距离应符合标准要求</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·缓冲器固定可靠，无生锈、腐蚀现象</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4.4</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安全钳</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·安全钳及联动机构各部件齐全，无过量磨损及损坏</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·安全钳各楔块与导轨间隙均匀并符合产品要求，夹紧位置正确</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·安全钳各部件无过多油污，应定期清洁</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4.5</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限速器钢丝绳张紧轮、坠陀及保护开关</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·限速器钢丝绳张紧轮坠陀不应离地过低</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·钢丝绳断裂或松弛时应确保能使保护开关正确动作</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·电梯运行中不应存在显著的振动、噪音现象</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71"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4.6</w:t>
            </w:r>
          </w:p>
        </w:tc>
        <w:tc>
          <w:tcPr>
            <w:tcW w:w="1477"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底坑地面</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·应保持良好的清洁状态，防水良好、无渗水漏水现象或消防水倒灌现象</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4.7</w:t>
            </w:r>
          </w:p>
        </w:tc>
        <w:tc>
          <w:tcPr>
            <w:tcW w:w="1477" w:type="dxa"/>
            <w:vMerge w:val="restart"/>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补偿链或</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补偿绳</w:t>
            </w: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·补偿绳的张紧轮装置及行程限制开关固定，位置正确，开关功能可靠</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·补偿链或补偿绳无破损及断裂，无生锈和腐蚀现象</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15</w:t>
            </w:r>
            <w:r>
              <w:rPr>
                <w:rFonts w:hint="eastAsia" w:ascii="仿宋_GB2312" w:hAnsi="仿宋_GB2312" w:eastAsia="仿宋_GB2312" w:cs="仿宋_GB2312"/>
                <w:color w:val="000000"/>
                <w:sz w:val="24"/>
                <w:szCs w:val="24"/>
                <w:highlight w:val="none"/>
                <w:lang w:eastAsia="zh-CN"/>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·补偿绳张紧力要充分、均匀；电梯运行时补偿链或补偿绳不应离地过低</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·补偿绳的张紧轮不应离地过低，也不应脱出导向轨道</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jc w:val="center"/>
        </w:trPr>
        <w:tc>
          <w:tcPr>
            <w:tcW w:w="77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147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p>
        </w:tc>
        <w:tc>
          <w:tcPr>
            <w:tcW w:w="5933"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·补偿链或补偿绳两端固定可靠，补偿链的二次保护装置正确可靠</w:t>
            </w:r>
          </w:p>
        </w:tc>
        <w:tc>
          <w:tcPr>
            <w:tcW w:w="116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半年一次</w:t>
            </w:r>
          </w:p>
        </w:tc>
      </w:tr>
    </w:tbl>
    <w:p>
      <w:pP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br w:type="page"/>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000000"/>
          <w:highlight w:val="none"/>
        </w:rPr>
      </w:pPr>
      <w:r>
        <w:rPr>
          <w:rFonts w:hint="default" w:ascii="黑体" w:hAnsi="黑体" w:eastAsia="黑体" w:cs="黑体"/>
          <w:b w:val="0"/>
          <w:bCs/>
          <w:color w:val="auto"/>
          <w:kern w:val="2"/>
          <w:sz w:val="32"/>
          <w:szCs w:val="32"/>
          <w:highlight w:val="none"/>
          <w:lang w:eastAsia="zh-CN" w:bidi="ar-SA"/>
        </w:rPr>
        <w:t>五</w:t>
      </w:r>
      <w:r>
        <w:rPr>
          <w:rFonts w:hint="eastAsia" w:ascii="黑体" w:hAnsi="黑体" w:eastAsia="黑体" w:cs="黑体"/>
          <w:b w:val="0"/>
          <w:bCs/>
          <w:color w:val="auto"/>
          <w:kern w:val="2"/>
          <w:sz w:val="32"/>
          <w:szCs w:val="32"/>
          <w:highlight w:val="none"/>
          <w:lang w:eastAsia="zh-CN" w:bidi="ar-SA"/>
        </w:rPr>
        <w:t>、整机功能检查</w:t>
      </w:r>
    </w:p>
    <w:tbl>
      <w:tblPr>
        <w:tblStyle w:val="11"/>
        <w:tblW w:w="931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20"/>
        <w:gridCol w:w="1389"/>
        <w:gridCol w:w="5417"/>
        <w:gridCol w:w="13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4" w:hRule="atLeast"/>
          <w:tblCellSpacing w:w="0" w:type="dxa"/>
          <w:jc w:val="center"/>
        </w:trPr>
        <w:tc>
          <w:tcPr>
            <w:tcW w:w="1120"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序号</w:t>
            </w:r>
          </w:p>
        </w:tc>
        <w:tc>
          <w:tcPr>
            <w:tcW w:w="1389"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保养项目</w:t>
            </w:r>
          </w:p>
        </w:tc>
        <w:tc>
          <w:tcPr>
            <w:tcW w:w="5417"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保养内容及要求</w:t>
            </w:r>
          </w:p>
        </w:tc>
        <w:tc>
          <w:tcPr>
            <w:tcW w:w="1392"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楷体_GB2312" w:hAnsi="楷体_GB2312" w:eastAsia="楷体_GB2312" w:cs="楷体_GB2312"/>
                <w:b/>
                <w:bCs/>
                <w:color w:val="000000"/>
                <w:sz w:val="28"/>
                <w:szCs w:val="28"/>
                <w:highlight w:val="none"/>
              </w:rPr>
            </w:pPr>
            <w:r>
              <w:rPr>
                <w:rFonts w:hint="eastAsia" w:ascii="楷体_GB2312" w:hAnsi="楷体_GB2312" w:eastAsia="楷体_GB2312" w:cs="楷体_GB2312"/>
                <w:b/>
                <w:bCs/>
                <w:color w:val="000000"/>
                <w:sz w:val="28"/>
                <w:szCs w:val="28"/>
                <w:highlight w:val="none"/>
              </w:rPr>
              <w:t>保养周期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7" w:hRule="atLeast"/>
          <w:tblCellSpacing w:w="0" w:type="dxa"/>
          <w:jc w:val="center"/>
        </w:trPr>
        <w:tc>
          <w:tcPr>
            <w:tcW w:w="1120"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5.1</w:t>
            </w:r>
          </w:p>
        </w:tc>
        <w:tc>
          <w:tcPr>
            <w:tcW w:w="1389"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年度整机</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检查</w:t>
            </w:r>
          </w:p>
        </w:tc>
        <w:tc>
          <w:tcPr>
            <w:tcW w:w="5417" w:type="dxa"/>
            <w:tcBorders>
              <w:top w:val="outset" w:color="auto" w:sz="6" w:space="0"/>
              <w:left w:val="outset" w:color="auto" w:sz="6" w:space="0"/>
              <w:bottom w:val="outset" w:color="auto" w:sz="6" w:space="0"/>
              <w:right w:val="outset" w:color="auto" w:sz="6" w:space="0"/>
            </w:tcBorders>
            <w:noWrap w:val="0"/>
            <w:vAlign w:val="top"/>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·标准要求的检测项目</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·厂家要求的检测项目</w:t>
            </w:r>
          </w:p>
        </w:tc>
        <w:tc>
          <w:tcPr>
            <w:tcW w:w="1392" w:type="dxa"/>
            <w:tcBorders>
              <w:top w:val="outset" w:color="auto" w:sz="6" w:space="0"/>
              <w:left w:val="outset" w:color="auto" w:sz="6" w:space="0"/>
              <w:bottom w:val="outset" w:color="auto" w:sz="6" w:space="0"/>
              <w:right w:val="outset" w:color="auto" w:sz="6" w:space="0"/>
            </w:tcBorders>
            <w:noWrap w:val="0"/>
            <w:vAlign w:val="center"/>
          </w:tcPr>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每年一次</w:t>
            </w:r>
          </w:p>
        </w:tc>
      </w:tr>
    </w:tbl>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黑体" w:hAnsi="黑体" w:eastAsia="黑体" w:cs="黑体"/>
          <w:b w:val="0"/>
          <w:bCs/>
          <w:color w:val="auto"/>
          <w:kern w:val="2"/>
          <w:sz w:val="32"/>
          <w:szCs w:val="32"/>
          <w:highlight w:val="none"/>
          <w:lang w:eastAsia="zh-CN" w:bidi="ar-SA"/>
        </w:rPr>
      </w:pPr>
      <w:r>
        <w:rPr>
          <w:rFonts w:hint="default" w:ascii="黑体" w:hAnsi="黑体" w:eastAsia="黑体" w:cs="黑体"/>
          <w:b w:val="0"/>
          <w:bCs/>
          <w:color w:val="auto"/>
          <w:kern w:val="2"/>
          <w:sz w:val="32"/>
          <w:szCs w:val="32"/>
          <w:highlight w:val="none"/>
          <w:lang w:eastAsia="zh-CN" w:bidi="ar-SA"/>
        </w:rPr>
        <w:t>六</w:t>
      </w:r>
      <w:r>
        <w:rPr>
          <w:rFonts w:hint="eastAsia" w:ascii="黑体" w:hAnsi="黑体" w:eastAsia="黑体" w:cs="黑体"/>
          <w:b w:val="0"/>
          <w:bCs/>
          <w:color w:val="auto"/>
          <w:kern w:val="2"/>
          <w:sz w:val="32"/>
          <w:szCs w:val="32"/>
          <w:highlight w:val="none"/>
          <w:lang w:eastAsia="zh-CN" w:bidi="ar-SA"/>
        </w:rPr>
        <w:t>、</w:t>
      </w:r>
      <w:r>
        <w:rPr>
          <w:rFonts w:hint="default" w:ascii="黑体" w:hAnsi="黑体" w:eastAsia="黑体" w:cs="黑体"/>
          <w:b w:val="0"/>
          <w:bCs/>
          <w:color w:val="auto"/>
          <w:kern w:val="2"/>
          <w:sz w:val="32"/>
          <w:szCs w:val="32"/>
          <w:highlight w:val="none"/>
          <w:lang w:eastAsia="zh-CN" w:bidi="ar-SA"/>
        </w:rPr>
        <w:t>其他</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（一）</w:t>
      </w:r>
      <w:r>
        <w:rPr>
          <w:rFonts w:hint="eastAsia" w:ascii="仿宋_GB2312" w:hAnsi="仿宋_GB2312" w:eastAsia="仿宋_GB2312" w:cs="仿宋_GB2312"/>
          <w:b w:val="0"/>
          <w:bCs/>
          <w:color w:val="auto"/>
          <w:kern w:val="2"/>
          <w:sz w:val="28"/>
          <w:szCs w:val="28"/>
          <w:highlight w:val="none"/>
          <w:lang w:eastAsia="zh-CN" w:bidi="ar-SA"/>
        </w:rPr>
        <w:t>不含电梯轿顶空调和监控摄像头的维保</w:t>
      </w:r>
      <w:r>
        <w:rPr>
          <w:rFonts w:hint="eastAsia" w:ascii="仿宋_GB2312" w:hAnsi="仿宋_GB2312" w:eastAsia="仿宋_GB2312" w:cs="仿宋_GB2312"/>
          <w:color w:val="000000"/>
          <w:sz w:val="28"/>
          <w:szCs w:val="28"/>
          <w:highlight w:val="none"/>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_GB2312" w:hAnsi="仿宋_GB2312" w:eastAsia="仿宋_GB2312" w:cs="仿宋_GB2312"/>
          <w:color w:val="000000"/>
          <w:highlight w:val="none"/>
        </w:rPr>
      </w:pPr>
      <w:r>
        <w:rPr>
          <w:rFonts w:hint="default" w:ascii="仿宋_GB2312" w:hAnsi="仿宋_GB2312" w:eastAsia="仿宋_GB2312" w:cs="仿宋_GB2312"/>
          <w:color w:val="000000"/>
          <w:sz w:val="28"/>
          <w:szCs w:val="28"/>
          <w:highlight w:val="none"/>
        </w:rPr>
        <w:t>（二）</w:t>
      </w:r>
      <w:r>
        <w:rPr>
          <w:rFonts w:hint="eastAsia" w:ascii="仿宋_GB2312" w:hAnsi="仿宋_GB2312" w:eastAsia="仿宋_GB2312" w:cs="仿宋_GB2312"/>
          <w:color w:val="000000"/>
          <w:sz w:val="28"/>
          <w:szCs w:val="28"/>
          <w:highlight w:val="none"/>
        </w:rPr>
        <w:t>须做好电梯年检报检、迎检工作，保证本项目电梯顺利通过年检。</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default"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（三）</w:t>
      </w:r>
      <w:r>
        <w:rPr>
          <w:rFonts w:hint="eastAsia" w:ascii="仿宋_GB2312" w:hAnsi="仿宋_GB2312" w:eastAsia="仿宋_GB2312" w:cs="仿宋_GB2312"/>
          <w:color w:val="000000"/>
          <w:sz w:val="28"/>
          <w:szCs w:val="28"/>
          <w:highlight w:val="none"/>
        </w:rPr>
        <w:t>更换损坏的零配件</w:t>
      </w:r>
      <w:r>
        <w:rPr>
          <w:rFonts w:hint="default" w:ascii="仿宋_GB2312" w:hAnsi="仿宋_GB2312" w:eastAsia="仿宋_GB2312" w:cs="仿宋_GB2312"/>
          <w:color w:val="000000"/>
          <w:sz w:val="28"/>
          <w:szCs w:val="28"/>
          <w:highlight w:val="none"/>
        </w:rPr>
        <w:t>：</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本项目电梯维保过程中，</w:t>
      </w:r>
      <w:r>
        <w:rPr>
          <w:rFonts w:hint="default" w:ascii="仿宋_GB2312" w:hAnsi="仿宋_GB2312" w:eastAsia="仿宋_GB2312" w:cs="仿宋_GB2312"/>
          <w:color w:val="000000"/>
          <w:sz w:val="28"/>
          <w:szCs w:val="28"/>
          <w:highlight w:val="none"/>
          <w:u w:val="single"/>
        </w:rPr>
        <w:t>（单次免费范围内配件额）</w:t>
      </w:r>
      <w:r>
        <w:rPr>
          <w:rFonts w:hint="default" w:ascii="仿宋_GB2312" w:hAnsi="仿宋_GB2312" w:eastAsia="仿宋_GB2312" w:cs="仿宋_GB2312"/>
          <w:color w:val="000000"/>
          <w:sz w:val="28"/>
          <w:szCs w:val="28"/>
          <w:highlight w:val="none"/>
        </w:rPr>
        <w:t>以下</w:t>
      </w:r>
      <w:r>
        <w:rPr>
          <w:rFonts w:hint="eastAsia" w:ascii="仿宋_GB2312" w:hAnsi="仿宋_GB2312" w:eastAsia="仿宋_GB2312" w:cs="仿宋_GB2312"/>
          <w:color w:val="000000"/>
          <w:sz w:val="28"/>
          <w:szCs w:val="28"/>
          <w:highlight w:val="none"/>
        </w:rPr>
        <w:t>的电梯配件损坏，由</w:t>
      </w:r>
      <w:r>
        <w:rPr>
          <w:rFonts w:hint="default" w:ascii="仿宋_GB2312" w:hAnsi="仿宋_GB2312" w:eastAsia="仿宋_GB2312" w:cs="仿宋_GB2312"/>
          <w:color w:val="000000"/>
          <w:sz w:val="28"/>
          <w:szCs w:val="28"/>
          <w:highlight w:val="none"/>
        </w:rPr>
        <w:t>乙方</w:t>
      </w:r>
      <w:r>
        <w:rPr>
          <w:rFonts w:hint="eastAsia" w:ascii="仿宋_GB2312" w:hAnsi="仿宋_GB2312" w:eastAsia="仿宋_GB2312" w:cs="仿宋_GB2312"/>
          <w:color w:val="000000"/>
          <w:sz w:val="28"/>
          <w:szCs w:val="28"/>
          <w:highlight w:val="none"/>
        </w:rPr>
        <w:t>负责购买及更换。</w:t>
      </w:r>
      <w:r>
        <w:rPr>
          <w:rFonts w:hint="default" w:ascii="仿宋_GB2312" w:hAnsi="仿宋_GB2312" w:eastAsia="仿宋_GB2312" w:cs="仿宋_GB2312"/>
          <w:color w:val="000000"/>
          <w:sz w:val="28"/>
          <w:szCs w:val="28"/>
          <w:highlight w:val="none"/>
          <w:u w:val="single"/>
        </w:rPr>
        <w:t>（单次免费范围内配件额）</w:t>
      </w:r>
      <w:r>
        <w:rPr>
          <w:rFonts w:hint="eastAsia" w:ascii="仿宋_GB2312" w:hAnsi="仿宋_GB2312" w:eastAsia="仿宋_GB2312" w:cs="仿宋_GB2312"/>
          <w:color w:val="000000"/>
          <w:sz w:val="28"/>
          <w:szCs w:val="28"/>
          <w:highlight w:val="none"/>
        </w:rPr>
        <w:t>以上由甲方出资购买电梯零配件约定的，乙方须把检查出的问题形成报告、需更换零配件的名称、价格、型号、照片附在报告后，得到项目管理处签字同意后，再由项目向甲方请示，甲方同意后方可购买使用。</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（四）</w:t>
      </w:r>
      <w:r>
        <w:rPr>
          <w:rFonts w:hint="eastAsia" w:ascii="仿宋_GB2312" w:hAnsi="仿宋_GB2312" w:eastAsia="仿宋_GB2312" w:cs="仿宋_GB2312"/>
          <w:color w:val="000000"/>
          <w:sz w:val="28"/>
          <w:szCs w:val="28"/>
          <w:highlight w:val="none"/>
        </w:rPr>
        <w:t>定期更换易损件</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根据设备的使用寿命，定期更换易损件，即单项金额</w:t>
      </w:r>
      <w:r>
        <w:rPr>
          <w:rFonts w:hint="default" w:ascii="仿宋_GB2312" w:hAnsi="仿宋_GB2312" w:eastAsia="仿宋_GB2312" w:cs="仿宋_GB2312"/>
          <w:color w:val="000000"/>
          <w:sz w:val="28"/>
          <w:szCs w:val="28"/>
          <w:highlight w:val="none"/>
          <w:u w:val="single"/>
        </w:rPr>
        <w:t>（单次免费范围内配件额）</w:t>
      </w:r>
      <w:r>
        <w:rPr>
          <w:rFonts w:hint="eastAsia" w:ascii="仿宋_GB2312" w:hAnsi="仿宋_GB2312" w:eastAsia="仿宋_GB2312" w:cs="仿宋_GB2312"/>
          <w:color w:val="000000"/>
          <w:sz w:val="28"/>
          <w:szCs w:val="28"/>
          <w:highlight w:val="none"/>
        </w:rPr>
        <w:t>以下的易损配件，由乙方负责购买及更换。</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default"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（五）应急服务</w:t>
      </w:r>
    </w:p>
    <w:p>
      <w:pPr>
        <w:pStyle w:val="10"/>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乙方接到甲方关于电梯故障</w:t>
      </w:r>
      <w:r>
        <w:rPr>
          <w:rFonts w:hint="default" w:ascii="仿宋_GB2312" w:hAnsi="仿宋_GB2312" w:eastAsia="仿宋_GB2312" w:cs="仿宋_GB2312"/>
          <w:color w:val="000000"/>
          <w:sz w:val="28"/>
          <w:szCs w:val="28"/>
          <w:highlight w:val="none"/>
        </w:rPr>
        <w:t>（电梯困人）</w:t>
      </w:r>
      <w:r>
        <w:rPr>
          <w:rFonts w:hint="eastAsia" w:ascii="仿宋_GB2312" w:hAnsi="仿宋_GB2312" w:eastAsia="仿宋_GB2312" w:cs="仿宋_GB2312"/>
          <w:color w:val="000000"/>
          <w:sz w:val="28"/>
          <w:szCs w:val="28"/>
          <w:highlight w:val="none"/>
        </w:rPr>
        <w:t>需维修的通知后，应在30分钟内赶到现场处理</w:t>
      </w:r>
      <w:r>
        <w:rPr>
          <w:rFonts w:hint="eastAsia" w:ascii="仿宋_GB2312" w:hAnsi="仿宋_GB2312" w:eastAsia="仿宋_GB2312" w:cs="仿宋_GB2312"/>
          <w:b/>
          <w:bCs/>
          <w:color w:val="000000"/>
          <w:sz w:val="28"/>
          <w:szCs w:val="28"/>
          <w:highlight w:val="none"/>
        </w:rPr>
        <w:t>（工作日上班时间20分钟内）</w:t>
      </w:r>
      <w:r>
        <w:rPr>
          <w:rFonts w:hint="eastAsia" w:ascii="仿宋_GB2312" w:hAnsi="仿宋_GB2312" w:eastAsia="仿宋_GB2312" w:cs="仿宋_GB2312"/>
          <w:color w:val="000000"/>
          <w:sz w:val="28"/>
          <w:szCs w:val="28"/>
          <w:highlight w:val="none"/>
        </w:rPr>
        <w:t>；逾期未到的，每迟到一次扣除200元的维护保养费用。</w:t>
      </w:r>
    </w:p>
    <w:p>
      <w:pPr>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附件</w:t>
      </w:r>
      <w:r>
        <w:rPr>
          <w:rFonts w:hint="eastAsia" w:asciiTheme="minorEastAsia" w:hAnsiTheme="minorEastAsia" w:cstheme="minorEastAsia"/>
          <w:b w:val="0"/>
          <w:bCs w:val="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方正小标宋简体" w:hAnsi="方正小标宋简体" w:eastAsia="方正小标宋简体" w:cs="方正小标宋简体"/>
          <w:b w:val="0"/>
          <w:bCs w:val="0"/>
          <w:sz w:val="24"/>
          <w:szCs w:val="24"/>
          <w:highlight w:val="none"/>
          <w:lang w:val="en-US" w:eastAsia="zh-CN"/>
        </w:rPr>
      </w:pPr>
      <w:r>
        <w:rPr>
          <w:rFonts w:hint="eastAsia" w:asciiTheme="majorEastAsia" w:hAnsiTheme="majorEastAsia" w:eastAsiaTheme="majorEastAsia" w:cstheme="majorEastAsia"/>
          <w:b/>
          <w:bCs/>
          <w:sz w:val="32"/>
          <w:szCs w:val="32"/>
          <w:highlight w:val="none"/>
          <w:lang w:val="en-US" w:eastAsia="zh-CN"/>
        </w:rPr>
        <w:t>响应单位提交资料明细表</w:t>
      </w:r>
    </w:p>
    <w:tbl>
      <w:tblPr>
        <w:tblStyle w:val="11"/>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47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5" w:type="dxa"/>
            <w:noWrap w:val="0"/>
            <w:vAlign w:val="center"/>
          </w:tcPr>
          <w:p>
            <w:pPr>
              <w:pStyle w:val="16"/>
              <w:spacing w:line="360" w:lineRule="exact"/>
              <w:ind w:firstLine="0" w:firstLineChars="0"/>
              <w:jc w:val="cente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序号</w:t>
            </w:r>
          </w:p>
        </w:tc>
        <w:tc>
          <w:tcPr>
            <w:tcW w:w="3478" w:type="dxa"/>
            <w:noWrap w:val="0"/>
            <w:vAlign w:val="center"/>
          </w:tcPr>
          <w:p>
            <w:pPr>
              <w:pStyle w:val="16"/>
              <w:spacing w:line="360" w:lineRule="exact"/>
              <w:ind w:firstLine="0" w:firstLineChars="0"/>
              <w:jc w:val="cente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文件名称</w:t>
            </w:r>
          </w:p>
        </w:tc>
        <w:tc>
          <w:tcPr>
            <w:tcW w:w="4518" w:type="dxa"/>
            <w:noWrap w:val="0"/>
            <w:vAlign w:val="center"/>
          </w:tcPr>
          <w:p>
            <w:pPr>
              <w:pStyle w:val="16"/>
              <w:spacing w:line="360" w:lineRule="exact"/>
              <w:ind w:firstLine="0" w:firstLineChars="0"/>
              <w:jc w:val="cente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pStyle w:val="16"/>
              <w:spacing w:line="240" w:lineRule="auto"/>
              <w:ind w:firstLine="0" w:firstLineChars="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3478" w:type="dxa"/>
            <w:noWrap w:val="0"/>
            <w:vAlign w:val="center"/>
          </w:tcPr>
          <w:p>
            <w:pPr>
              <w:adjustRightInd w:val="0"/>
              <w:snapToGrid w:val="0"/>
              <w:spacing w:line="24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基本情况资料</w:t>
            </w:r>
          </w:p>
        </w:tc>
        <w:tc>
          <w:tcPr>
            <w:tcW w:w="4518" w:type="dxa"/>
            <w:noWrap w:val="0"/>
            <w:vAlign w:val="center"/>
          </w:tcPr>
          <w:p>
            <w:pPr>
              <w:adjustRightInd w:val="0"/>
              <w:snapToGrid w:val="0"/>
              <w:spacing w:line="240" w:lineRule="auto"/>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提供</w:t>
            </w:r>
            <w:r>
              <w:rPr>
                <w:rFonts w:hint="eastAsia" w:asciiTheme="majorEastAsia" w:hAnsiTheme="majorEastAsia" w:eastAsiaTheme="majorEastAsia" w:cstheme="majorEastAsia"/>
                <w:color w:val="000000"/>
                <w:sz w:val="24"/>
                <w:szCs w:val="24"/>
                <w:highlight w:val="none"/>
              </w:rPr>
              <w:t>营业执照</w:t>
            </w:r>
            <w:r>
              <w:rPr>
                <w:rFonts w:hint="eastAsia" w:asciiTheme="majorEastAsia" w:hAnsiTheme="majorEastAsia" w:eastAsiaTheme="majorEastAsia" w:cstheme="majorEastAsia"/>
                <w:color w:val="000000"/>
                <w:sz w:val="24"/>
                <w:szCs w:val="24"/>
                <w:highlight w:val="none"/>
                <w:lang w:val="en-US" w:eastAsia="zh-CN"/>
              </w:rPr>
              <w:t>复印件</w:t>
            </w:r>
            <w:r>
              <w:rPr>
                <w:rFonts w:hint="eastAsia" w:asciiTheme="majorEastAsia" w:hAnsiTheme="majorEastAsia" w:eastAsiaTheme="majorEastAsia" w:cstheme="majorEastAsia"/>
                <w:color w:val="000000"/>
                <w:sz w:val="24"/>
                <w:szCs w:val="24"/>
                <w:highlight w:val="none"/>
              </w:rPr>
              <w:t>、资质证书</w:t>
            </w:r>
            <w:r>
              <w:rPr>
                <w:rFonts w:hint="eastAsia" w:asciiTheme="majorEastAsia" w:hAnsiTheme="majorEastAsia" w:eastAsiaTheme="majorEastAsia" w:cstheme="majorEastAsia"/>
                <w:color w:val="000000"/>
                <w:sz w:val="24"/>
                <w:szCs w:val="24"/>
                <w:highlight w:val="none"/>
                <w:lang w:val="en-US" w:eastAsia="zh-CN"/>
              </w:rPr>
              <w:t>复印件</w:t>
            </w:r>
            <w:r>
              <w:rPr>
                <w:rFonts w:hint="eastAsia" w:asciiTheme="majorEastAsia" w:hAnsiTheme="majorEastAsia" w:eastAsiaTheme="majorEastAsia" w:cstheme="maj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pStyle w:val="16"/>
              <w:spacing w:line="240" w:lineRule="auto"/>
              <w:ind w:firstLine="0" w:firstLineChars="0"/>
              <w:jc w:val="center"/>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w:t>
            </w:r>
          </w:p>
        </w:tc>
        <w:tc>
          <w:tcPr>
            <w:tcW w:w="3478" w:type="dxa"/>
            <w:noWrap w:val="0"/>
            <w:vAlign w:val="center"/>
          </w:tcPr>
          <w:p>
            <w:pPr>
              <w:adjustRightInd w:val="0"/>
              <w:snapToGrid w:val="0"/>
              <w:spacing w:line="24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color w:val="000000"/>
                <w:sz w:val="24"/>
                <w:szCs w:val="24"/>
                <w:highlight w:val="none"/>
              </w:rPr>
              <w:t>法定代表人授权</w:t>
            </w:r>
            <w:r>
              <w:rPr>
                <w:rFonts w:hint="eastAsia" w:asciiTheme="majorEastAsia" w:hAnsiTheme="majorEastAsia" w:eastAsiaTheme="majorEastAsia" w:cstheme="majorEastAsia"/>
                <w:color w:val="000000"/>
                <w:sz w:val="24"/>
                <w:szCs w:val="24"/>
                <w:highlight w:val="none"/>
                <w:lang w:eastAsia="zh-CN"/>
              </w:rPr>
              <w:t>材料</w:t>
            </w:r>
          </w:p>
        </w:tc>
        <w:tc>
          <w:tcPr>
            <w:tcW w:w="4518" w:type="dxa"/>
            <w:noWrap w:val="0"/>
            <w:vAlign w:val="center"/>
          </w:tcPr>
          <w:p>
            <w:pPr>
              <w:adjustRightInd w:val="0"/>
              <w:snapToGrid w:val="0"/>
              <w:spacing w:line="240" w:lineRule="auto"/>
              <w:jc w:val="both"/>
              <w:rPr>
                <w:rFonts w:hint="eastAsia"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rPr>
              <w:t>法定代表人授权委托书及身份证</w:t>
            </w:r>
            <w:r>
              <w:rPr>
                <w:rFonts w:hint="eastAsia" w:asciiTheme="majorEastAsia" w:hAnsiTheme="majorEastAsia" w:eastAsiaTheme="majorEastAsia" w:cstheme="majorEastAsia"/>
                <w:color w:val="000000"/>
                <w:sz w:val="24"/>
                <w:szCs w:val="24"/>
                <w:highlight w:val="none"/>
                <w:lang w:val="en-US" w:eastAsia="zh-CN"/>
              </w:rPr>
              <w:t>复印件</w:t>
            </w:r>
            <w:r>
              <w:rPr>
                <w:rFonts w:hint="eastAsia" w:asciiTheme="majorEastAsia" w:hAnsiTheme="majorEastAsia" w:eastAsiaTheme="majorEastAsia" w:cstheme="majorEastAsia"/>
                <w:color w:val="000000"/>
                <w:sz w:val="24"/>
                <w:szCs w:val="24"/>
                <w:highlight w:val="none"/>
                <w:lang w:eastAsia="zh-CN"/>
              </w:rPr>
              <w:t>。</w:t>
            </w:r>
          </w:p>
          <w:p>
            <w:pPr>
              <w:adjustRightInd w:val="0"/>
              <w:snapToGrid w:val="0"/>
              <w:spacing w:line="240" w:lineRule="auto"/>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格式后附</w:t>
            </w:r>
            <w:r>
              <w:rPr>
                <w:rFonts w:hint="default" w:asciiTheme="majorEastAsia" w:hAnsiTheme="majorEastAsia" w:eastAsiaTheme="majorEastAsia" w:cstheme="majorEastAsia"/>
                <w:b/>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pStyle w:val="16"/>
              <w:spacing w:line="240" w:lineRule="auto"/>
              <w:ind w:firstLine="0" w:firstLineChars="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3478" w:type="dxa"/>
            <w:noWrap w:val="0"/>
            <w:vAlign w:val="center"/>
          </w:tcPr>
          <w:p>
            <w:pPr>
              <w:adjustRightInd w:val="0"/>
              <w:snapToGrid w:val="0"/>
              <w:spacing w:line="24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报价承诺函、报价单</w:t>
            </w:r>
          </w:p>
        </w:tc>
        <w:tc>
          <w:tcPr>
            <w:tcW w:w="4518" w:type="dxa"/>
            <w:noWrap w:val="0"/>
            <w:vAlign w:val="center"/>
          </w:tcPr>
          <w:p>
            <w:pPr>
              <w:adjustRightInd w:val="0"/>
              <w:snapToGrid w:val="0"/>
              <w:spacing w:line="240" w:lineRule="auto"/>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b/>
                <w:bCs/>
                <w:sz w:val="24"/>
                <w:szCs w:val="24"/>
                <w:highlight w:val="none"/>
                <w:lang w:val="en-US" w:eastAsia="zh-CN"/>
              </w:rPr>
              <w:t>格式后附</w:t>
            </w:r>
            <w:r>
              <w:rPr>
                <w:rFonts w:hint="default" w:asciiTheme="majorEastAsia" w:hAnsiTheme="majorEastAsia" w:eastAsiaTheme="majorEastAsia" w:cstheme="majorEastAsia"/>
                <w:b/>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1035" w:type="dxa"/>
            <w:noWrap w:val="0"/>
            <w:vAlign w:val="center"/>
          </w:tcPr>
          <w:p>
            <w:pPr>
              <w:pStyle w:val="16"/>
              <w:spacing w:line="240" w:lineRule="auto"/>
              <w:ind w:firstLine="0" w:firstLineChars="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3478" w:type="dxa"/>
            <w:noWrap w:val="0"/>
            <w:vAlign w:val="center"/>
          </w:tcPr>
          <w:p>
            <w:pPr>
              <w:pStyle w:val="16"/>
              <w:spacing w:line="240" w:lineRule="auto"/>
              <w:ind w:firstLine="0" w:firstLineChars="0"/>
              <w:jc w:val="center"/>
              <w:rPr>
                <w:rFonts w:hint="eastAsia" w:asciiTheme="majorEastAsia" w:hAnsiTheme="majorEastAsia" w:eastAsiaTheme="majorEastAsia" w:cstheme="majorEastAsia"/>
                <w:color w:val="000000"/>
                <w:sz w:val="24"/>
                <w:szCs w:val="24"/>
                <w:highlight w:val="none"/>
              </w:rPr>
            </w:pPr>
            <w:r>
              <w:rPr>
                <w:rFonts w:hint="default" w:asciiTheme="majorEastAsia" w:hAnsiTheme="majorEastAsia" w:eastAsiaTheme="majorEastAsia" w:cstheme="majorEastAsia"/>
                <w:kern w:val="0"/>
                <w:sz w:val="24"/>
                <w:szCs w:val="24"/>
                <w:highlight w:val="none"/>
                <w:lang w:eastAsia="zh-CN"/>
              </w:rPr>
              <w:t>技术部分材料</w:t>
            </w:r>
          </w:p>
        </w:tc>
        <w:tc>
          <w:tcPr>
            <w:tcW w:w="4518" w:type="dxa"/>
            <w:noWrap w:val="0"/>
            <w:vAlign w:val="center"/>
          </w:tcPr>
          <w:p>
            <w:pPr>
              <w:adjustRightInd w:val="0"/>
              <w:snapToGrid w:val="0"/>
              <w:spacing w:line="240" w:lineRule="auto"/>
              <w:jc w:val="both"/>
              <w:rPr>
                <w:rFonts w:hint="default"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按照综合评分表技术部分评分标准提供，</w:t>
            </w:r>
            <w:r>
              <w:rPr>
                <w:rFonts w:hint="eastAsia" w:asciiTheme="majorEastAsia" w:hAnsiTheme="majorEastAsia" w:eastAsiaTheme="majorEastAsia" w:cstheme="majorEastAsia"/>
                <w:sz w:val="24"/>
                <w:szCs w:val="24"/>
                <w:highlight w:val="none"/>
              </w:rPr>
              <w:t>包括</w:t>
            </w:r>
            <w:r>
              <w:rPr>
                <w:rFonts w:hint="eastAsia" w:asciiTheme="majorEastAsia" w:hAnsiTheme="majorEastAsia" w:eastAsiaTheme="majorEastAsia" w:cstheme="majorEastAsia"/>
                <w:sz w:val="24"/>
                <w:szCs w:val="24"/>
                <w:highlight w:val="none"/>
                <w:lang w:val="en-US" w:eastAsia="zh-CN"/>
              </w:rPr>
              <w:t>但</w:t>
            </w:r>
            <w:r>
              <w:rPr>
                <w:rFonts w:hint="eastAsia" w:asciiTheme="majorEastAsia" w:hAnsiTheme="majorEastAsia" w:eastAsiaTheme="majorEastAsia" w:cstheme="majorEastAsia"/>
                <w:sz w:val="24"/>
                <w:szCs w:val="24"/>
                <w:highlight w:val="none"/>
              </w:rPr>
              <w:t>不限于</w:t>
            </w:r>
            <w:r>
              <w:rPr>
                <w:rFonts w:hint="eastAsia" w:asciiTheme="majorEastAsia" w:hAnsiTheme="majorEastAsia" w:eastAsiaTheme="majorEastAsia" w:cstheme="majorEastAsia"/>
                <w:sz w:val="24"/>
                <w:szCs w:val="24"/>
                <w:highlight w:val="none"/>
                <w:lang w:val="en-US" w:eastAsia="zh-CN"/>
              </w:rPr>
              <w:t>项目实施方案，应对措施及合理化建议评价，拟安排的项目负责人情况</w:t>
            </w:r>
            <w:r>
              <w:rPr>
                <w:rFonts w:hint="default" w:asciiTheme="majorEastAsia" w:hAnsiTheme="majorEastAsia" w:eastAsiaTheme="majorEastAsia" w:cstheme="majorEastAsia"/>
                <w:sz w:val="24"/>
                <w:szCs w:val="24"/>
                <w:highlight w:val="none"/>
                <w:lang w:eastAsia="zh-CN"/>
              </w:rPr>
              <w:t>、项目组人员情况等。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pStyle w:val="16"/>
              <w:spacing w:line="240" w:lineRule="auto"/>
              <w:ind w:firstLine="0" w:firstLineChars="0"/>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w:t>
            </w:r>
          </w:p>
        </w:tc>
        <w:tc>
          <w:tcPr>
            <w:tcW w:w="3478" w:type="dxa"/>
            <w:noWrap w:val="0"/>
            <w:vAlign w:val="center"/>
          </w:tcPr>
          <w:p>
            <w:pPr>
              <w:pStyle w:val="16"/>
              <w:spacing w:line="240" w:lineRule="auto"/>
              <w:ind w:firstLine="0" w:firstLineChars="0"/>
              <w:jc w:val="center"/>
              <w:rPr>
                <w:rFonts w:hint="default" w:asciiTheme="majorEastAsia" w:hAnsiTheme="majorEastAsia" w:eastAsiaTheme="majorEastAsia" w:cstheme="majorEastAsia"/>
                <w:kern w:val="0"/>
                <w:sz w:val="24"/>
                <w:szCs w:val="24"/>
                <w:highlight w:val="none"/>
                <w:lang w:eastAsia="zh-CN"/>
              </w:rPr>
            </w:pPr>
            <w:r>
              <w:rPr>
                <w:rFonts w:hint="default" w:asciiTheme="majorEastAsia" w:hAnsiTheme="majorEastAsia" w:eastAsiaTheme="majorEastAsia" w:cstheme="majorEastAsia"/>
                <w:kern w:val="0"/>
                <w:sz w:val="24"/>
                <w:szCs w:val="24"/>
                <w:highlight w:val="none"/>
                <w:lang w:eastAsia="zh-CN"/>
              </w:rPr>
              <w:t>商务部分材料</w:t>
            </w:r>
          </w:p>
        </w:tc>
        <w:tc>
          <w:tcPr>
            <w:tcW w:w="4518" w:type="dxa"/>
            <w:noWrap w:val="0"/>
            <w:vAlign w:val="center"/>
          </w:tcPr>
          <w:p>
            <w:pPr>
              <w:adjustRightInd w:val="0"/>
              <w:snapToGrid w:val="0"/>
              <w:spacing w:line="240" w:lineRule="auto"/>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按照综合评分表</w:t>
            </w:r>
            <w:r>
              <w:rPr>
                <w:rFonts w:hint="default" w:asciiTheme="majorEastAsia" w:hAnsiTheme="majorEastAsia" w:eastAsiaTheme="majorEastAsia" w:cstheme="majorEastAsia"/>
                <w:kern w:val="0"/>
                <w:sz w:val="24"/>
                <w:szCs w:val="24"/>
                <w:highlight w:val="none"/>
                <w:lang w:eastAsia="zh-CN"/>
              </w:rPr>
              <w:t>商务</w:t>
            </w:r>
            <w:r>
              <w:rPr>
                <w:rFonts w:hint="eastAsia" w:asciiTheme="majorEastAsia" w:hAnsiTheme="majorEastAsia" w:eastAsiaTheme="majorEastAsia" w:cstheme="majorEastAsia"/>
                <w:sz w:val="24"/>
                <w:szCs w:val="24"/>
                <w:highlight w:val="none"/>
                <w:lang w:eastAsia="zh-CN"/>
              </w:rPr>
              <w:t>部分评分标准提供，</w:t>
            </w:r>
            <w:r>
              <w:rPr>
                <w:rFonts w:hint="eastAsia" w:asciiTheme="majorEastAsia" w:hAnsiTheme="majorEastAsia" w:eastAsiaTheme="majorEastAsia" w:cstheme="majorEastAsia"/>
                <w:sz w:val="24"/>
                <w:szCs w:val="24"/>
                <w:highlight w:val="none"/>
              </w:rPr>
              <w:t>包括</w:t>
            </w:r>
            <w:r>
              <w:rPr>
                <w:rFonts w:hint="eastAsia" w:asciiTheme="majorEastAsia" w:hAnsiTheme="majorEastAsia" w:eastAsiaTheme="majorEastAsia" w:cstheme="majorEastAsia"/>
                <w:sz w:val="24"/>
                <w:szCs w:val="24"/>
                <w:highlight w:val="none"/>
                <w:lang w:val="en-US" w:eastAsia="zh-CN"/>
              </w:rPr>
              <w:t>但</w:t>
            </w:r>
            <w:r>
              <w:rPr>
                <w:rFonts w:hint="eastAsia" w:asciiTheme="majorEastAsia" w:hAnsiTheme="majorEastAsia" w:eastAsiaTheme="majorEastAsia" w:cstheme="majorEastAsia"/>
                <w:sz w:val="24"/>
                <w:szCs w:val="24"/>
                <w:highlight w:val="none"/>
              </w:rPr>
              <w:t>不限于</w:t>
            </w:r>
            <w:r>
              <w:rPr>
                <w:rFonts w:hint="default" w:asciiTheme="majorEastAsia" w:hAnsiTheme="majorEastAsia" w:eastAsiaTheme="majorEastAsia" w:cstheme="majorEastAsia"/>
                <w:sz w:val="24"/>
                <w:szCs w:val="24"/>
                <w:highlight w:val="none"/>
              </w:rPr>
              <w:t>企业资质、合同业绩等</w:t>
            </w:r>
            <w:r>
              <w:rPr>
                <w:rFonts w:hint="eastAsia" w:asciiTheme="majorEastAsia" w:hAnsiTheme="majorEastAsia" w:eastAsiaTheme="majorEastAsia" w:cstheme="maj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35" w:type="dxa"/>
            <w:noWrap w:val="0"/>
            <w:vAlign w:val="center"/>
          </w:tcPr>
          <w:p>
            <w:pPr>
              <w:adjustRightInd w:val="0"/>
              <w:snapToGrid w:val="0"/>
              <w:spacing w:line="24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6</w:t>
            </w:r>
          </w:p>
        </w:tc>
        <w:tc>
          <w:tcPr>
            <w:tcW w:w="3478" w:type="dxa"/>
            <w:noWrap w:val="0"/>
            <w:vAlign w:val="center"/>
          </w:tcPr>
          <w:p>
            <w:pPr>
              <w:adjustRightInd w:val="0"/>
              <w:snapToGrid w:val="0"/>
              <w:spacing w:line="24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报价人认为需要加以说明的其他内容</w:t>
            </w:r>
          </w:p>
        </w:tc>
        <w:tc>
          <w:tcPr>
            <w:tcW w:w="4518" w:type="dxa"/>
            <w:noWrap w:val="0"/>
            <w:vAlign w:val="center"/>
          </w:tcPr>
          <w:p>
            <w:pPr>
              <w:adjustRightInd w:val="0"/>
              <w:snapToGrid w:val="0"/>
              <w:spacing w:line="24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如有。</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注：1.以上材料均需加盖公章，未加盖公章资料视为无效资料。</w:t>
      </w: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4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2.整套文件</w:t>
      </w:r>
      <w:r>
        <w:rPr>
          <w:rFonts w:hint="eastAsia" w:asciiTheme="minorEastAsia" w:hAnsiTheme="minorEastAsia" w:eastAsiaTheme="minorEastAsia" w:cstheme="minorEastAsia"/>
          <w:b w:val="0"/>
          <w:bCs w:val="0"/>
          <w:sz w:val="24"/>
          <w:szCs w:val="24"/>
          <w:highlight w:val="none"/>
          <w:lang w:val="en-US" w:eastAsia="zh-CN"/>
        </w:rPr>
        <w:t>1正4副密封（密封处加盖公章）</w:t>
      </w:r>
    </w:p>
    <w:p>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highlight w:val="none"/>
          <w:lang w:val="en-US" w:eastAsia="zh-CN"/>
        </w:rPr>
      </w:pPr>
      <w:r>
        <w:rPr>
          <w:rFonts w:hint="eastAsia" w:asciiTheme="majorEastAsia" w:hAnsiTheme="majorEastAsia" w:eastAsiaTheme="majorEastAsia" w:cstheme="majorEastAsia"/>
          <w:b/>
          <w:bCs/>
          <w:sz w:val="32"/>
          <w:szCs w:val="32"/>
          <w:highlight w:val="none"/>
          <w:lang w:val="en-US" w:eastAsia="zh-CN"/>
        </w:rPr>
        <w:t>法人授权委托书</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委托人：</w:t>
      </w:r>
      <w:r>
        <w:rPr>
          <w:rFonts w:hint="eastAsia" w:asciiTheme="minorEastAsia" w:hAnsiTheme="minorEastAsia" w:eastAsiaTheme="minorEastAsia" w:cstheme="minorEastAsia"/>
          <w:b w:val="0"/>
          <w:bCs w:val="0"/>
          <w:sz w:val="24"/>
          <w:szCs w:val="24"/>
          <w:highlight w:val="none"/>
          <w:lang w:val="en-US" w:eastAsia="zh-CN"/>
        </w:rPr>
        <w:t xml:space="preserve">            （公司盖公章）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地址：</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法定代表人：        （法人签名或盖私章）</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受委托人：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性别：</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身份证号码：</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联系电话：</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工作单位：</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职务：</w:t>
      </w:r>
    </w:p>
    <w:p>
      <w:pPr>
        <w:pStyle w:val="6"/>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现委托上列受委托人在</w:t>
      </w:r>
      <w:r>
        <w:rPr>
          <w:rFonts w:hint="eastAsia" w:asciiTheme="minorEastAsia" w:hAnsiTheme="minorEastAsia" w:eastAsiaTheme="minorEastAsia" w:cstheme="minorEastAsia"/>
          <w:b w:val="0"/>
          <w:bCs w:val="0"/>
          <w:sz w:val="24"/>
          <w:szCs w:val="24"/>
          <w:highlight w:val="none"/>
          <w:u w:val="single"/>
          <w:lang w:val="en-US" w:eastAsia="zh-CN"/>
        </w:rPr>
        <w:t xml:space="preserve"> 智慧家园项目2024年电梯维保服务遴选采购 </w:t>
      </w:r>
      <w:r>
        <w:rPr>
          <w:rFonts w:hint="eastAsia" w:asciiTheme="minorEastAsia" w:hAnsiTheme="minorEastAsia" w:eastAsiaTheme="minorEastAsia" w:cstheme="minorEastAsia"/>
          <w:b w:val="0"/>
          <w:bCs w:val="0"/>
          <w:sz w:val="24"/>
          <w:szCs w:val="24"/>
          <w:highlight w:val="none"/>
          <w:lang w:val="en-US" w:eastAsia="zh-CN"/>
        </w:rPr>
        <w:t>活动中，作为我单位参加遴选采购活动的委托人。委托权限：授权上列受委托人在上述项目中以我方主体身份参与各项事宜，包括但不限于响应文件递交、合同签约等具体事务和签署相关文件。受委托人所签署的所有文件、提交的相关材料，委托人均承担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委托期限：自本委托书签发之日起，至    年  月  日止。</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委托人：</w:t>
      </w:r>
      <w:r>
        <w:rPr>
          <w:rFonts w:hint="eastAsia" w:asciiTheme="minorEastAsia" w:hAnsiTheme="minorEastAsia" w:eastAsiaTheme="minorEastAsia" w:cstheme="minorEastAsia"/>
          <w:b w:val="0"/>
          <w:bCs w:val="0"/>
          <w:sz w:val="24"/>
          <w:szCs w:val="24"/>
          <w:highlight w:val="none"/>
          <w:lang w:val="en-US" w:eastAsia="zh-CN"/>
        </w:rPr>
        <w:t>（公司盖公章）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签署日期：</w:t>
      </w:r>
      <w:r>
        <w:rPr>
          <w:rFonts w:hint="eastAsia" w:asciiTheme="minorEastAsia" w:hAnsiTheme="minorEastAsia" w:eastAsiaTheme="minorEastAsia" w:cstheme="minorEastAsia"/>
          <w:b w:val="0"/>
          <w:bCs w:val="0"/>
          <w:sz w:val="24"/>
          <w:szCs w:val="24"/>
          <w:highlight w:val="none"/>
          <w:lang w:val="en-US" w:eastAsia="zh-CN"/>
        </w:rPr>
        <w:t xml:space="preserve">    年  月  日</w:t>
      </w:r>
    </w:p>
    <w:p>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inorEastAsia" w:hAnsiTheme="minorEastAsia" w:eastAsiaTheme="minorEastAsia" w:cstheme="min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报价承诺函</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致：深圳市龙岗区城投城市服务有限公司</w:t>
      </w:r>
      <w:r>
        <w:rPr>
          <w:rFonts w:hint="default" w:asciiTheme="minorEastAsia" w:hAnsiTheme="minorEastAsia" w:cstheme="minorEastAsia"/>
          <w:b w:val="0"/>
          <w:bCs w:val="0"/>
          <w:sz w:val="24"/>
          <w:szCs w:val="24"/>
          <w:highlight w:val="none"/>
          <w:lang w:eastAsia="zh-CN"/>
        </w:rPr>
        <w:t>宝龙分公司</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我方自愿参加贵司组织的</w:t>
      </w:r>
      <w:r>
        <w:rPr>
          <w:rFonts w:hint="default" w:asciiTheme="minorEastAsia" w:hAnsiTheme="minorEastAsia" w:cstheme="minorEastAsia"/>
          <w:b w:val="0"/>
          <w:bCs w:val="0"/>
          <w:sz w:val="24"/>
          <w:szCs w:val="24"/>
          <w:highlight w:val="none"/>
          <w:u w:val="single"/>
          <w:lang w:eastAsia="zh-CN"/>
        </w:rPr>
        <w:t xml:space="preserve"> </w:t>
      </w:r>
      <w:r>
        <w:rPr>
          <w:rFonts w:hint="eastAsia" w:asciiTheme="minorEastAsia" w:hAnsiTheme="minorEastAsia" w:eastAsiaTheme="minorEastAsia" w:cstheme="minorEastAsia"/>
          <w:b w:val="0"/>
          <w:bCs w:val="0"/>
          <w:sz w:val="24"/>
          <w:szCs w:val="24"/>
          <w:highlight w:val="none"/>
          <w:u w:val="single"/>
          <w:lang w:val="en-US" w:eastAsia="zh-CN"/>
        </w:rPr>
        <w:t xml:space="preserve">智慧家园项目2024年电梯维保服务遴选采购 </w:t>
      </w:r>
      <w:r>
        <w:rPr>
          <w:rFonts w:hint="eastAsia" w:asciiTheme="minorEastAsia" w:hAnsiTheme="minorEastAsia" w:cstheme="minorEastAsia"/>
          <w:b w:val="0"/>
          <w:bCs w:val="0"/>
          <w:sz w:val="24"/>
          <w:szCs w:val="24"/>
          <w:highlight w:val="none"/>
          <w:lang w:val="en-US" w:eastAsia="zh-CN"/>
        </w:rPr>
        <w:t>活动</w:t>
      </w:r>
      <w:r>
        <w:rPr>
          <w:rFonts w:hint="eastAsia" w:asciiTheme="minorEastAsia" w:hAnsiTheme="minorEastAsia" w:eastAsiaTheme="minorEastAsia" w:cstheme="minorEastAsia"/>
          <w:b w:val="0"/>
          <w:bCs w:val="0"/>
          <w:sz w:val="24"/>
          <w:szCs w:val="24"/>
          <w:highlight w:val="none"/>
          <w:lang w:val="en-US" w:eastAsia="zh-CN"/>
        </w:rPr>
        <w:t>，作为遴选响应人，我单位作出如下承诺：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1.根据企业自身情况，理性报价，不会以低于成本的报价竞争，</w:t>
      </w:r>
      <w:r>
        <w:rPr>
          <w:rFonts w:hint="eastAsia" w:asciiTheme="minorEastAsia" w:hAnsiTheme="minorEastAsia" w:cstheme="minorEastAsia"/>
          <w:b w:val="0"/>
          <w:bCs w:val="0"/>
          <w:sz w:val="24"/>
          <w:szCs w:val="24"/>
          <w:highlight w:val="none"/>
          <w:lang w:val="en-US" w:eastAsia="zh-CN"/>
        </w:rPr>
        <w:t>并自愿以合同总价</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lang w:val="en-US" w:eastAsia="zh-CN"/>
        </w:rPr>
        <w:t>元（含税）</w:t>
      </w:r>
      <w:r>
        <w:rPr>
          <w:rFonts w:hint="default" w:asciiTheme="minorEastAsia" w:hAnsiTheme="minorEastAsia" w:cstheme="minorEastAsia"/>
          <w:b w:val="0"/>
          <w:bCs w:val="0"/>
          <w:sz w:val="24"/>
          <w:szCs w:val="24"/>
          <w:highlight w:val="none"/>
          <w:lang w:eastAsia="zh-CN"/>
        </w:rPr>
        <w:t>，</w:t>
      </w:r>
      <w:r>
        <w:rPr>
          <w:rFonts w:hint="eastAsia" w:asciiTheme="minorEastAsia" w:hAnsiTheme="minorEastAsia" w:cstheme="minorEastAsia"/>
          <w:b w:val="0"/>
          <w:bCs w:val="0"/>
          <w:sz w:val="24"/>
          <w:szCs w:val="24"/>
          <w:highlight w:val="none"/>
          <w:lang w:val="en-US" w:eastAsia="zh-CN"/>
        </w:rPr>
        <w:t>单次配件免费更换价格</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lang w:val="en-US" w:eastAsia="zh-CN"/>
        </w:rPr>
        <w:t>元</w:t>
      </w:r>
      <w:r>
        <w:rPr>
          <w:rFonts w:hint="eastAsia" w:asciiTheme="minorEastAsia" w:hAnsiTheme="minorEastAsia" w:eastAsiaTheme="minorEastAsia" w:cstheme="minorEastAsia"/>
          <w:b w:val="0"/>
          <w:bCs w:val="0"/>
          <w:sz w:val="24"/>
          <w:szCs w:val="24"/>
          <w:highlight w:val="none"/>
          <w:lang w:val="en-US" w:eastAsia="zh-CN"/>
        </w:rPr>
        <w:t>按发包人要求承包对应项目工作。否则，我方愿意承担任何风险。（响应供应商填写）</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3.如果违反本承诺书中任何条款，我方愿意接受：</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（1）视作我方单方面违约，并按照合同规定向贵方支付违约金或解除合同；</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（2）履约评价评定为</w:t>
      </w:r>
      <w:r>
        <w:rPr>
          <w:rFonts w:hint="eastAsia" w:asciiTheme="minorEastAsia" w:hAnsiTheme="minorEastAsia" w:cstheme="minorEastAsia"/>
          <w:b w:val="0"/>
          <w:bCs w:val="0"/>
          <w:sz w:val="24"/>
          <w:szCs w:val="24"/>
          <w:highlight w:val="none"/>
          <w:lang w:val="en-US" w:eastAsia="zh-CN"/>
        </w:rPr>
        <w:t>不</w:t>
      </w:r>
      <w:r>
        <w:rPr>
          <w:rFonts w:hint="eastAsia" w:asciiTheme="minorEastAsia" w:hAnsiTheme="minorEastAsia" w:eastAsiaTheme="minorEastAsia" w:cstheme="minorEastAsia"/>
          <w:b w:val="0"/>
          <w:bCs w:val="0"/>
          <w:sz w:val="24"/>
          <w:szCs w:val="24"/>
          <w:highlight w:val="none"/>
          <w:lang w:val="en-US" w:eastAsia="zh-CN"/>
        </w:rPr>
        <w:t>合格；</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（3）贵方今后可拒绝我方参与投标；</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（4）国家认证主管部门或相关主管部门的不良行为记录、行政处罚。</w:t>
      </w:r>
    </w:p>
    <w:p>
      <w:pPr>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承诺单位（盖章）：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法定代表人或授权委托人（签字或盖私章）：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签署日期：</w:t>
      </w:r>
      <w:r>
        <w:rPr>
          <w:rFonts w:hint="default" w:asciiTheme="minorEastAsia" w:hAnsiTheme="minorEastAsia" w:cstheme="minorEastAsia"/>
          <w:b w:val="0"/>
          <w:bCs w:val="0"/>
          <w:sz w:val="24"/>
          <w:szCs w:val="24"/>
          <w:highlight w:val="none"/>
          <w:lang w:eastAsia="zh-CN"/>
        </w:rPr>
        <w:t xml:space="preserve">    </w:t>
      </w:r>
      <w:r>
        <w:rPr>
          <w:rFonts w:hint="eastAsia" w:asciiTheme="minorEastAsia" w:hAnsiTheme="minorEastAsia" w:eastAsiaTheme="minorEastAsia" w:cstheme="minorEastAsia"/>
          <w:b w:val="0"/>
          <w:bCs w:val="0"/>
          <w:sz w:val="24"/>
          <w:szCs w:val="24"/>
          <w:highlight w:val="none"/>
          <w:lang w:val="en-US" w:eastAsia="zh-CN"/>
        </w:rPr>
        <w:t>年    月    日</w:t>
      </w:r>
    </w:p>
    <w:p>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inorEastAsia" w:hAnsiTheme="minorEastAsia" w:cstheme="minorEastAsia"/>
          <w:b w:val="0"/>
          <w:bCs w:val="0"/>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报价单</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一、报价情况</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cstheme="minorEastAsia"/>
          <w:b w:val="0"/>
          <w:bCs w:val="0"/>
          <w:sz w:val="24"/>
          <w:szCs w:val="24"/>
          <w:highlight w:val="none"/>
          <w:lang w:eastAsia="zh-CN"/>
        </w:rPr>
      </w:pPr>
      <w:r>
        <w:rPr>
          <w:rFonts w:hint="eastAsia" w:asciiTheme="minorEastAsia" w:hAnsiTheme="minorEastAsia" w:cstheme="minorEastAsia"/>
          <w:b w:val="0"/>
          <w:bCs w:val="0"/>
          <w:sz w:val="24"/>
          <w:szCs w:val="24"/>
          <w:highlight w:val="none"/>
          <w:u w:val="single"/>
          <w:lang w:val="en-US" w:eastAsia="zh-CN"/>
        </w:rPr>
        <w:t xml:space="preserve"> 65 </w:t>
      </w:r>
      <w:r>
        <w:rPr>
          <w:rFonts w:hint="eastAsia" w:asciiTheme="minorEastAsia" w:hAnsiTheme="minorEastAsia" w:cstheme="minorEastAsia"/>
          <w:b w:val="0"/>
          <w:bCs w:val="0"/>
          <w:sz w:val="24"/>
          <w:szCs w:val="24"/>
          <w:highlight w:val="none"/>
          <w:lang w:val="en-US" w:eastAsia="zh-CN"/>
        </w:rPr>
        <w:t>台电梯</w:t>
      </w:r>
      <w:r>
        <w:rPr>
          <w:rFonts w:hint="default" w:asciiTheme="minorEastAsia" w:hAnsiTheme="minorEastAsia" w:cstheme="minorEastAsia"/>
          <w:b w:val="0"/>
          <w:bCs w:val="0"/>
          <w:sz w:val="24"/>
          <w:szCs w:val="24"/>
          <w:highlight w:val="none"/>
          <w:lang w:eastAsia="zh-CN"/>
        </w:rPr>
        <w:t>全年</w:t>
      </w:r>
      <w:r>
        <w:rPr>
          <w:rFonts w:hint="eastAsia" w:asciiTheme="minorEastAsia" w:hAnsiTheme="minorEastAsia" w:cstheme="minorEastAsia"/>
          <w:b w:val="0"/>
          <w:bCs w:val="0"/>
          <w:sz w:val="24"/>
          <w:szCs w:val="24"/>
          <w:highlight w:val="none"/>
          <w:lang w:val="en-US" w:eastAsia="zh-CN"/>
        </w:rPr>
        <w:t>维保费用为</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lang w:val="en-US" w:eastAsia="zh-CN"/>
        </w:rPr>
        <w:t>元（</w:t>
      </w:r>
      <w:r>
        <w:rPr>
          <w:rFonts w:hint="default" w:asciiTheme="minorEastAsia" w:hAnsiTheme="minorEastAsia" w:cstheme="minorEastAsia"/>
          <w:b w:val="0"/>
          <w:bCs w:val="0"/>
          <w:sz w:val="24"/>
          <w:szCs w:val="24"/>
          <w:highlight w:val="none"/>
          <w:lang w:eastAsia="zh-CN"/>
        </w:rPr>
        <w:t>含税，</w:t>
      </w:r>
      <w:r>
        <w:rPr>
          <w:rFonts w:hint="eastAsia" w:asciiTheme="minorEastAsia" w:hAnsiTheme="minorEastAsia" w:cstheme="minorEastAsia"/>
          <w:b w:val="0"/>
          <w:bCs w:val="0"/>
          <w:sz w:val="24"/>
          <w:szCs w:val="24"/>
          <w:highlight w:val="none"/>
          <w:lang w:val="en-US" w:eastAsia="zh-CN"/>
        </w:rPr>
        <w:t>大写：</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lang w:val="en-US" w:eastAsia="zh-CN"/>
        </w:rPr>
        <w:t>元整）</w:t>
      </w:r>
      <w:r>
        <w:rPr>
          <w:rFonts w:hint="default" w:asciiTheme="minorEastAsia" w:hAnsiTheme="minorEastAsia" w:cstheme="minorEastAsia"/>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单次配件免费更换价格</w:t>
      </w:r>
      <w:r>
        <w:rPr>
          <w:rFonts w:hint="eastAsia" w:asciiTheme="minorEastAsia" w:hAnsiTheme="minorEastAsia" w:cstheme="minorEastAsia"/>
          <w:b w:val="0"/>
          <w:bCs w:val="0"/>
          <w:sz w:val="24"/>
          <w:szCs w:val="24"/>
          <w:highlight w:val="none"/>
          <w:u w:val="single"/>
          <w:lang w:val="en-US" w:eastAsia="zh-CN"/>
        </w:rPr>
        <w:t xml:space="preserve">    </w:t>
      </w:r>
      <w:r>
        <w:rPr>
          <w:rFonts w:hint="eastAsia" w:asciiTheme="minorEastAsia" w:hAnsiTheme="minorEastAsia" w:cstheme="minorEastAsia"/>
          <w:b w:val="0"/>
          <w:bCs w:val="0"/>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单位（盖章）：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法定代表人或授权委托人（签字或盖私章）：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日期：2023年    月    日</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附件</w:t>
      </w:r>
      <w:r>
        <w:rPr>
          <w:rFonts w:hint="eastAsia" w:asciiTheme="minorEastAsia" w:hAnsiTheme="minorEastAsia" w:cstheme="minorEastAsia"/>
          <w:b w:val="0"/>
          <w:bCs w:val="0"/>
          <w:sz w:val="28"/>
          <w:szCs w:val="28"/>
          <w:highlight w:val="none"/>
          <w:lang w:val="en-US" w:eastAsia="zh-CN"/>
        </w:rPr>
        <w:t>3</w:t>
      </w:r>
    </w:p>
    <w:p>
      <w:pPr>
        <w:jc w:val="center"/>
        <w:rPr>
          <w:rFonts w:ascii="方正小标宋简体" w:hAnsi="方正小标宋简体" w:eastAsia="方正小标宋简体" w:cs="方正小标宋简体"/>
          <w:bCs/>
          <w:sz w:val="32"/>
          <w:szCs w:val="22"/>
        </w:rPr>
      </w:pPr>
      <w:r>
        <w:rPr>
          <w:rFonts w:ascii="方正小标宋简体" w:hAnsi="方正小标宋简体" w:eastAsia="方正小标宋简体" w:cs="方正小标宋简体"/>
          <w:bCs/>
          <w:sz w:val="32"/>
          <w:szCs w:val="22"/>
        </w:rPr>
        <w:t>综合评分表</w:t>
      </w:r>
    </w:p>
    <w:tbl>
      <w:tblPr>
        <w:tblStyle w:val="1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0" w:hRule="atLeast"/>
          <w:tblHeader/>
          <w:jc w:val="center"/>
        </w:trPr>
        <w:tc>
          <w:tcPr>
            <w:tcW w:w="8529" w:type="dxa"/>
            <w:gridSpan w:val="4"/>
            <w:vAlign w:val="center"/>
          </w:tcPr>
          <w:p>
            <w:pPr>
              <w:autoSpaceDE w:val="0"/>
              <w:autoSpaceDN w:val="0"/>
              <w:adjustRightInd w:val="0"/>
              <w:snapToGrid w:val="0"/>
              <w:jc w:val="center"/>
              <w:rPr>
                <w:rFonts w:ascii="楷体_GB2312" w:hAnsi="楷体_GB2312" w:eastAsia="楷体_GB2312" w:cs="楷体_GB2312"/>
                <w:b/>
                <w:sz w:val="22"/>
                <w:szCs w:val="22"/>
              </w:rPr>
            </w:pPr>
            <w:r>
              <w:rPr>
                <w:rFonts w:ascii="楷体_GB2312" w:hAnsi="楷体_GB2312" w:eastAsia="楷体_GB2312" w:cs="楷体_GB2312"/>
                <w:b/>
                <w:sz w:val="22"/>
                <w:szCs w:val="22"/>
              </w:rPr>
              <w:t>价格部分（</w:t>
            </w:r>
            <w:r>
              <w:rPr>
                <w:rFonts w:hint="eastAsia" w:ascii="楷体_GB2312" w:hAnsi="楷体_GB2312" w:eastAsia="楷体_GB2312" w:cs="楷体_GB2312"/>
                <w:b/>
                <w:sz w:val="22"/>
                <w:szCs w:val="22"/>
                <w:lang w:val="en-US" w:eastAsia="zh-CN"/>
              </w:rPr>
              <w:t>3</w:t>
            </w:r>
            <w:r>
              <w:rPr>
                <w:rFonts w:ascii="楷体_GB2312" w:hAnsi="楷体_GB2312" w:eastAsia="楷体_GB2312" w:cs="楷体_GB2312"/>
                <w:b/>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jc w:val="center"/>
        </w:trPr>
        <w:tc>
          <w:tcPr>
            <w:tcW w:w="675"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序号</w:t>
            </w:r>
          </w:p>
        </w:tc>
        <w:tc>
          <w:tcPr>
            <w:tcW w:w="1134"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评审项目</w:t>
            </w:r>
          </w:p>
        </w:tc>
        <w:tc>
          <w:tcPr>
            <w:tcW w:w="5918"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评审标准及证明材料</w:t>
            </w:r>
          </w:p>
        </w:tc>
        <w:tc>
          <w:tcPr>
            <w:tcW w:w="802"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Align w:val="center"/>
          </w:tcPr>
          <w:p>
            <w:pPr>
              <w:autoSpaceDE w:val="0"/>
              <w:autoSpaceDN w:val="0"/>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34"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sz w:val="22"/>
              </w:rPr>
              <w:t>价格部分</w:t>
            </w:r>
          </w:p>
        </w:tc>
        <w:tc>
          <w:tcPr>
            <w:tcW w:w="5918" w:type="dxa"/>
            <w:vAlign w:val="center"/>
          </w:tcPr>
          <w:p>
            <w:pPr>
              <w:widowControl/>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widowControl/>
              <w:adjustRightInd w:val="0"/>
              <w:snapToGrid w:val="0"/>
              <w:rPr>
                <w:rFonts w:ascii="仿宋_GB2312" w:hAnsi="仿宋_GB2312" w:eastAsia="仿宋_GB2312" w:cs="仿宋_GB2312"/>
                <w:szCs w:val="21"/>
              </w:rPr>
            </w:pPr>
            <w:r>
              <w:rPr>
                <w:rFonts w:hint="eastAsia" w:ascii="仿宋_GB2312" w:hAnsi="仿宋_GB2312" w:eastAsia="仿宋_GB2312" w:cs="仿宋_GB2312"/>
                <w:sz w:val="22"/>
              </w:rPr>
              <w:t>价格分计算方法：满足招标文件要求且投标价格最低的投标报价为评标基准价，其价格分为满分。其他投标人的价格分统一按照下列公式计算：投标报价得分=(评标基准价／投标报价)×价格权重（</w:t>
            </w:r>
            <w:r>
              <w:rPr>
                <w:rFonts w:hint="eastAsia" w:ascii="仿宋_GB2312" w:hAnsi="仿宋_GB2312" w:eastAsia="仿宋_GB2312" w:cs="仿宋_GB2312"/>
                <w:sz w:val="22"/>
                <w:lang w:val="en-US" w:eastAsia="zh-CN"/>
              </w:rPr>
              <w:t>25</w:t>
            </w:r>
            <w:r>
              <w:rPr>
                <w:rFonts w:hint="eastAsia" w:ascii="仿宋_GB2312" w:hAnsi="仿宋_GB2312" w:eastAsia="仿宋_GB2312" w:cs="仿宋_GB2312"/>
                <w:sz w:val="22"/>
              </w:rPr>
              <w:t>%）×100。</w:t>
            </w:r>
            <w:r>
              <w:rPr>
                <w:rFonts w:hint="eastAsia" w:ascii="仿宋_GB2312" w:hAnsi="仿宋_GB2312" w:eastAsia="仿宋_GB2312" w:cs="仿宋_GB2312"/>
                <w:szCs w:val="21"/>
              </w:rPr>
              <w:t>本项满分为</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分。</w:t>
            </w:r>
          </w:p>
        </w:tc>
        <w:tc>
          <w:tcPr>
            <w:tcW w:w="802" w:type="dxa"/>
            <w:vAlign w:val="center"/>
          </w:tcPr>
          <w:p>
            <w:pPr>
              <w:autoSpaceDE w:val="0"/>
              <w:autoSpaceDN w:val="0"/>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Align w:val="center"/>
          </w:tcPr>
          <w:p>
            <w:pPr>
              <w:jc w:val="center"/>
              <w:rPr>
                <w:rFonts w:ascii="仿宋_GB2312" w:hAnsi="仿宋_GB2312" w:eastAsia="仿宋_GB2312" w:cs="仿宋_GB2312"/>
                <w:szCs w:val="21"/>
                <w:lang w:bidi="ar"/>
              </w:rPr>
            </w:pPr>
            <w:r>
              <w:rPr>
                <w:rFonts w:hint="eastAsia" w:ascii="仿宋_GB2312" w:hAnsi="仿宋_GB2312" w:eastAsia="仿宋_GB2312" w:cs="仿宋_GB2312"/>
                <w:szCs w:val="21"/>
                <w:lang w:bidi="ar"/>
              </w:rPr>
              <w:t>2</w:t>
            </w:r>
          </w:p>
        </w:tc>
        <w:tc>
          <w:tcPr>
            <w:tcW w:w="1134" w:type="dxa"/>
            <w:vAlign w:val="center"/>
          </w:tcPr>
          <w:p>
            <w:pPr>
              <w:jc w:val="center"/>
              <w:rPr>
                <w:rFonts w:ascii="仿宋_GB2312" w:hAnsi="仿宋_GB2312" w:eastAsia="仿宋_GB2312" w:cs="仿宋_GB2312"/>
                <w:szCs w:val="21"/>
                <w:lang w:bidi="ar"/>
              </w:rPr>
            </w:pPr>
            <w:r>
              <w:rPr>
                <w:rFonts w:hint="eastAsia" w:ascii="仿宋_GB2312" w:hAnsi="仿宋_GB2312" w:eastAsia="仿宋_GB2312" w:cs="仿宋_GB2312"/>
                <w:szCs w:val="21"/>
                <w:lang w:eastAsia="zh-Hans" w:bidi="ar"/>
              </w:rPr>
              <w:t>配件免费更换报价</w:t>
            </w:r>
          </w:p>
        </w:tc>
        <w:tc>
          <w:tcPr>
            <w:tcW w:w="5918" w:type="dxa"/>
            <w:vAlign w:val="center"/>
          </w:tcPr>
          <w:p>
            <w:pPr>
              <w:widowControl/>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widowControl/>
              <w:adjustRightInd w:val="0"/>
              <w:snapToGrid w:val="0"/>
              <w:rPr>
                <w:rFonts w:ascii="仿宋_GB2312" w:hAnsi="仿宋_GB2312" w:eastAsia="仿宋_GB2312" w:cs="仿宋_GB2312"/>
                <w:sz w:val="22"/>
              </w:rPr>
            </w:pPr>
            <w:r>
              <w:rPr>
                <w:rFonts w:hint="eastAsia" w:ascii="仿宋_GB2312" w:hAnsi="仿宋_GB2312" w:eastAsia="仿宋_GB2312" w:cs="仿宋_GB2312"/>
                <w:sz w:val="22"/>
              </w:rPr>
              <w:t>价格分计算方法：单次配件免费更换价格不少于200元，</w:t>
            </w:r>
            <w:r>
              <w:rPr>
                <w:rFonts w:hint="eastAsia" w:ascii="仿宋_GB2312" w:hAnsi="仿宋_GB2312" w:eastAsia="仿宋_GB2312" w:cs="仿宋_GB2312"/>
                <w:sz w:val="22"/>
                <w:lang w:val="en-US" w:eastAsia="zh-CN"/>
              </w:rPr>
              <w:t>单</w:t>
            </w:r>
            <w:r>
              <w:rPr>
                <w:rFonts w:hint="eastAsia" w:ascii="仿宋_GB2312" w:hAnsi="仿宋_GB2312" w:eastAsia="仿宋_GB2312" w:cs="仿宋_GB2312"/>
                <w:sz w:val="22"/>
              </w:rPr>
              <w:t>次配件免费更换价格最高的投标报价为评标基准价，其价格分为满分。其他投标人的价格分统一按照下列公式计算：投标报价得分=(投标报价／评标基准价)×价格权重（</w:t>
            </w:r>
            <w:r>
              <w:rPr>
                <w:rFonts w:hint="eastAsia" w:ascii="仿宋_GB2312" w:hAnsi="仿宋_GB2312" w:eastAsia="仿宋_GB2312" w:cs="仿宋_GB2312"/>
                <w:sz w:val="22"/>
                <w:lang w:val="en-US" w:eastAsia="zh-CN"/>
              </w:rPr>
              <w:t>5</w:t>
            </w:r>
            <w:r>
              <w:rPr>
                <w:rFonts w:hint="eastAsia" w:ascii="仿宋_GB2312" w:hAnsi="仿宋_GB2312" w:eastAsia="仿宋_GB2312" w:cs="仿宋_GB2312"/>
                <w:sz w:val="22"/>
              </w:rPr>
              <w:t>%）×100。</w:t>
            </w:r>
            <w:r>
              <w:rPr>
                <w:rFonts w:hint="eastAsia" w:ascii="仿宋_GB2312" w:hAnsi="仿宋_GB2312" w:eastAsia="仿宋_GB2312" w:cs="仿宋_GB2312"/>
                <w:szCs w:val="21"/>
              </w:rPr>
              <w:t>本项满分为</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分。</w:t>
            </w:r>
          </w:p>
        </w:tc>
        <w:tc>
          <w:tcPr>
            <w:tcW w:w="802"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5</w:t>
            </w:r>
          </w:p>
        </w:tc>
      </w:tr>
    </w:tbl>
    <w:p>
      <w:pPr>
        <w:rPr>
          <w:rFonts w:ascii="宋体" w:hAnsi="宋体"/>
          <w:b/>
          <w:sz w:val="22"/>
        </w:rPr>
      </w:pPr>
      <w:r>
        <w:rPr>
          <w:rFonts w:ascii="宋体" w:hAnsi="宋体"/>
          <w:b/>
          <w:sz w:val="22"/>
        </w:rPr>
        <w:br w:type="page"/>
      </w:r>
    </w:p>
    <w:p>
      <w:pPr>
        <w:pStyle w:val="4"/>
        <w:ind w:left="0" w:leftChars="0" w:firstLine="0" w:firstLineChars="0"/>
        <w:rPr>
          <w:rFonts w:ascii="宋体" w:hAnsi="宋体"/>
          <w:b/>
          <w:sz w:val="22"/>
        </w:rPr>
      </w:pPr>
    </w:p>
    <w:tbl>
      <w:tblPr>
        <w:tblStyle w:val="1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jc w:val="center"/>
        </w:trPr>
        <w:tc>
          <w:tcPr>
            <w:tcW w:w="8529" w:type="dxa"/>
            <w:gridSpan w:val="4"/>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lang w:val="en-US" w:eastAsia="zh-CN"/>
              </w:rPr>
              <w:t>商务</w:t>
            </w:r>
            <w:r>
              <w:rPr>
                <w:rFonts w:hint="eastAsia" w:ascii="楷体_GB2312" w:hAnsi="楷体_GB2312" w:eastAsia="楷体_GB2312" w:cs="楷体_GB2312"/>
                <w:b/>
                <w:sz w:val="22"/>
                <w:szCs w:val="22"/>
              </w:rPr>
              <w:t>部分</w:t>
            </w:r>
            <w:r>
              <w:rPr>
                <w:rFonts w:ascii="楷体_GB2312" w:hAnsi="楷体_GB2312" w:eastAsia="楷体_GB2312" w:cs="楷体_GB2312"/>
                <w:b/>
                <w:sz w:val="22"/>
                <w:szCs w:val="22"/>
              </w:rPr>
              <w:t>（</w:t>
            </w:r>
            <w:r>
              <w:rPr>
                <w:rFonts w:hint="eastAsia" w:ascii="楷体_GB2312" w:hAnsi="楷体_GB2312" w:eastAsia="楷体_GB2312" w:cs="楷体_GB2312"/>
                <w:b/>
                <w:sz w:val="22"/>
                <w:szCs w:val="22"/>
                <w:lang w:val="en-US" w:eastAsia="zh-CN"/>
              </w:rPr>
              <w:t>40</w:t>
            </w:r>
            <w:r>
              <w:rPr>
                <w:rFonts w:ascii="楷体_GB2312" w:hAnsi="楷体_GB2312" w:eastAsia="楷体_GB2312" w:cs="楷体_GB2312"/>
                <w:b/>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jc w:val="center"/>
        </w:trPr>
        <w:tc>
          <w:tcPr>
            <w:tcW w:w="675"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序号</w:t>
            </w:r>
          </w:p>
        </w:tc>
        <w:tc>
          <w:tcPr>
            <w:tcW w:w="1134"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评审项目</w:t>
            </w:r>
          </w:p>
        </w:tc>
        <w:tc>
          <w:tcPr>
            <w:tcW w:w="5918"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评审标准及证明材料</w:t>
            </w:r>
          </w:p>
        </w:tc>
        <w:tc>
          <w:tcPr>
            <w:tcW w:w="802"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Merge w:val="restart"/>
            <w:vAlign w:val="center"/>
          </w:tcPr>
          <w:p>
            <w:pPr>
              <w:autoSpaceDE w:val="0"/>
              <w:autoSpaceDN w:val="0"/>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bidi="ar"/>
              </w:rPr>
              <w:t>1</w:t>
            </w:r>
          </w:p>
        </w:tc>
        <w:tc>
          <w:tcPr>
            <w:tcW w:w="1134" w:type="dxa"/>
            <w:vMerge w:val="restart"/>
            <w:vAlign w:val="center"/>
          </w:tcPr>
          <w:p>
            <w:pPr>
              <w:autoSpaceDE w:val="0"/>
              <w:autoSpaceDN w:val="0"/>
              <w:adjustRightInd w:val="0"/>
              <w:snapToGrid w:val="0"/>
              <w:jc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val="en-US" w:eastAsia="zh-CN" w:bidi="ar"/>
              </w:rPr>
              <w:t>投标单位具备与电梯相关的技术实力</w:t>
            </w:r>
          </w:p>
        </w:tc>
        <w:tc>
          <w:tcPr>
            <w:tcW w:w="5918" w:type="dxa"/>
            <w:vAlign w:val="center"/>
          </w:tcPr>
          <w:p>
            <w:pPr>
              <w:widowControl/>
              <w:wordWrap w:val="0"/>
              <w:autoSpaceDE w:val="0"/>
              <w:rPr>
                <w:rFonts w:hint="eastAsia" w:ascii="仿宋_GB2312" w:hAnsi="仿宋_GB2312" w:eastAsia="仿宋_GB2312" w:cs="仿宋_GB2312"/>
                <w:szCs w:val="21"/>
                <w:lang w:val="en-US" w:eastAsia="zh-CN" w:bidi="ar"/>
              </w:rPr>
            </w:pPr>
            <w:r>
              <w:rPr>
                <w:rFonts w:hint="eastAsia" w:ascii="仿宋_GB2312" w:hAnsi="仿宋_GB2312" w:eastAsia="仿宋_GB2312" w:cs="仿宋_GB2312"/>
                <w:szCs w:val="21"/>
                <w:lang w:val="en-US" w:eastAsia="zh-CN" w:bidi="ar"/>
              </w:rPr>
              <w:t>计算机软件著作权登记证书：</w:t>
            </w:r>
          </w:p>
          <w:p>
            <w:pPr>
              <w:widowControl/>
              <w:wordWrap w:val="0"/>
              <w:autoSpaceDE w:val="0"/>
              <w:rPr>
                <w:rFonts w:hint="eastAsia" w:ascii="仿宋_GB2312" w:hAnsi="仿宋_GB2312" w:eastAsia="仿宋_GB2312" w:cs="仿宋_GB2312"/>
                <w:szCs w:val="21"/>
                <w:lang w:val="en-US" w:eastAsia="zh-CN" w:bidi="ar"/>
              </w:rPr>
            </w:pPr>
            <w:r>
              <w:rPr>
                <w:rFonts w:hint="eastAsia" w:ascii="仿宋_GB2312" w:hAnsi="仿宋_GB2312" w:eastAsia="仿宋_GB2312" w:cs="仿宋_GB2312"/>
                <w:szCs w:val="21"/>
                <w:lang w:val="en-US" w:eastAsia="zh-CN" w:bidi="ar"/>
              </w:rPr>
              <w:t>投标人近三年（2020年1月1日至今）取得国家版权局颁发的与电梯技术相关的计算机软件著作权登记证书（权利取得方式：原始取得），每提供1个得1分，满分3分；不提供者不得分。</w:t>
            </w:r>
          </w:p>
          <w:p>
            <w:pPr>
              <w:autoSpaceDE w:val="0"/>
              <w:autoSpaceDN w:val="0"/>
              <w:adjustRightInd w:val="0"/>
              <w:snapToGrid w:val="0"/>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证明材料：</w:t>
            </w:r>
          </w:p>
          <w:p>
            <w:pPr>
              <w:autoSpaceDE w:val="0"/>
              <w:autoSpaceDN w:val="0"/>
              <w:adjustRightInd w:val="0"/>
              <w:snapToGrid w:val="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bidi="ar"/>
              </w:rPr>
              <w:t>提供相关著作权登记证书的扫描件。</w:t>
            </w:r>
          </w:p>
        </w:tc>
        <w:tc>
          <w:tcPr>
            <w:tcW w:w="802" w:type="dxa"/>
            <w:vAlign w:val="center"/>
          </w:tcPr>
          <w:p>
            <w:pPr>
              <w:autoSpaceDE w:val="0"/>
              <w:autoSpaceDN w:val="0"/>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Merge w:val="continue"/>
            <w:vAlign w:val="center"/>
          </w:tcPr>
          <w:p>
            <w:pPr>
              <w:autoSpaceDE w:val="0"/>
              <w:autoSpaceDN w:val="0"/>
              <w:adjustRightInd w:val="0"/>
              <w:snapToGrid w:val="0"/>
              <w:jc w:val="center"/>
              <w:rPr>
                <w:rFonts w:hint="eastAsia" w:ascii="仿宋_GB2312" w:hAnsi="仿宋_GB2312" w:eastAsia="仿宋_GB2312" w:cs="仿宋_GB2312"/>
                <w:szCs w:val="21"/>
              </w:rPr>
            </w:pPr>
          </w:p>
        </w:tc>
        <w:tc>
          <w:tcPr>
            <w:tcW w:w="1134" w:type="dxa"/>
            <w:vMerge w:val="continue"/>
            <w:vAlign w:val="center"/>
          </w:tcPr>
          <w:p>
            <w:pPr>
              <w:autoSpaceDE w:val="0"/>
              <w:autoSpaceDN w:val="0"/>
              <w:adjustRightInd w:val="0"/>
              <w:snapToGrid w:val="0"/>
              <w:jc w:val="center"/>
              <w:rPr>
                <w:rFonts w:hint="eastAsia" w:ascii="仿宋_GB2312" w:hAnsi="仿宋_GB2312" w:eastAsia="仿宋_GB2312" w:cs="仿宋_GB2312"/>
                <w:szCs w:val="21"/>
                <w:lang w:bidi="ar"/>
              </w:rPr>
            </w:pPr>
          </w:p>
        </w:tc>
        <w:tc>
          <w:tcPr>
            <w:tcW w:w="5918" w:type="dxa"/>
            <w:vAlign w:val="center"/>
          </w:tcPr>
          <w:p>
            <w:pPr>
              <w:widowControl/>
              <w:wordWrap w:val="0"/>
              <w:autoSpaceDE w:val="0"/>
              <w:rPr>
                <w:rFonts w:hint="eastAsia" w:ascii="仿宋_GB2312" w:hAnsi="仿宋_GB2312" w:eastAsia="仿宋_GB2312" w:cs="仿宋_GB2312"/>
                <w:szCs w:val="21"/>
                <w:lang w:val="en-US" w:eastAsia="zh-CN" w:bidi="ar"/>
              </w:rPr>
            </w:pPr>
            <w:r>
              <w:rPr>
                <w:rFonts w:hint="eastAsia" w:ascii="仿宋_GB2312" w:hAnsi="仿宋_GB2312" w:eastAsia="仿宋_GB2312" w:cs="仿宋_GB2312"/>
                <w:szCs w:val="21"/>
                <w:lang w:val="en-US" w:eastAsia="zh-CN" w:bidi="ar"/>
              </w:rPr>
              <w:t>专利证书</w:t>
            </w:r>
          </w:p>
          <w:p>
            <w:pPr>
              <w:widowControl/>
              <w:wordWrap w:val="0"/>
              <w:autoSpaceDE w:val="0"/>
              <w:rPr>
                <w:rFonts w:hint="eastAsia" w:ascii="仿宋_GB2312" w:hAnsi="仿宋_GB2312" w:eastAsia="仿宋_GB2312" w:cs="仿宋_GB2312"/>
                <w:szCs w:val="21"/>
                <w:lang w:val="en-US" w:eastAsia="zh-CN" w:bidi="ar"/>
              </w:rPr>
            </w:pPr>
            <w:r>
              <w:rPr>
                <w:rFonts w:hint="eastAsia" w:ascii="仿宋_GB2312" w:hAnsi="仿宋_GB2312" w:eastAsia="仿宋_GB2312" w:cs="仿宋_GB2312"/>
                <w:szCs w:val="21"/>
                <w:lang w:val="en-US" w:eastAsia="zh-CN" w:bidi="ar"/>
              </w:rPr>
              <w:t>投标人近三年（2020年1月1日至今）取得国家知识产权局颁发的与电梯技术相关的《专利证书》，每提供1个得1分，满分3分；不提供者不得分。</w:t>
            </w:r>
          </w:p>
          <w:p>
            <w:pPr>
              <w:autoSpaceDE w:val="0"/>
              <w:autoSpaceDN w:val="0"/>
              <w:adjustRightInd w:val="0"/>
              <w:snapToGrid w:val="0"/>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证明材料：</w:t>
            </w:r>
          </w:p>
          <w:p>
            <w:pPr>
              <w:autoSpaceDE w:val="0"/>
              <w:autoSpaceDN w:val="0"/>
              <w:adjustRightInd w:val="0"/>
              <w:snapToGrid w:val="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bidi="ar"/>
              </w:rPr>
              <w:t>提供相关专利证书的扫描件。</w:t>
            </w:r>
          </w:p>
        </w:tc>
        <w:tc>
          <w:tcPr>
            <w:tcW w:w="802" w:type="dxa"/>
            <w:vAlign w:val="center"/>
          </w:tcPr>
          <w:p>
            <w:pPr>
              <w:autoSpaceDE w:val="0"/>
              <w:autoSpaceDN w:val="0"/>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p>
        </w:tc>
        <w:tc>
          <w:tcPr>
            <w:tcW w:w="1134" w:type="dxa"/>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szCs w:val="21"/>
                <w:lang w:bidi="ar"/>
              </w:rPr>
              <w:t>项目负责人情况（仅限1人）</w:t>
            </w:r>
          </w:p>
        </w:tc>
        <w:tc>
          <w:tcPr>
            <w:tcW w:w="5918" w:type="dxa"/>
            <w:vAlign w:val="center"/>
          </w:tcPr>
          <w:p>
            <w:pPr>
              <w:widowControl/>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widowControl/>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拟安排的项目负责人（仅限一人）：</w:t>
            </w:r>
          </w:p>
          <w:p>
            <w:pPr>
              <w:widowControl/>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1.具有大专或以上学历；</w:t>
            </w:r>
          </w:p>
          <w:p>
            <w:pPr>
              <w:widowControl/>
              <w:adjustRightInd w:val="0"/>
              <w:snapToGrid w:val="0"/>
              <w:rPr>
                <w:rFonts w:hint="eastAsia" w:ascii="仿宋_GB2312" w:hAnsi="仿宋_GB2312" w:eastAsia="仿宋_GB2312" w:cs="仿宋_GB2312"/>
                <w:szCs w:val="21"/>
                <w:lang w:eastAsia="zh-CN"/>
              </w:rPr>
            </w:pPr>
            <w:r>
              <w:rPr>
                <w:rFonts w:hint="default" w:ascii="仿宋_GB2312" w:hAnsi="仿宋_GB2312" w:eastAsia="仿宋_GB2312" w:cs="仿宋_GB2312"/>
                <w:szCs w:val="21"/>
              </w:rPr>
              <w:t>2.</w:t>
            </w:r>
            <w:r>
              <w:rPr>
                <w:rFonts w:hint="eastAsia" w:ascii="仿宋_GB2312" w:hAnsi="仿宋_GB2312" w:eastAsia="仿宋_GB2312" w:cs="仿宋_GB2312"/>
                <w:szCs w:val="21"/>
              </w:rPr>
              <w:t>具有特种设备作业人员证</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且</w:t>
            </w:r>
            <w:r>
              <w:rPr>
                <w:rFonts w:hint="eastAsia" w:ascii="仿宋_GB2312" w:hAnsi="仿宋_GB2312" w:eastAsia="仿宋_GB2312" w:cs="仿宋_GB2312"/>
                <w:szCs w:val="21"/>
              </w:rPr>
              <w:t>从业时间10年或10年以上（从业经验为电梯维保相关</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且需具有项目同品牌电梯维保经验</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w:t>
            </w:r>
          </w:p>
          <w:p>
            <w:pPr>
              <w:widowControl/>
              <w:adjustRightInd w:val="0"/>
              <w:snapToGrid w:val="0"/>
              <w:rPr>
                <w:rFonts w:ascii="仿宋_GB2312" w:hAnsi="仿宋_GB2312" w:eastAsia="仿宋_GB2312" w:cs="仿宋_GB2312"/>
                <w:szCs w:val="21"/>
              </w:rPr>
            </w:pPr>
            <w:r>
              <w:rPr>
                <w:rFonts w:hint="default" w:ascii="仿宋_GB2312" w:hAnsi="仿宋_GB2312" w:eastAsia="仿宋_GB2312" w:cs="仿宋_GB2312"/>
                <w:szCs w:val="21"/>
              </w:rPr>
              <w:t>3</w:t>
            </w:r>
            <w:r>
              <w:rPr>
                <w:rFonts w:hint="eastAsia" w:ascii="仿宋_GB2312" w:hAnsi="仿宋_GB2312" w:eastAsia="仿宋_GB2312" w:cs="仿宋_GB2312"/>
                <w:szCs w:val="21"/>
              </w:rPr>
              <w:t>.</w:t>
            </w:r>
            <w:r>
              <w:rPr>
                <w:rFonts w:hint="default" w:ascii="仿宋_GB2312" w:hAnsi="仿宋_GB2312" w:eastAsia="仿宋_GB2312" w:cs="仿宋_GB2312"/>
                <w:szCs w:val="21"/>
              </w:rPr>
              <w:t>具有高级工程师证</w:t>
            </w:r>
            <w:r>
              <w:rPr>
                <w:rFonts w:hint="eastAsia" w:ascii="仿宋_GB2312" w:hAnsi="仿宋_GB2312" w:eastAsia="仿宋_GB2312" w:cs="仿宋_GB2312"/>
                <w:szCs w:val="21"/>
              </w:rPr>
              <w:t>；</w:t>
            </w:r>
          </w:p>
          <w:p>
            <w:pPr>
              <w:widowControl/>
              <w:adjustRightInd w:val="0"/>
              <w:snapToGrid w:val="0"/>
              <w:rPr>
                <w:rFonts w:hint="eastAsia" w:ascii="仿宋_GB2312" w:hAnsi="仿宋_GB2312" w:eastAsia="仿宋_GB2312" w:cs="仿宋_GB2312"/>
                <w:szCs w:val="21"/>
              </w:rPr>
            </w:pPr>
            <w:r>
              <w:rPr>
                <w:rFonts w:hint="default" w:ascii="仿宋_GB2312" w:hAnsi="仿宋_GB2312" w:eastAsia="仿宋_GB2312" w:cs="仿宋_GB2312"/>
                <w:szCs w:val="21"/>
              </w:rPr>
              <w:t>4</w:t>
            </w:r>
            <w:r>
              <w:rPr>
                <w:rFonts w:hint="eastAsia" w:ascii="仿宋_GB2312" w:hAnsi="仿宋_GB2312" w:eastAsia="仿宋_GB2312" w:cs="仿宋_GB2312"/>
                <w:szCs w:val="21"/>
              </w:rPr>
              <w:t>.具有电梯安装维</w:t>
            </w:r>
            <w:r>
              <w:rPr>
                <w:rFonts w:hint="eastAsia" w:ascii="仿宋_GB2312" w:hAnsi="仿宋_GB2312" w:eastAsia="仿宋_GB2312" w:cs="仿宋_GB2312"/>
                <w:color w:val="auto"/>
                <w:szCs w:val="21"/>
              </w:rPr>
              <w:t>修技师或以上职</w:t>
            </w:r>
            <w:r>
              <w:rPr>
                <w:rFonts w:hint="eastAsia" w:ascii="仿宋_GB2312" w:hAnsi="仿宋_GB2312" w:eastAsia="仿宋_GB2312" w:cs="仿宋_GB2312"/>
                <w:szCs w:val="21"/>
              </w:rPr>
              <w:t>业资格证。</w:t>
            </w:r>
          </w:p>
          <w:p>
            <w:pPr>
              <w:widowControl/>
              <w:adjustRightInd w:val="0"/>
              <w:snapToGrid w:val="0"/>
              <w:rPr>
                <w:rFonts w:hint="default" w:ascii="仿宋_GB2312" w:hAnsi="仿宋_GB2312" w:eastAsia="仿宋_GB2312" w:cs="仿宋_GB2312"/>
                <w:b w:val="0"/>
                <w:bCs w:val="0"/>
                <w:szCs w:val="21"/>
              </w:rPr>
            </w:pPr>
            <w:r>
              <w:rPr>
                <w:rFonts w:hint="default" w:ascii="仿宋_GB2312" w:hAnsi="仿宋_GB2312" w:eastAsia="仿宋_GB2312" w:cs="仿宋_GB2312"/>
                <w:b w:val="0"/>
                <w:bCs w:val="0"/>
                <w:szCs w:val="21"/>
              </w:rPr>
              <w:t>以上标准每具备一项得</w:t>
            </w:r>
            <w:r>
              <w:rPr>
                <w:rFonts w:hint="eastAsia" w:ascii="仿宋_GB2312" w:hAnsi="仿宋_GB2312" w:eastAsia="仿宋_GB2312" w:cs="仿宋_GB2312"/>
                <w:b w:val="0"/>
                <w:bCs w:val="0"/>
                <w:szCs w:val="21"/>
                <w:lang w:val="en-US" w:eastAsia="zh-CN"/>
              </w:rPr>
              <w:t>1</w:t>
            </w:r>
            <w:r>
              <w:rPr>
                <w:rFonts w:hint="default" w:ascii="仿宋_GB2312" w:hAnsi="仿宋_GB2312" w:eastAsia="仿宋_GB2312" w:cs="仿宋_GB2312"/>
                <w:b w:val="0"/>
                <w:bCs w:val="0"/>
                <w:szCs w:val="21"/>
              </w:rPr>
              <w:t>分。</w:t>
            </w:r>
          </w:p>
          <w:p>
            <w:pPr>
              <w:widowControl/>
              <w:adjustRightInd w:val="0"/>
              <w:snapToGrid w:val="0"/>
              <w:rPr>
                <w:rFonts w:hint="eastAsia" w:ascii="仿宋_GB2312" w:hAnsi="仿宋_GB2312" w:eastAsia="仿宋_GB2312" w:cs="仿宋_GB2312"/>
                <w:b/>
                <w:bCs/>
                <w:szCs w:val="21"/>
              </w:rPr>
            </w:pPr>
            <w:r>
              <w:rPr>
                <w:rFonts w:hint="eastAsia" w:ascii="仿宋_GB2312" w:hAnsi="仿宋_GB2312" w:eastAsia="仿宋_GB2312" w:cs="仿宋_GB2312"/>
                <w:b/>
                <w:bCs/>
                <w:szCs w:val="21"/>
              </w:rPr>
              <w:t>证明材料：</w:t>
            </w:r>
          </w:p>
          <w:p>
            <w:pPr>
              <w:widowControl/>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提供学历证书；还需提供学历认证报告或学信网（https://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widowControl/>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提供项目负责人从业经验证明（从业经验证明为项目合同关键信息页</w:t>
            </w:r>
            <w:r>
              <w:rPr>
                <w:rFonts w:hint="eastAsia" w:ascii="仿宋_GB2312" w:hAnsi="仿宋_GB2312" w:eastAsia="仿宋_GB2312" w:cs="仿宋_GB2312"/>
                <w:szCs w:val="21"/>
                <w:lang w:val="en-US" w:eastAsia="zh-CN"/>
              </w:rPr>
              <w:t>、电梯从业资格证首次拿证时间或市场监督管理局系统相关证明材料等</w:t>
            </w:r>
            <w:r>
              <w:rPr>
                <w:rFonts w:hint="eastAsia" w:ascii="仿宋_GB2312" w:hAnsi="仿宋_GB2312" w:eastAsia="仿宋_GB2312" w:cs="仿宋_GB2312"/>
                <w:szCs w:val="21"/>
              </w:rPr>
              <w:t>，如</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无法</w:t>
            </w:r>
            <w:r>
              <w:rPr>
                <w:rFonts w:hint="eastAsia" w:ascii="仿宋_GB2312" w:hAnsi="仿宋_GB2312" w:eastAsia="仿宋_GB2312" w:cs="仿宋_GB2312"/>
                <w:szCs w:val="21"/>
                <w:lang w:val="en-US" w:eastAsia="zh-CN"/>
              </w:rPr>
              <w:t>体现</w:t>
            </w:r>
            <w:r>
              <w:rPr>
                <w:rFonts w:hint="eastAsia" w:ascii="仿宋_GB2312" w:hAnsi="仿宋_GB2312" w:eastAsia="仿宋_GB2312" w:cs="仿宋_GB2312"/>
                <w:szCs w:val="21"/>
              </w:rPr>
              <w:t>该人员从业经验，</w:t>
            </w:r>
            <w:r>
              <w:rPr>
                <w:rFonts w:hint="eastAsia" w:ascii="仿宋_GB2312" w:hAnsi="仿宋_GB2312" w:eastAsia="仿宋_GB2312" w:cs="仿宋_GB2312"/>
                <w:szCs w:val="21"/>
                <w:lang w:val="en-US" w:eastAsia="zh-CN"/>
              </w:rPr>
              <w:t>可</w:t>
            </w:r>
            <w:r>
              <w:rPr>
                <w:rFonts w:hint="eastAsia" w:ascii="仿宋_GB2312" w:hAnsi="仿宋_GB2312" w:eastAsia="仿宋_GB2312" w:cs="仿宋_GB2312"/>
                <w:szCs w:val="21"/>
              </w:rPr>
              <w:t>提供该项目被服务的合同甲方出具的证明文件）；</w:t>
            </w:r>
          </w:p>
          <w:p>
            <w:pPr>
              <w:widowControl/>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提供相关证书；以上涉及到的证书若为协会颁发的，则还需要提供该机构在中国社会组织政务服务平台（网址https://chinanpo.mca.gov.cn/)的查询“正常”页面截图</w:t>
            </w:r>
            <w:r>
              <w:rPr>
                <w:rFonts w:hint="eastAsia" w:ascii="仿宋_GB2312" w:hAnsi="仿宋_GB2312" w:eastAsia="仿宋_GB2312" w:cs="仿宋_GB2312"/>
                <w:szCs w:val="21"/>
                <w:lang w:eastAsia="zh-CN"/>
              </w:rPr>
              <w:t>。</w:t>
            </w:r>
          </w:p>
          <w:p>
            <w:pPr>
              <w:widowControl/>
              <w:adjustRightInd w:val="0"/>
              <w:snapToGrid w:val="0"/>
            </w:pPr>
            <w:r>
              <w:rPr>
                <w:rFonts w:hint="eastAsia" w:ascii="仿宋_GB2312" w:hAnsi="仿宋_GB2312" w:eastAsia="仿宋_GB2312" w:cs="仿宋_GB2312"/>
                <w:szCs w:val="21"/>
                <w:lang w:val="en-US" w:eastAsia="zh-CN"/>
              </w:rPr>
              <w:t>4.提供投标截止时间近三个月投标人为其购买的社保清单（补缴社保无效），如开标日上一个月的社保材料因社保部门原因暂时无法取得，则可以往前顺延一个月。</w:t>
            </w:r>
          </w:p>
        </w:tc>
        <w:tc>
          <w:tcPr>
            <w:tcW w:w="802"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5"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134" w:type="dxa"/>
            <w:vAlign w:val="center"/>
          </w:tcPr>
          <w:p>
            <w:pPr>
              <w:autoSpaceDE w:val="0"/>
              <w:autoSpaceDN w:val="0"/>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投标人项目组成员（项目负责人除外）</w:t>
            </w:r>
          </w:p>
        </w:tc>
        <w:tc>
          <w:tcPr>
            <w:tcW w:w="5918" w:type="dxa"/>
            <w:vAlign w:val="center"/>
          </w:tcPr>
          <w:p>
            <w:pPr>
              <w:autoSpaceDE w:val="0"/>
              <w:autoSpaceDN w:val="0"/>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autoSpaceDE w:val="0"/>
              <w:autoSpaceDN w:val="0"/>
              <w:adjustRightInd w:val="0"/>
              <w:snapToGrid w:val="0"/>
              <w:rPr>
                <w:rFonts w:hint="eastAsia" w:ascii="仿宋_GB2312" w:hAnsi="仿宋_GB2312" w:eastAsia="仿宋_GB2312" w:cs="仿宋_GB2312"/>
                <w:color w:val="auto"/>
                <w:szCs w:val="21"/>
                <w:lang w:eastAsia="zh-CN"/>
              </w:rPr>
            </w:pPr>
            <w:r>
              <w:rPr>
                <w:rFonts w:hint="eastAsia" w:ascii="仿宋_GB2312" w:hAnsi="仿宋_GB2312" w:eastAsia="仿宋_GB2312" w:cs="仿宋_GB2312"/>
                <w:szCs w:val="21"/>
              </w:rPr>
              <w:t>拟</w:t>
            </w:r>
            <w:r>
              <w:rPr>
                <w:rFonts w:hint="eastAsia" w:ascii="仿宋_GB2312" w:hAnsi="仿宋_GB2312" w:eastAsia="仿宋_GB2312" w:cs="仿宋_GB2312"/>
                <w:color w:val="auto"/>
                <w:szCs w:val="21"/>
              </w:rPr>
              <w:t>安排的项目团队成员</w:t>
            </w:r>
            <w:r>
              <w:rPr>
                <w:rFonts w:hint="eastAsia" w:ascii="仿宋_GB2312" w:hAnsi="仿宋_GB2312" w:eastAsia="仿宋_GB2312" w:cs="仿宋_GB2312"/>
                <w:color w:val="auto"/>
                <w:szCs w:val="21"/>
                <w:lang w:eastAsia="zh-CN"/>
              </w:rPr>
              <w:t>：</w:t>
            </w:r>
          </w:p>
          <w:p>
            <w:pPr>
              <w:autoSpaceDE w:val="0"/>
              <w:autoSpaceDN w:val="0"/>
              <w:adjustRightInd w:val="0"/>
              <w:snapToGrid w:val="0"/>
              <w:rPr>
                <w:rFonts w:hint="eastAsia" w:ascii="仿宋_GB2312" w:hAnsi="仿宋_GB2312" w:eastAsia="仿宋_GB2312" w:cs="仿宋_GB2312"/>
                <w:color w:val="auto"/>
                <w:szCs w:val="21"/>
                <w:lang w:eastAsia="zh-CN"/>
              </w:rPr>
            </w:pPr>
            <w:r>
              <w:rPr>
                <w:rFonts w:hint="default" w:ascii="仿宋_GB2312" w:hAnsi="仿宋_GB2312" w:eastAsia="仿宋_GB2312" w:cs="仿宋_GB2312"/>
                <w:color w:val="auto"/>
                <w:szCs w:val="21"/>
                <w:lang w:eastAsia="zh-CN"/>
              </w:rPr>
              <w:t>1.</w:t>
            </w:r>
            <w:r>
              <w:rPr>
                <w:rFonts w:hint="eastAsia" w:ascii="仿宋_GB2312" w:hAnsi="仿宋_GB2312" w:eastAsia="仿宋_GB2312" w:cs="仿宋_GB2312"/>
                <w:color w:val="auto"/>
                <w:szCs w:val="21"/>
                <w:lang w:val="en-US" w:eastAsia="zh-CN"/>
              </w:rPr>
              <w:t>驻场成员不少于3人，需</w:t>
            </w:r>
            <w:r>
              <w:rPr>
                <w:rFonts w:hint="eastAsia" w:ascii="仿宋_GB2312" w:hAnsi="仿宋_GB2312" w:eastAsia="仿宋_GB2312" w:cs="仿宋_GB2312"/>
                <w:color w:val="auto"/>
                <w:szCs w:val="21"/>
              </w:rPr>
              <w:t>具有特种设备作业人员证</w:t>
            </w:r>
            <w:r>
              <w:rPr>
                <w:rFonts w:hint="eastAsia" w:ascii="仿宋_GB2312" w:hAnsi="仿宋_GB2312" w:eastAsia="仿宋_GB2312" w:cs="仿宋_GB2312"/>
                <w:color w:val="auto"/>
                <w:szCs w:val="21"/>
                <w:lang w:val="en-US" w:eastAsia="zh-CN"/>
              </w:rPr>
              <w:t>且</w:t>
            </w:r>
            <w:r>
              <w:rPr>
                <w:rFonts w:hint="eastAsia" w:ascii="仿宋_GB2312" w:hAnsi="仿宋_GB2312" w:eastAsia="仿宋_GB2312" w:cs="仿宋_GB2312"/>
                <w:color w:val="auto"/>
                <w:szCs w:val="21"/>
              </w:rPr>
              <w:t>电梯维保相关工作经验5年</w:t>
            </w:r>
            <w:r>
              <w:rPr>
                <w:rFonts w:hint="eastAsia" w:ascii="仿宋_GB2312" w:hAnsi="仿宋_GB2312" w:eastAsia="仿宋_GB2312" w:cs="仿宋_GB2312"/>
                <w:color w:val="auto"/>
                <w:szCs w:val="21"/>
                <w:lang w:val="en-US" w:eastAsia="zh-CN"/>
              </w:rPr>
              <w:t>以上(</w:t>
            </w:r>
            <w:r>
              <w:rPr>
                <w:rFonts w:hint="eastAsia" w:ascii="仿宋_GB2312" w:hAnsi="仿宋_GB2312" w:eastAsia="仿宋_GB2312" w:cs="仿宋_GB2312"/>
                <w:color w:val="auto"/>
                <w:szCs w:val="21"/>
              </w:rPr>
              <w:t>含5年</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需具有项目同品牌电梯维保经验</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6分</w:t>
            </w:r>
            <w:r>
              <w:rPr>
                <w:rFonts w:hint="eastAsia" w:ascii="仿宋_GB2312" w:hAnsi="仿宋_GB2312" w:eastAsia="仿宋_GB2312" w:cs="仿宋_GB2312"/>
                <w:color w:val="auto"/>
                <w:szCs w:val="21"/>
                <w:lang w:eastAsia="zh-CN"/>
              </w:rPr>
              <w:t>）</w:t>
            </w:r>
          </w:p>
          <w:p>
            <w:pPr>
              <w:autoSpaceDE w:val="0"/>
              <w:autoSpaceDN w:val="0"/>
              <w:adjustRightInd w:val="0"/>
              <w:snapToGrid w:val="0"/>
              <w:rPr>
                <w:rFonts w:hint="eastAsia" w:ascii="仿宋_GB2312" w:hAnsi="仿宋_GB2312" w:eastAsia="仿宋_GB2312" w:cs="仿宋_GB2312"/>
                <w:b w:val="0"/>
                <w:bCs w:val="0"/>
                <w:szCs w:val="21"/>
                <w:lang w:eastAsia="zh-CN"/>
              </w:rPr>
            </w:pPr>
            <w:r>
              <w:rPr>
                <w:rFonts w:hint="default" w:ascii="仿宋_GB2312" w:hAnsi="仿宋_GB2312" w:eastAsia="仿宋_GB2312" w:cs="仿宋_GB2312"/>
                <w:b w:val="0"/>
                <w:bCs w:val="0"/>
                <w:szCs w:val="21"/>
              </w:rPr>
              <w:t>2.项目组成员人员中（驻场成员除外），具备特种设备作业人员证的总数</w:t>
            </w:r>
            <w:r>
              <w:rPr>
                <w:rFonts w:hint="default" w:ascii="仿宋_GB2312" w:hAnsi="仿宋_GB2312" w:eastAsia="仿宋_GB2312" w:cs="仿宋_GB2312"/>
                <w:b w:val="0"/>
                <w:bCs w:val="0"/>
                <w:color w:val="auto"/>
                <w:szCs w:val="21"/>
              </w:rPr>
              <w:t>不少于</w:t>
            </w:r>
            <w:r>
              <w:rPr>
                <w:rFonts w:hint="eastAsia" w:ascii="仿宋_GB2312" w:hAnsi="仿宋_GB2312" w:eastAsia="仿宋_GB2312" w:cs="仿宋_GB2312"/>
                <w:b w:val="0"/>
                <w:bCs w:val="0"/>
                <w:color w:val="auto"/>
                <w:szCs w:val="21"/>
                <w:lang w:val="en-US" w:eastAsia="zh-CN"/>
              </w:rPr>
              <w:t>2</w:t>
            </w:r>
            <w:r>
              <w:rPr>
                <w:rFonts w:hint="default" w:ascii="仿宋_GB2312" w:hAnsi="仿宋_GB2312" w:eastAsia="仿宋_GB2312" w:cs="仿宋_GB2312"/>
                <w:b w:val="0"/>
                <w:bCs w:val="0"/>
                <w:color w:val="auto"/>
                <w:szCs w:val="21"/>
              </w:rPr>
              <w:t>人</w:t>
            </w:r>
            <w:r>
              <w:rPr>
                <w:rFonts w:hint="default" w:ascii="仿宋_GB2312" w:hAnsi="仿宋_GB2312" w:eastAsia="仿宋_GB2312" w:cs="仿宋_GB2312"/>
                <w:b w:val="0"/>
                <w:bCs w:val="0"/>
                <w:szCs w:val="21"/>
              </w:rPr>
              <w:t>；</w:t>
            </w:r>
            <w:r>
              <w:rPr>
                <w:rFonts w:hint="eastAsia" w:ascii="仿宋_GB2312" w:hAnsi="仿宋_GB2312" w:eastAsia="仿宋_GB2312" w:cs="仿宋_GB2312"/>
                <w:b w:val="0"/>
                <w:bCs w:val="0"/>
                <w:szCs w:val="21"/>
                <w:lang w:eastAsia="zh-CN"/>
              </w:rPr>
              <w:t>（</w:t>
            </w:r>
            <w:r>
              <w:rPr>
                <w:rFonts w:hint="eastAsia" w:ascii="仿宋_GB2312" w:hAnsi="仿宋_GB2312" w:eastAsia="仿宋_GB2312" w:cs="仿宋_GB2312"/>
                <w:b w:val="0"/>
                <w:bCs w:val="0"/>
                <w:szCs w:val="21"/>
                <w:lang w:val="en-US" w:eastAsia="zh-CN"/>
              </w:rPr>
              <w:t>2分</w:t>
            </w:r>
            <w:r>
              <w:rPr>
                <w:rFonts w:hint="eastAsia" w:ascii="仿宋_GB2312" w:hAnsi="仿宋_GB2312" w:eastAsia="仿宋_GB2312" w:cs="仿宋_GB2312"/>
                <w:b w:val="0"/>
                <w:bCs w:val="0"/>
                <w:szCs w:val="21"/>
                <w:lang w:eastAsia="zh-CN"/>
              </w:rPr>
              <w:t>）</w:t>
            </w:r>
          </w:p>
          <w:p>
            <w:pPr>
              <w:autoSpaceDE w:val="0"/>
              <w:autoSpaceDN w:val="0"/>
              <w:adjustRightInd w:val="0"/>
              <w:snapToGrid w:val="0"/>
              <w:rPr>
                <w:rFonts w:hint="default" w:ascii="仿宋_GB2312" w:hAnsi="仿宋_GB2312" w:eastAsia="仿宋_GB2312" w:cs="仿宋_GB2312"/>
                <w:b w:val="0"/>
                <w:bCs w:val="0"/>
                <w:szCs w:val="21"/>
              </w:rPr>
            </w:pPr>
            <w:r>
              <w:rPr>
                <w:rFonts w:hint="default" w:ascii="仿宋_GB2312" w:hAnsi="仿宋_GB2312" w:eastAsia="仿宋_GB2312" w:cs="仿宋_GB2312"/>
                <w:b w:val="0"/>
                <w:bCs w:val="0"/>
                <w:szCs w:val="21"/>
              </w:rPr>
              <w:t>3.项目组成员人员中，具备应急局颁发的焊工证（熔化焊接与热切割作业证）；</w:t>
            </w:r>
            <w:r>
              <w:rPr>
                <w:rFonts w:hint="eastAsia" w:ascii="仿宋_GB2312" w:hAnsi="仿宋_GB2312" w:eastAsia="仿宋_GB2312" w:cs="仿宋_GB2312"/>
                <w:b w:val="0"/>
                <w:bCs w:val="0"/>
                <w:szCs w:val="21"/>
                <w:lang w:eastAsia="zh-CN"/>
              </w:rPr>
              <w:t>（</w:t>
            </w:r>
            <w:r>
              <w:rPr>
                <w:rFonts w:hint="eastAsia" w:ascii="仿宋_GB2312" w:hAnsi="仿宋_GB2312" w:eastAsia="仿宋_GB2312" w:cs="仿宋_GB2312"/>
                <w:b w:val="0"/>
                <w:bCs w:val="0"/>
                <w:szCs w:val="21"/>
                <w:lang w:val="en-US" w:eastAsia="zh-CN"/>
              </w:rPr>
              <w:t>2分</w:t>
            </w:r>
            <w:r>
              <w:rPr>
                <w:rFonts w:hint="eastAsia" w:ascii="仿宋_GB2312" w:hAnsi="仿宋_GB2312" w:eastAsia="仿宋_GB2312" w:cs="仿宋_GB2312"/>
                <w:b w:val="0"/>
                <w:bCs w:val="0"/>
                <w:szCs w:val="21"/>
                <w:lang w:eastAsia="zh-CN"/>
              </w:rPr>
              <w:t>）</w:t>
            </w:r>
          </w:p>
          <w:p>
            <w:pPr>
              <w:autoSpaceDE w:val="0"/>
              <w:autoSpaceDN w:val="0"/>
              <w:adjustRightInd w:val="0"/>
              <w:snapToGrid w:val="0"/>
              <w:rPr>
                <w:rFonts w:hint="default" w:ascii="仿宋_GB2312" w:hAnsi="仿宋_GB2312" w:eastAsia="仿宋_GB2312" w:cs="仿宋_GB2312"/>
                <w:b/>
                <w:bCs/>
                <w:szCs w:val="21"/>
              </w:rPr>
            </w:pPr>
            <w:r>
              <w:rPr>
                <w:rFonts w:hint="default" w:ascii="仿宋_GB2312" w:hAnsi="仿宋_GB2312" w:eastAsia="仿宋_GB2312" w:cs="仿宋_GB2312"/>
                <w:b w:val="0"/>
                <w:bCs w:val="0"/>
                <w:szCs w:val="21"/>
              </w:rPr>
              <w:t>4.项目组人员中，具备应急局颁发的电工证（低压电工管作业）。</w:t>
            </w:r>
            <w:r>
              <w:rPr>
                <w:rFonts w:hint="eastAsia" w:ascii="仿宋_GB2312" w:hAnsi="仿宋_GB2312" w:eastAsia="仿宋_GB2312" w:cs="仿宋_GB2312"/>
                <w:b w:val="0"/>
                <w:bCs w:val="0"/>
                <w:szCs w:val="21"/>
                <w:lang w:eastAsia="zh-CN"/>
              </w:rPr>
              <w:t>（</w:t>
            </w:r>
            <w:r>
              <w:rPr>
                <w:rFonts w:hint="eastAsia" w:ascii="仿宋_GB2312" w:hAnsi="仿宋_GB2312" w:eastAsia="仿宋_GB2312" w:cs="仿宋_GB2312"/>
                <w:b w:val="0"/>
                <w:bCs w:val="0"/>
                <w:szCs w:val="21"/>
                <w:lang w:val="en-US" w:eastAsia="zh-CN"/>
              </w:rPr>
              <w:t>2分</w:t>
            </w:r>
            <w:r>
              <w:rPr>
                <w:rFonts w:hint="eastAsia" w:ascii="仿宋_GB2312" w:hAnsi="仿宋_GB2312" w:eastAsia="仿宋_GB2312" w:cs="仿宋_GB2312"/>
                <w:b w:val="0"/>
                <w:bCs w:val="0"/>
                <w:szCs w:val="21"/>
                <w:lang w:eastAsia="zh-CN"/>
              </w:rPr>
              <w:t>）</w:t>
            </w:r>
          </w:p>
          <w:p>
            <w:pPr>
              <w:autoSpaceDE w:val="0"/>
              <w:autoSpaceDN w:val="0"/>
              <w:adjustRightInd w:val="0"/>
              <w:snapToGrid w:val="0"/>
              <w:rPr>
                <w:rFonts w:hint="eastAsia" w:ascii="仿宋_GB2312" w:hAnsi="仿宋_GB2312" w:eastAsia="仿宋_GB2312" w:cs="仿宋_GB2312"/>
                <w:b/>
                <w:bCs/>
                <w:szCs w:val="21"/>
              </w:rPr>
            </w:pPr>
            <w:r>
              <w:rPr>
                <w:rFonts w:hint="eastAsia" w:ascii="仿宋_GB2312" w:hAnsi="仿宋_GB2312" w:eastAsia="仿宋_GB2312" w:cs="仿宋_GB2312"/>
                <w:b/>
                <w:bCs/>
                <w:szCs w:val="21"/>
              </w:rPr>
              <w:t>证明材料：</w:t>
            </w:r>
          </w:p>
          <w:p>
            <w:pPr>
              <w:widowControl/>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1、提供上述人员工作经验证明</w:t>
            </w:r>
            <w:r>
              <w:rPr>
                <w:rFonts w:hint="eastAsia" w:ascii="仿宋_GB2312" w:hAnsi="仿宋_GB2312" w:eastAsia="仿宋_GB2312" w:cs="仿宋_GB2312"/>
                <w:szCs w:val="21"/>
              </w:rPr>
              <w:t>（从业经验证明为项目合同关键信息页</w:t>
            </w:r>
            <w:r>
              <w:rPr>
                <w:rFonts w:hint="eastAsia" w:ascii="仿宋_GB2312" w:hAnsi="仿宋_GB2312" w:eastAsia="仿宋_GB2312" w:cs="仿宋_GB2312"/>
                <w:szCs w:val="21"/>
                <w:lang w:val="en-US" w:eastAsia="zh-CN"/>
              </w:rPr>
              <w:t>、电梯从业资格证首次拿证时间或市场监督管理局系统相关证明材料等</w:t>
            </w:r>
            <w:r>
              <w:rPr>
                <w:rFonts w:hint="eastAsia" w:ascii="仿宋_GB2312" w:hAnsi="仿宋_GB2312" w:eastAsia="仿宋_GB2312" w:cs="仿宋_GB2312"/>
                <w:szCs w:val="21"/>
              </w:rPr>
              <w:t>，如</w:t>
            </w:r>
            <w:r>
              <w:rPr>
                <w:rFonts w:hint="eastAsia" w:ascii="仿宋_GB2312" w:hAnsi="仿宋_GB2312" w:eastAsia="仿宋_GB2312" w:cs="仿宋_GB2312"/>
                <w:szCs w:val="21"/>
                <w:lang w:val="en-US" w:eastAsia="zh-CN"/>
              </w:rPr>
              <w:t>合同</w:t>
            </w:r>
            <w:r>
              <w:rPr>
                <w:rFonts w:hint="eastAsia" w:ascii="仿宋_GB2312" w:hAnsi="仿宋_GB2312" w:eastAsia="仿宋_GB2312" w:cs="仿宋_GB2312"/>
                <w:szCs w:val="21"/>
              </w:rPr>
              <w:t>无法</w:t>
            </w:r>
            <w:r>
              <w:rPr>
                <w:rFonts w:hint="eastAsia" w:ascii="仿宋_GB2312" w:hAnsi="仿宋_GB2312" w:eastAsia="仿宋_GB2312" w:cs="仿宋_GB2312"/>
                <w:szCs w:val="21"/>
                <w:lang w:val="en-US" w:eastAsia="zh-CN"/>
              </w:rPr>
              <w:t>体现</w:t>
            </w:r>
            <w:r>
              <w:rPr>
                <w:rFonts w:hint="eastAsia" w:ascii="仿宋_GB2312" w:hAnsi="仿宋_GB2312" w:eastAsia="仿宋_GB2312" w:cs="仿宋_GB2312"/>
                <w:szCs w:val="21"/>
              </w:rPr>
              <w:t>该人员从业经验，</w:t>
            </w:r>
            <w:r>
              <w:rPr>
                <w:rFonts w:hint="eastAsia" w:ascii="仿宋_GB2312" w:hAnsi="仿宋_GB2312" w:eastAsia="仿宋_GB2312" w:cs="仿宋_GB2312"/>
                <w:szCs w:val="21"/>
                <w:lang w:val="en-US" w:eastAsia="zh-CN"/>
              </w:rPr>
              <w:t>可</w:t>
            </w:r>
            <w:r>
              <w:rPr>
                <w:rFonts w:hint="eastAsia" w:ascii="仿宋_GB2312" w:hAnsi="仿宋_GB2312" w:eastAsia="仿宋_GB2312" w:cs="仿宋_GB2312"/>
                <w:szCs w:val="21"/>
              </w:rPr>
              <w:t>提供该项目被服务的合同甲方出具的证明文件）</w:t>
            </w:r>
            <w:r>
              <w:rPr>
                <w:rFonts w:hint="eastAsia" w:ascii="仿宋_GB2312" w:hAnsi="仿宋_GB2312" w:eastAsia="仿宋_GB2312" w:cs="仿宋_GB2312"/>
                <w:szCs w:val="21"/>
                <w:lang w:val="en-US" w:eastAsia="zh-CN"/>
              </w:rPr>
              <w:t>和相关证书复印件，若无法体现具有</w:t>
            </w:r>
            <w:r>
              <w:rPr>
                <w:rFonts w:hint="eastAsia" w:ascii="仿宋_GB2312" w:hAnsi="仿宋_GB2312" w:eastAsia="仿宋_GB2312" w:cs="仿宋_GB2312"/>
                <w:color w:val="auto"/>
                <w:szCs w:val="21"/>
                <w:lang w:val="en-US" w:eastAsia="zh-CN"/>
              </w:rPr>
              <w:t>同品牌电梯维保经验的本项不得分</w:t>
            </w:r>
            <w:r>
              <w:rPr>
                <w:rFonts w:hint="eastAsia" w:ascii="仿宋_GB2312" w:hAnsi="仿宋_GB2312" w:eastAsia="仿宋_GB2312" w:cs="仿宋_GB2312"/>
                <w:szCs w:val="21"/>
                <w:lang w:val="en-US" w:eastAsia="zh-CN"/>
              </w:rPr>
              <w:t>；</w:t>
            </w:r>
          </w:p>
          <w:p>
            <w:pPr>
              <w:widowControl/>
              <w:adjustRightInd w:val="0"/>
              <w:snapToGrid w:val="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2、提供投标截止时间近三个月投标人为其购买的社保清单（补缴社保无效），如开标日上一个月的社保材料因社保部门原因暂时无法取得，则可以往前顺延一个月。</w:t>
            </w:r>
          </w:p>
          <w:p>
            <w:pPr>
              <w:widowControl/>
              <w:adjustRightInd w:val="0"/>
              <w:snapToGrid w:val="0"/>
              <w:rPr>
                <w:rFonts w:hint="default"/>
                <w:lang w:val="en-US" w:eastAsia="zh-CN"/>
              </w:rPr>
            </w:pPr>
            <w:r>
              <w:rPr>
                <w:rFonts w:hint="eastAsia" w:ascii="仿宋_GB2312" w:hAnsi="仿宋_GB2312" w:eastAsia="仿宋_GB2312" w:cs="仿宋_GB2312"/>
                <w:szCs w:val="21"/>
                <w:lang w:val="en-US" w:eastAsia="zh-CN"/>
              </w:rPr>
              <w:t>3、投标需同时承诺项目组驻场成员为后续入住现场实际成员，</w:t>
            </w:r>
            <w:r>
              <w:rPr>
                <w:rFonts w:hint="eastAsia" w:ascii="仿宋_GB2312" w:hAnsi="仿宋_GB2312" w:eastAsia="仿宋_GB2312" w:cs="仿宋_GB2312"/>
                <w:b/>
                <w:bCs/>
                <w:szCs w:val="21"/>
                <w:lang w:val="en-US" w:eastAsia="zh-CN"/>
              </w:rPr>
              <w:t>提供承诺书（格式自拟）</w:t>
            </w:r>
            <w:r>
              <w:rPr>
                <w:rFonts w:hint="eastAsia" w:ascii="仿宋_GB2312" w:hAnsi="仿宋_GB2312" w:eastAsia="仿宋_GB2312" w:cs="仿宋_GB2312"/>
                <w:szCs w:val="21"/>
                <w:lang w:val="en-US" w:eastAsia="zh-CN"/>
              </w:rPr>
              <w:t>，否则本项不得分。</w:t>
            </w:r>
          </w:p>
        </w:tc>
        <w:tc>
          <w:tcPr>
            <w:tcW w:w="802" w:type="dxa"/>
            <w:vAlign w:val="center"/>
          </w:tcPr>
          <w:p>
            <w:pPr>
              <w:autoSpaceDE w:val="0"/>
              <w:autoSpaceDN w:val="0"/>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5"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11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kern w:val="0"/>
                <w:szCs w:val="21"/>
                <w:lang w:val="zh-CN"/>
              </w:rPr>
              <w:t>同类业绩</w:t>
            </w:r>
          </w:p>
        </w:tc>
        <w:tc>
          <w:tcPr>
            <w:tcW w:w="5918" w:type="dxa"/>
            <w:vAlign w:val="center"/>
          </w:tcPr>
          <w:p>
            <w:pPr>
              <w:autoSpaceDE w:val="0"/>
              <w:autoSpaceDN w:val="0"/>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widowControl/>
              <w:rPr>
                <w:rFonts w:ascii="仿宋_GB2312" w:hAnsi="仿宋_GB2312" w:eastAsia="仿宋_GB2312" w:cs="仿宋_GB2312"/>
                <w:szCs w:val="21"/>
              </w:rPr>
            </w:pPr>
            <w:r>
              <w:rPr>
                <w:rFonts w:hint="eastAsia" w:ascii="仿宋_GB2312" w:hAnsi="仿宋_GB2312" w:eastAsia="仿宋_GB2312" w:cs="仿宋_GB2312"/>
                <w:szCs w:val="21"/>
              </w:rPr>
              <w:t>投标人自2020年1月1日至本项目投标截止之日（以合同签订时间为准），具有商写类</w:t>
            </w:r>
            <w:r>
              <w:rPr>
                <w:rFonts w:hint="eastAsia" w:ascii="仿宋_GB2312" w:hAnsi="仿宋_GB2312" w:eastAsia="仿宋_GB2312" w:cs="仿宋_GB2312"/>
                <w:szCs w:val="21"/>
                <w:lang w:val="en-US" w:eastAsia="zh-CN"/>
              </w:rPr>
              <w:t>和产业园区</w:t>
            </w:r>
            <w:r>
              <w:rPr>
                <w:rFonts w:hint="eastAsia" w:ascii="仿宋_GB2312" w:hAnsi="仿宋_GB2312" w:eastAsia="仿宋_GB2312" w:cs="仿宋_GB2312"/>
                <w:szCs w:val="21"/>
              </w:rPr>
              <w:t>电梯维保服务业绩，根据合同中含有垂直电梯台数进行打分：</w:t>
            </w:r>
          </w:p>
          <w:p>
            <w:pPr>
              <w:widowControl/>
              <w:rPr>
                <w:rFonts w:ascii="仿宋_GB2312" w:hAnsi="仿宋_GB2312" w:eastAsia="仿宋_GB2312" w:cs="仿宋_GB2312"/>
                <w:szCs w:val="21"/>
              </w:rPr>
            </w:pPr>
            <w:r>
              <w:rPr>
                <w:rFonts w:hint="eastAsia" w:ascii="仿宋_GB2312" w:hAnsi="仿宋_GB2312" w:eastAsia="仿宋_GB2312" w:cs="仿宋_GB2312"/>
                <w:szCs w:val="21"/>
              </w:rPr>
              <w:t>1.单个合同5台（不含）以下垂直电梯不得分；</w:t>
            </w:r>
          </w:p>
          <w:p>
            <w:pPr>
              <w:widowControl/>
              <w:rPr>
                <w:rFonts w:hint="eastAsia" w:ascii="仿宋_GB2312" w:hAnsi="仿宋_GB2312" w:eastAsia="仿宋_GB2312" w:cs="仿宋_GB2312"/>
                <w:szCs w:val="21"/>
              </w:rPr>
            </w:pPr>
            <w:r>
              <w:rPr>
                <w:rFonts w:hint="eastAsia" w:ascii="仿宋_GB2312" w:hAnsi="仿宋_GB2312" w:eastAsia="仿宋_GB2312" w:cs="仿宋_GB2312"/>
                <w:szCs w:val="21"/>
              </w:rPr>
              <w:t>2.单个合同5台≤垂直电梯＜10台</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每提供一</w:t>
            </w:r>
            <w:r>
              <w:rPr>
                <w:rFonts w:hint="eastAsia" w:ascii="仿宋_GB2312" w:hAnsi="仿宋_GB2312" w:eastAsia="仿宋_GB2312" w:cs="仿宋_GB2312"/>
                <w:szCs w:val="21"/>
                <w:lang w:val="en-US" w:eastAsia="zh-CN"/>
              </w:rPr>
              <w:t>项业绩</w:t>
            </w:r>
            <w:r>
              <w:rPr>
                <w:rFonts w:hint="eastAsia" w:ascii="仿宋_GB2312" w:hAnsi="仿宋_GB2312" w:eastAsia="仿宋_GB2312" w:cs="仿宋_GB2312"/>
                <w:szCs w:val="21"/>
              </w:rPr>
              <w:t>得</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pPr>
              <w:widowControl/>
              <w:rPr>
                <w:rFonts w:hint="eastAsia" w:ascii="仿宋_GB2312" w:hAnsi="仿宋_GB2312" w:eastAsia="仿宋_GB2312" w:cs="仿宋_GB2312"/>
                <w:szCs w:val="21"/>
              </w:rPr>
            </w:pPr>
            <w:r>
              <w:rPr>
                <w:rFonts w:hint="eastAsia" w:ascii="仿宋_GB2312" w:hAnsi="仿宋_GB2312" w:eastAsia="仿宋_GB2312" w:cs="仿宋_GB2312"/>
                <w:szCs w:val="21"/>
              </w:rPr>
              <w:t>3.单个合同10台≤垂直电梯＜30台</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每提供一</w:t>
            </w:r>
            <w:r>
              <w:rPr>
                <w:rFonts w:hint="eastAsia" w:ascii="仿宋_GB2312" w:hAnsi="仿宋_GB2312" w:eastAsia="仿宋_GB2312" w:cs="仿宋_GB2312"/>
                <w:szCs w:val="21"/>
                <w:lang w:val="en-US" w:eastAsia="zh-CN"/>
              </w:rPr>
              <w:t>项合同</w:t>
            </w:r>
            <w:r>
              <w:rPr>
                <w:rFonts w:hint="eastAsia" w:ascii="仿宋_GB2312" w:hAnsi="仿宋_GB2312" w:eastAsia="仿宋_GB2312" w:cs="仿宋_GB2312"/>
                <w:szCs w:val="21"/>
              </w:rPr>
              <w:t>得</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分；</w:t>
            </w:r>
          </w:p>
          <w:p>
            <w:pPr>
              <w:widowControl/>
              <w:rPr>
                <w:rFonts w:hint="eastAsia" w:ascii="仿宋_GB2312" w:hAnsi="仿宋_GB2312" w:eastAsia="仿宋_GB2312" w:cs="仿宋_GB2312"/>
                <w:szCs w:val="21"/>
              </w:rPr>
            </w:pPr>
            <w:r>
              <w:rPr>
                <w:rFonts w:hint="eastAsia" w:ascii="仿宋_GB2312" w:hAnsi="仿宋_GB2312" w:eastAsia="仿宋_GB2312" w:cs="仿宋_GB2312"/>
                <w:szCs w:val="21"/>
              </w:rPr>
              <w:t>4.单个合同30台或以上垂直电梯</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每提供一</w:t>
            </w:r>
            <w:r>
              <w:rPr>
                <w:rFonts w:hint="eastAsia" w:ascii="仿宋_GB2312" w:hAnsi="仿宋_GB2312" w:eastAsia="仿宋_GB2312" w:cs="仿宋_GB2312"/>
                <w:szCs w:val="21"/>
                <w:lang w:val="en-US" w:eastAsia="zh-CN"/>
              </w:rPr>
              <w:t>项业绩</w:t>
            </w:r>
            <w:r>
              <w:rPr>
                <w:rFonts w:hint="eastAsia" w:ascii="仿宋_GB2312" w:hAnsi="仿宋_GB2312" w:eastAsia="仿宋_GB2312" w:cs="仿宋_GB2312"/>
                <w:szCs w:val="21"/>
              </w:rPr>
              <w:t>得</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分。</w:t>
            </w:r>
          </w:p>
          <w:p>
            <w:pPr>
              <w:widowControl/>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多项业绩可累计得分，此项最高得15</w:t>
            </w:r>
            <w:r>
              <w:rPr>
                <w:rFonts w:hint="eastAsia" w:ascii="仿宋_GB2312" w:hAnsi="仿宋_GB2312" w:eastAsia="仿宋_GB2312" w:cs="仿宋_GB2312"/>
                <w:b/>
                <w:bCs/>
                <w:szCs w:val="21"/>
              </w:rPr>
              <w:t>分。</w:t>
            </w:r>
          </w:p>
          <w:p>
            <w:pPr>
              <w:autoSpaceDE w:val="0"/>
              <w:autoSpaceDN w:val="0"/>
              <w:adjustRightInd w:val="0"/>
              <w:snapToGrid w:val="0"/>
              <w:rPr>
                <w:rFonts w:hint="eastAsia" w:ascii="仿宋_GB2312" w:hAnsi="仿宋_GB2312" w:eastAsia="仿宋_GB2312" w:cs="仿宋_GB2312"/>
                <w:b/>
                <w:bCs/>
                <w:szCs w:val="21"/>
              </w:rPr>
            </w:pPr>
            <w:r>
              <w:rPr>
                <w:rFonts w:hint="eastAsia" w:ascii="仿宋_GB2312" w:hAnsi="仿宋_GB2312" w:eastAsia="仿宋_GB2312" w:cs="仿宋_GB2312"/>
                <w:b/>
                <w:bCs/>
                <w:szCs w:val="21"/>
              </w:rPr>
              <w:t>证明材料：</w:t>
            </w:r>
          </w:p>
          <w:p>
            <w:pPr>
              <w:widowControl/>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1.合同关键页（关键信息包括但不仅限于合同的项目名称、服务内容、垂直电梯数量、合同服务的起止时间、</w:t>
            </w:r>
            <w:r>
              <w:rPr>
                <w:rFonts w:hint="eastAsia" w:ascii="仿宋_GB2312" w:hAnsi="仿宋_GB2312" w:eastAsia="仿宋_GB2312" w:cs="仿宋_GB2312"/>
                <w:szCs w:val="21"/>
              </w:rPr>
              <w:t>签订合同双方的落款盖章</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签订日期等）；</w:t>
            </w:r>
          </w:p>
          <w:p>
            <w:pPr>
              <w:widowControl/>
              <w:rPr>
                <w:rFonts w:hint="eastAsia" w:asciiTheme="minorEastAsia" w:hAnsiTheme="minorEastAsia" w:eastAsiaTheme="minorEastAsia" w:cstheme="minorEastAsia"/>
                <w:sz w:val="21"/>
                <w:szCs w:val="21"/>
              </w:rPr>
            </w:pPr>
            <w:r>
              <w:rPr>
                <w:rFonts w:hint="eastAsia" w:ascii="仿宋_GB2312" w:hAnsi="仿宋_GB2312" w:eastAsia="仿宋_GB2312" w:cs="仿宋_GB2312"/>
                <w:szCs w:val="21"/>
                <w:lang w:val="en-US" w:eastAsia="zh-CN"/>
              </w:rPr>
              <w:t>2.通过上述资料无法判断是否得分的，也可以同时提供能证明得分的其它资料，如项目报告或采购单位（或被服务单位）出具的证明文件等。</w:t>
            </w:r>
          </w:p>
        </w:tc>
        <w:tc>
          <w:tcPr>
            <w:tcW w:w="802"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5" w:type="dxa"/>
            <w:vAlign w:val="center"/>
          </w:tcPr>
          <w:p>
            <w:pPr>
              <w:widowControl/>
              <w:autoSpaceDE w:val="0"/>
              <w:autoSpaceDN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5</w:t>
            </w:r>
          </w:p>
        </w:tc>
        <w:tc>
          <w:tcPr>
            <w:tcW w:w="1134" w:type="dxa"/>
            <w:vAlign w:val="center"/>
          </w:tcPr>
          <w:p>
            <w:pPr>
              <w:widowControl/>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服务网点</w:t>
            </w:r>
          </w:p>
        </w:tc>
        <w:tc>
          <w:tcPr>
            <w:tcW w:w="5918" w:type="dxa"/>
            <w:vAlign w:val="top"/>
          </w:tcPr>
          <w:p>
            <w:pPr>
              <w:autoSpaceDE w:val="0"/>
              <w:autoSpaceDN w:val="0"/>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widowControl/>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 xml:space="preserve">1.投标人在深圳有固定服务网点的； </w:t>
            </w:r>
          </w:p>
          <w:p>
            <w:pPr>
              <w:widowControl/>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2.投标人在深圳市未有固定服务网点的，承诺中标后在深圳市设立服务网点。</w:t>
            </w:r>
          </w:p>
          <w:p>
            <w:pPr>
              <w:autoSpaceDE w:val="0"/>
              <w:autoSpaceDN w:val="0"/>
              <w:adjustRightInd w:val="0"/>
              <w:snapToGrid w:val="0"/>
              <w:rPr>
                <w:rFonts w:hint="eastAsia" w:ascii="仿宋_GB2312" w:hAnsi="仿宋_GB2312" w:eastAsia="仿宋_GB2312" w:cs="仿宋_GB2312"/>
                <w:b/>
                <w:bCs/>
                <w:szCs w:val="21"/>
              </w:rPr>
            </w:pPr>
            <w:r>
              <w:rPr>
                <w:rFonts w:hint="eastAsia" w:ascii="仿宋_GB2312" w:hAnsi="仿宋_GB2312" w:eastAsia="仿宋_GB2312" w:cs="仿宋_GB2312"/>
                <w:b/>
                <w:bCs/>
                <w:szCs w:val="21"/>
              </w:rPr>
              <w:t>证明材料：</w:t>
            </w:r>
          </w:p>
          <w:p>
            <w:pPr>
              <w:widowControl/>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投标人如果是自有的办公场所，需提供自有产权证明；投标人如果是租赁的办公场所，需提供租赁合同。</w:t>
            </w:r>
          </w:p>
          <w:p>
            <w:pPr>
              <w:widowControl/>
              <w:adjustRightInd w:val="0"/>
              <w:snapToGrid w:val="0"/>
              <w:rPr>
                <w:rFonts w:hint="eastAsia" w:ascii="仿宋_GB2312" w:hAnsi="仿宋_GB2312" w:eastAsia="仿宋_GB2312" w:cs="仿宋_GB2312"/>
                <w:szCs w:val="21"/>
                <w:lang w:val="en-US" w:eastAsia="zh-CN" w:bidi="ar"/>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提供符合要求的承诺函。</w:t>
            </w:r>
          </w:p>
        </w:tc>
        <w:tc>
          <w:tcPr>
            <w:tcW w:w="802" w:type="dxa"/>
            <w:vAlign w:val="center"/>
          </w:tcPr>
          <w:p>
            <w:pPr>
              <w:snapToGrid w:val="0"/>
              <w:spacing w:after="78"/>
              <w:jc w:val="center"/>
              <w:rPr>
                <w:rFonts w:hint="eastAsia" w:ascii="仿宋_GB2312" w:hAnsi="仿宋_GB2312" w:eastAsia="仿宋_GB2312" w:cs="仿宋_GB2312"/>
                <w:szCs w:val="21"/>
                <w:lang w:val="en-US" w:eastAsia="zh-CN" w:bidi="ar"/>
              </w:rPr>
            </w:pPr>
            <w:r>
              <w:rPr>
                <w:rFonts w:hint="eastAsia" w:ascii="仿宋_GB2312" w:hAnsi="仿宋_GB2312" w:eastAsia="仿宋_GB2312" w:cs="仿宋_GB2312"/>
                <w:szCs w:val="21"/>
                <w:lang w:val="en-US" w:eastAsia="zh-CN"/>
              </w:rPr>
              <w:t>3</w:t>
            </w:r>
          </w:p>
        </w:tc>
      </w:tr>
    </w:tbl>
    <w:p>
      <w:pPr>
        <w:rPr>
          <w:rFonts w:ascii="宋体" w:hAnsi="宋体"/>
          <w:b/>
          <w:sz w:val="22"/>
        </w:rPr>
      </w:pPr>
      <w:r>
        <w:rPr>
          <w:rFonts w:ascii="宋体" w:hAnsi="宋体"/>
          <w:b/>
          <w:sz w:val="22"/>
        </w:rPr>
        <w:br w:type="page"/>
      </w:r>
    </w:p>
    <w:p>
      <w:pPr>
        <w:pStyle w:val="4"/>
      </w:pPr>
    </w:p>
    <w:tbl>
      <w:tblPr>
        <w:tblStyle w:val="1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87"/>
        <w:gridCol w:w="6302"/>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blHeader/>
          <w:jc w:val="center"/>
        </w:trPr>
        <w:tc>
          <w:tcPr>
            <w:tcW w:w="8940" w:type="dxa"/>
            <w:gridSpan w:val="4"/>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技术部分</w:t>
            </w:r>
            <w:r>
              <w:rPr>
                <w:rFonts w:ascii="楷体_GB2312" w:hAnsi="楷体_GB2312" w:eastAsia="楷体_GB2312" w:cs="楷体_GB2312"/>
                <w:b/>
                <w:sz w:val="22"/>
                <w:szCs w:val="22"/>
              </w:rPr>
              <w:t>（</w:t>
            </w:r>
            <w:r>
              <w:rPr>
                <w:rFonts w:hint="eastAsia" w:ascii="楷体_GB2312" w:hAnsi="楷体_GB2312" w:eastAsia="楷体_GB2312" w:cs="楷体_GB2312"/>
                <w:b/>
                <w:sz w:val="22"/>
                <w:szCs w:val="22"/>
                <w:lang w:val="en-US" w:eastAsia="zh-CN"/>
              </w:rPr>
              <w:t>30</w:t>
            </w:r>
            <w:r>
              <w:rPr>
                <w:rFonts w:ascii="楷体_GB2312" w:hAnsi="楷体_GB2312" w:eastAsia="楷体_GB2312" w:cs="楷体_GB2312"/>
                <w:b/>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blHeader/>
          <w:jc w:val="center"/>
        </w:trPr>
        <w:tc>
          <w:tcPr>
            <w:tcW w:w="706"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序号</w:t>
            </w:r>
          </w:p>
        </w:tc>
        <w:tc>
          <w:tcPr>
            <w:tcW w:w="1187"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评审项目</w:t>
            </w:r>
          </w:p>
        </w:tc>
        <w:tc>
          <w:tcPr>
            <w:tcW w:w="6302"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评审标准及证明材料</w:t>
            </w:r>
          </w:p>
        </w:tc>
        <w:tc>
          <w:tcPr>
            <w:tcW w:w="745" w:type="dxa"/>
            <w:vAlign w:val="center"/>
          </w:tcPr>
          <w:p>
            <w:pPr>
              <w:autoSpaceDE w:val="0"/>
              <w:autoSpaceDN w:val="0"/>
              <w:adjustRightInd w:val="0"/>
              <w:snapToGrid w:val="0"/>
              <w:jc w:val="center"/>
              <w:rPr>
                <w:rFonts w:ascii="楷体_GB2312" w:hAnsi="楷体_GB2312" w:eastAsia="楷体_GB2312" w:cs="楷体_GB2312"/>
                <w:b/>
                <w:sz w:val="22"/>
                <w:szCs w:val="22"/>
              </w:rPr>
            </w:pPr>
            <w:r>
              <w:rPr>
                <w:rFonts w:hint="eastAsia" w:ascii="楷体_GB2312" w:hAnsi="楷体_GB2312" w:eastAsia="楷体_GB2312" w:cs="楷体_GB2312"/>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8" w:hRule="atLeast"/>
          <w:jc w:val="center"/>
        </w:trPr>
        <w:tc>
          <w:tcPr>
            <w:tcW w:w="706"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1</w:t>
            </w:r>
          </w:p>
        </w:tc>
        <w:tc>
          <w:tcPr>
            <w:tcW w:w="1187"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bidi="ar"/>
              </w:rPr>
              <w:t>实施方案</w:t>
            </w:r>
            <w:r>
              <w:rPr>
                <w:rFonts w:hint="eastAsia" w:ascii="仿宋_GB2312" w:hAnsi="仿宋_GB2312" w:eastAsia="仿宋_GB2312" w:cs="仿宋_GB2312"/>
                <w:szCs w:val="21"/>
                <w:lang w:eastAsia="zh-CN" w:bidi="ar"/>
              </w:rPr>
              <w:t>（</w:t>
            </w:r>
            <w:r>
              <w:rPr>
                <w:rFonts w:hint="eastAsia" w:ascii="仿宋_GB2312" w:hAnsi="仿宋_GB2312" w:eastAsia="仿宋_GB2312" w:cs="仿宋_GB2312"/>
                <w:szCs w:val="21"/>
                <w:lang w:val="en-US" w:eastAsia="zh-CN" w:bidi="ar"/>
              </w:rPr>
              <w:t>含维修方案</w:t>
            </w:r>
            <w:r>
              <w:rPr>
                <w:rFonts w:hint="eastAsia" w:ascii="仿宋_GB2312" w:hAnsi="仿宋_GB2312" w:eastAsia="仿宋_GB2312" w:cs="仿宋_GB2312"/>
                <w:szCs w:val="21"/>
                <w:lang w:eastAsia="zh-CN" w:bidi="ar"/>
              </w:rPr>
              <w:t>）</w:t>
            </w:r>
          </w:p>
        </w:tc>
        <w:tc>
          <w:tcPr>
            <w:tcW w:w="6302" w:type="dxa"/>
            <w:vAlign w:val="center"/>
          </w:tcPr>
          <w:p>
            <w:pPr>
              <w:autoSpaceDE w:val="0"/>
              <w:autoSpaceDN w:val="0"/>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widowControl/>
              <w:wordWrap w:val="0"/>
              <w:autoSpaceDE w:val="0"/>
              <w:rPr>
                <w:rFonts w:ascii="仿宋_GB2312" w:hAnsi="仿宋_GB2312" w:eastAsia="仿宋_GB2312" w:cs="仿宋_GB2312"/>
                <w:szCs w:val="21"/>
              </w:rPr>
            </w:pPr>
            <w:r>
              <w:rPr>
                <w:rFonts w:hint="eastAsia" w:ascii="仿宋_GB2312" w:hAnsi="仿宋_GB2312" w:eastAsia="仿宋_GB2312" w:cs="仿宋_GB2312"/>
                <w:szCs w:val="21"/>
                <w:lang w:bidi="ar"/>
              </w:rPr>
              <w:t>实施方案包括</w:t>
            </w:r>
            <w:r>
              <w:rPr>
                <w:rFonts w:hint="eastAsia" w:ascii="仿宋_GB2312" w:hAnsi="仿宋_GB2312" w:eastAsia="仿宋_GB2312" w:cs="仿宋_GB2312"/>
                <w:szCs w:val="21"/>
                <w:lang w:val="en-US" w:eastAsia="zh-CN" w:bidi="ar"/>
              </w:rPr>
              <w:t>但不限于</w:t>
            </w:r>
            <w:r>
              <w:rPr>
                <w:rFonts w:hint="eastAsia" w:ascii="仿宋_GB2312" w:hAnsi="仿宋_GB2312" w:eastAsia="仿宋_GB2312" w:cs="仿宋_GB2312"/>
                <w:szCs w:val="21"/>
                <w:lang w:bidi="ar"/>
              </w:rPr>
              <w:t>以下各项内容：</w:t>
            </w:r>
          </w:p>
          <w:p>
            <w:pPr>
              <w:widowControl/>
              <w:wordWrap w:val="0"/>
              <w:autoSpaceDE w:val="0"/>
              <w:rPr>
                <w:rFonts w:ascii="仿宋_GB2312" w:hAnsi="仿宋_GB2312" w:eastAsia="仿宋_GB2312" w:cs="仿宋_GB2312"/>
                <w:szCs w:val="21"/>
                <w:lang w:bidi="ar"/>
              </w:rPr>
            </w:pPr>
            <w:r>
              <w:rPr>
                <w:rFonts w:hint="eastAsia" w:ascii="仿宋_GB2312" w:hAnsi="仿宋_GB2312" w:eastAsia="仿宋_GB2312" w:cs="仿宋_GB2312"/>
                <w:szCs w:val="21"/>
                <w:lang w:bidi="ar"/>
              </w:rPr>
              <w:t>1.根据本项目招标要求、使用特点提出合理的服务理念，提出服务定位、目标，投标人的管理模式能够切合实际，且安全可行，保密性、安全性、文明服务的计划及承诺情况；</w:t>
            </w:r>
          </w:p>
          <w:p>
            <w:pPr>
              <w:widowControl/>
              <w:wordWrap w:val="0"/>
              <w:autoSpaceDE w:val="0"/>
              <w:rPr>
                <w:rFonts w:ascii="仿宋_GB2312" w:hAnsi="仿宋_GB2312" w:eastAsia="仿宋_GB2312" w:cs="仿宋_GB2312"/>
                <w:szCs w:val="21"/>
                <w:lang w:bidi="ar"/>
              </w:rPr>
            </w:pPr>
            <w:r>
              <w:rPr>
                <w:rFonts w:hint="eastAsia" w:ascii="仿宋_GB2312" w:hAnsi="仿宋_GB2312" w:eastAsia="仿宋_GB2312" w:cs="仿宋_GB2312"/>
                <w:szCs w:val="21"/>
                <w:lang w:bidi="ar"/>
              </w:rPr>
              <w:t>2.有完善的管理制度、作业流程、时效要求、监督机制、信息反馈渠道及处理机制，管理指标承诺达到招标要求。应急预案措施的科学合理，建立和完善档案管理制度，体现标准化服务，管理服务水平是否符合国家和行业标准；</w:t>
            </w:r>
          </w:p>
          <w:p>
            <w:pPr>
              <w:widowControl/>
              <w:wordWrap w:val="0"/>
              <w:autoSpaceDE w:val="0"/>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3.有比较完善的组织架构，专业工种上岗资质齐备，人员素质、技术能力、经验符合招标要求；管理制度、培训计划周密。</w:t>
            </w:r>
          </w:p>
          <w:p>
            <w:pPr>
              <w:widowControl/>
              <w:numPr>
                <w:ilvl w:val="0"/>
                <w:numId w:val="0"/>
              </w:numPr>
              <w:autoSpaceDE/>
              <w:autoSpaceDN/>
              <w:adjustRightInd/>
              <w:snapToGrid/>
              <w:spacing w:line="240" w:lineRule="auto"/>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Cs w:val="21"/>
                <w:lang w:val="en-US" w:eastAsia="zh-CN" w:bidi="ar"/>
              </w:rPr>
              <w:t>4.</w:t>
            </w:r>
            <w:r>
              <w:rPr>
                <w:rFonts w:hint="eastAsia" w:ascii="仿宋_GB2312" w:hAnsi="仿宋_GB2312" w:eastAsia="仿宋_GB2312" w:cs="仿宋_GB2312"/>
                <w:color w:val="auto"/>
                <w:sz w:val="21"/>
                <w:szCs w:val="21"/>
                <w:highlight w:val="none"/>
                <w:lang w:val="en-US" w:eastAsia="zh-CN"/>
              </w:rPr>
              <w:t>对电梯维修的服务方案，包括报修</w:t>
            </w:r>
            <w:r>
              <w:rPr>
                <w:rFonts w:hint="eastAsia" w:ascii="仿宋_GB2312" w:hAnsi="仿宋_GB2312" w:eastAsia="仿宋_GB2312" w:cs="仿宋_GB2312"/>
                <w:color w:val="auto"/>
                <w:sz w:val="21"/>
                <w:szCs w:val="21"/>
                <w:highlight w:val="none"/>
              </w:rPr>
              <w:t>响应到场时间</w:t>
            </w:r>
            <w:r>
              <w:rPr>
                <w:rFonts w:hint="eastAsia" w:ascii="仿宋_GB2312" w:hAnsi="仿宋_GB2312" w:eastAsia="仿宋_GB2312" w:cs="仿宋_GB2312"/>
                <w:color w:val="auto"/>
                <w:sz w:val="21"/>
                <w:szCs w:val="21"/>
                <w:highlight w:val="none"/>
                <w:lang w:val="en-US" w:eastAsia="zh-CN"/>
              </w:rPr>
              <w:t>、维修整改期限；</w:t>
            </w:r>
          </w:p>
          <w:p>
            <w:pPr>
              <w:widowControl/>
              <w:numPr>
                <w:ilvl w:val="0"/>
                <w:numId w:val="0"/>
              </w:numPr>
              <w:autoSpaceDE/>
              <w:autoSpaceDN/>
              <w:adjustRightInd/>
              <w:snapToGrid/>
              <w:spacing w:line="240" w:lineRule="auto"/>
              <w:jc w:val="both"/>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优惠服务承诺（可免费提供的单项配件额度，</w:t>
            </w:r>
            <w:r>
              <w:rPr>
                <w:rFonts w:hint="eastAsia" w:ascii="仿宋_GB2312" w:hAnsi="仿宋_GB2312" w:eastAsia="仿宋_GB2312" w:cs="仿宋_GB2312"/>
                <w:b/>
                <w:bCs/>
                <w:color w:val="auto"/>
                <w:sz w:val="21"/>
                <w:szCs w:val="21"/>
                <w:highlight w:val="none"/>
                <w:lang w:val="en-US" w:eastAsia="zh-CN"/>
              </w:rPr>
              <w:t>须附上零配件清单</w:t>
            </w:r>
            <w:r>
              <w:rPr>
                <w:rFonts w:hint="eastAsia" w:ascii="仿宋_GB2312" w:hAnsi="仿宋_GB2312" w:eastAsia="仿宋_GB2312" w:cs="仿宋_GB2312"/>
                <w:color w:val="auto"/>
                <w:sz w:val="21"/>
                <w:szCs w:val="21"/>
                <w:highlight w:val="none"/>
                <w:lang w:val="en-US" w:eastAsia="zh-CN"/>
              </w:rPr>
              <w:t>）；</w:t>
            </w:r>
          </w:p>
          <w:p>
            <w:pPr>
              <w:pStyle w:val="4"/>
              <w:ind w:left="0" w:leftChars="0" w:firstLine="0" w:firstLineChars="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.投诉协调处置措施</w:t>
            </w:r>
            <w:r>
              <w:rPr>
                <w:rFonts w:hint="eastAsia" w:ascii="仿宋_GB2312" w:hAnsi="仿宋_GB2312" w:eastAsia="仿宋_GB2312" w:cs="仿宋_GB2312"/>
                <w:color w:val="auto"/>
                <w:sz w:val="21"/>
                <w:szCs w:val="21"/>
                <w:highlight w:val="none"/>
                <w:lang w:eastAsia="zh-CN"/>
              </w:rPr>
              <w:t>。</w:t>
            </w:r>
          </w:p>
          <w:p>
            <w:pPr>
              <w:autoSpaceDE w:val="0"/>
              <w:autoSpaceDN w:val="0"/>
              <w:adjustRightInd w:val="0"/>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评分依据</w:t>
            </w:r>
            <w:r>
              <w:rPr>
                <w:rFonts w:hint="eastAsia" w:ascii="仿宋_GB2312" w:hAnsi="仿宋_GB2312" w:eastAsia="仿宋_GB2312" w:cs="仿宋_GB2312"/>
                <w:b/>
                <w:bCs/>
                <w:szCs w:val="21"/>
              </w:rPr>
              <w:t>：</w:t>
            </w:r>
          </w:p>
          <w:p>
            <w:pPr>
              <w:widowControl/>
              <w:wordWrap w:val="0"/>
              <w:autoSpaceDE w:val="0"/>
              <w:rPr>
                <w:rFonts w:hint="eastAsia" w:ascii="仿宋_GB2312" w:hAnsi="仿宋_GB2312" w:eastAsia="仿宋_GB2312" w:cs="仿宋_GB2312"/>
                <w:szCs w:val="21"/>
                <w:lang w:bidi="ar"/>
              </w:rPr>
            </w:pPr>
            <w:r>
              <w:rPr>
                <w:rFonts w:hint="eastAsia" w:ascii="仿宋_GB2312" w:hAnsi="仿宋_GB2312" w:eastAsia="仿宋_GB2312" w:cs="仿宋_GB2312"/>
                <w:szCs w:val="21"/>
                <w:lang w:val="en-US" w:eastAsia="zh-CN" w:bidi="ar"/>
              </w:rPr>
              <w:t>1.</w:t>
            </w:r>
            <w:r>
              <w:rPr>
                <w:rFonts w:hint="eastAsia" w:ascii="仿宋_GB2312" w:hAnsi="仿宋_GB2312" w:eastAsia="仿宋_GB2312" w:cs="仿宋_GB2312"/>
                <w:szCs w:val="21"/>
                <w:lang w:bidi="ar"/>
              </w:rPr>
              <w:t>方案整体科学合理、针对性强、可操作性强，评审为优加</w:t>
            </w:r>
            <w:r>
              <w:rPr>
                <w:rFonts w:hint="eastAsia" w:ascii="仿宋_GB2312" w:hAnsi="仿宋_GB2312" w:eastAsia="仿宋_GB2312" w:cs="仿宋_GB2312"/>
                <w:szCs w:val="21"/>
                <w:lang w:val="en-US" w:eastAsia="zh-CN" w:bidi="ar"/>
              </w:rPr>
              <w:t>11-15</w:t>
            </w:r>
            <w:r>
              <w:rPr>
                <w:rFonts w:hint="eastAsia" w:ascii="仿宋_GB2312" w:hAnsi="仿宋_GB2312" w:eastAsia="仿宋_GB2312" w:cs="仿宋_GB2312"/>
                <w:szCs w:val="21"/>
                <w:lang w:bidi="ar"/>
              </w:rPr>
              <w:t>分；</w:t>
            </w:r>
          </w:p>
          <w:p>
            <w:pPr>
              <w:widowControl/>
              <w:wordWrap w:val="0"/>
              <w:autoSpaceDE w:val="0"/>
              <w:rPr>
                <w:rFonts w:hint="eastAsia" w:ascii="仿宋_GB2312" w:hAnsi="仿宋_GB2312" w:eastAsia="仿宋_GB2312" w:cs="仿宋_GB2312"/>
                <w:szCs w:val="21"/>
                <w:lang w:bidi="ar"/>
              </w:rPr>
            </w:pPr>
            <w:r>
              <w:rPr>
                <w:rFonts w:hint="eastAsia" w:ascii="仿宋_GB2312" w:hAnsi="仿宋_GB2312" w:eastAsia="仿宋_GB2312" w:cs="仿宋_GB2312"/>
                <w:szCs w:val="21"/>
                <w:lang w:val="en-US" w:eastAsia="zh-CN" w:bidi="ar"/>
              </w:rPr>
              <w:t>2.</w:t>
            </w:r>
            <w:r>
              <w:rPr>
                <w:rFonts w:hint="eastAsia" w:ascii="仿宋_GB2312" w:hAnsi="仿宋_GB2312" w:eastAsia="仿宋_GB2312" w:cs="仿宋_GB2312"/>
                <w:szCs w:val="21"/>
                <w:lang w:bidi="ar"/>
              </w:rPr>
              <w:t>方案较合理、有一定针对性、一定可操作性，评审为良加</w:t>
            </w:r>
            <w:r>
              <w:rPr>
                <w:rFonts w:hint="eastAsia" w:ascii="仿宋_GB2312" w:hAnsi="仿宋_GB2312" w:eastAsia="仿宋_GB2312" w:cs="仿宋_GB2312"/>
                <w:szCs w:val="21"/>
                <w:lang w:val="en-US" w:eastAsia="zh-CN" w:bidi="ar"/>
              </w:rPr>
              <w:t>6-10</w:t>
            </w:r>
            <w:r>
              <w:rPr>
                <w:rFonts w:hint="eastAsia" w:ascii="仿宋_GB2312" w:hAnsi="仿宋_GB2312" w:eastAsia="仿宋_GB2312" w:cs="仿宋_GB2312"/>
                <w:szCs w:val="21"/>
                <w:lang w:bidi="ar"/>
              </w:rPr>
              <w:t>分；</w:t>
            </w:r>
          </w:p>
          <w:p>
            <w:pPr>
              <w:widowControl/>
              <w:wordWrap w:val="0"/>
              <w:autoSpaceDE w:val="0"/>
              <w:rPr>
                <w:rFonts w:hint="eastAsia" w:ascii="仿宋_GB2312" w:hAnsi="仿宋_GB2312" w:eastAsia="仿宋_GB2312" w:cs="仿宋_GB2312"/>
                <w:szCs w:val="21"/>
                <w:lang w:bidi="ar"/>
              </w:rPr>
            </w:pPr>
            <w:r>
              <w:rPr>
                <w:rFonts w:hint="eastAsia" w:ascii="仿宋_GB2312" w:hAnsi="仿宋_GB2312" w:eastAsia="仿宋_GB2312" w:cs="仿宋_GB2312"/>
                <w:szCs w:val="21"/>
                <w:lang w:val="en-US" w:eastAsia="zh-CN" w:bidi="ar"/>
              </w:rPr>
              <w:t>3.</w:t>
            </w:r>
            <w:r>
              <w:rPr>
                <w:rFonts w:hint="eastAsia" w:ascii="仿宋_GB2312" w:hAnsi="仿宋_GB2312" w:eastAsia="仿宋_GB2312" w:cs="仿宋_GB2312"/>
                <w:szCs w:val="21"/>
                <w:lang w:bidi="ar"/>
              </w:rPr>
              <w:t>方案不尽合理、针对性一般、可操作性一般，评审为中加</w:t>
            </w:r>
            <w:r>
              <w:rPr>
                <w:rFonts w:hint="eastAsia" w:ascii="仿宋_GB2312" w:hAnsi="仿宋_GB2312" w:eastAsia="仿宋_GB2312" w:cs="仿宋_GB2312"/>
                <w:szCs w:val="21"/>
                <w:lang w:val="en-US" w:eastAsia="zh-CN" w:bidi="ar"/>
              </w:rPr>
              <w:t>1-5</w:t>
            </w:r>
            <w:r>
              <w:rPr>
                <w:rFonts w:hint="eastAsia" w:ascii="仿宋_GB2312" w:hAnsi="仿宋_GB2312" w:eastAsia="仿宋_GB2312" w:cs="仿宋_GB2312"/>
                <w:szCs w:val="21"/>
                <w:lang w:bidi="ar"/>
              </w:rPr>
              <w:t>分；</w:t>
            </w:r>
          </w:p>
          <w:p>
            <w:pPr>
              <w:widowControl/>
              <w:wordWrap w:val="0"/>
              <w:autoSpaceDE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szCs w:val="21"/>
                <w:lang w:val="en-US" w:eastAsia="zh-CN" w:bidi="ar"/>
              </w:rPr>
              <w:t>4.</w:t>
            </w:r>
            <w:r>
              <w:rPr>
                <w:rFonts w:hint="eastAsia" w:ascii="仿宋_GB2312" w:hAnsi="仿宋_GB2312" w:eastAsia="仿宋_GB2312" w:cs="仿宋_GB2312"/>
                <w:szCs w:val="21"/>
                <w:lang w:bidi="ar"/>
              </w:rPr>
              <w:t>方案不合理、无针对性、无可操作性，评审为差得0分。</w:t>
            </w:r>
          </w:p>
        </w:tc>
        <w:tc>
          <w:tcPr>
            <w:tcW w:w="745" w:type="dxa"/>
            <w:vAlign w:val="center"/>
          </w:tcPr>
          <w:p>
            <w:pPr>
              <w:autoSpaceDE w:val="0"/>
              <w:autoSpaceDN w:val="0"/>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7" w:hRule="atLeast"/>
          <w:jc w:val="center"/>
        </w:trPr>
        <w:tc>
          <w:tcPr>
            <w:tcW w:w="706" w:type="dxa"/>
            <w:vAlign w:val="center"/>
          </w:tcPr>
          <w:p>
            <w:pPr>
              <w:autoSpaceDE w:val="0"/>
              <w:autoSpaceDN w:val="0"/>
              <w:adjustRightInd w:val="0"/>
              <w:snapToGrid w:val="0"/>
              <w:jc w:val="center"/>
              <w:rPr>
                <w:rFonts w:hint="eastAsia" w:ascii="仿宋_GB2312" w:hAnsi="仿宋_GB2312" w:eastAsia="仿宋_GB2312" w:cs="仿宋_GB2312"/>
                <w:bCs/>
                <w:kern w:val="0"/>
                <w:szCs w:val="21"/>
                <w:lang w:eastAsia="zh-CN"/>
              </w:rPr>
            </w:pPr>
            <w:r>
              <w:rPr>
                <w:rFonts w:hint="eastAsia" w:ascii="仿宋_GB2312" w:hAnsi="仿宋_GB2312" w:eastAsia="仿宋_GB2312" w:cs="仿宋_GB2312"/>
                <w:bCs/>
                <w:kern w:val="0"/>
                <w:szCs w:val="21"/>
                <w:lang w:val="en-US" w:eastAsia="zh-CN"/>
              </w:rPr>
              <w:t>2</w:t>
            </w:r>
          </w:p>
        </w:tc>
        <w:tc>
          <w:tcPr>
            <w:tcW w:w="1187" w:type="dxa"/>
            <w:vAlign w:val="center"/>
          </w:tcPr>
          <w:p>
            <w:pPr>
              <w:autoSpaceDE w:val="0"/>
              <w:autoSpaceDN w:val="0"/>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szCs w:val="21"/>
                <w:lang w:bidi="ar"/>
              </w:rPr>
              <w:t>项目重点难点分析、应对措施及合理化建议</w:t>
            </w:r>
          </w:p>
        </w:tc>
        <w:tc>
          <w:tcPr>
            <w:tcW w:w="6302" w:type="dxa"/>
            <w:vAlign w:val="center"/>
          </w:tcPr>
          <w:p>
            <w:pPr>
              <w:autoSpaceDE w:val="0"/>
              <w:autoSpaceDN w:val="0"/>
              <w:adjustRightIn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autoSpaceDE w:val="0"/>
              <w:autoSpaceDN w:val="0"/>
              <w:adjustRightInd w:val="0"/>
              <w:rPr>
                <w:rFonts w:ascii="仿宋_GB2312" w:hAnsi="仿宋_GB2312" w:eastAsia="仿宋_GB2312" w:cs="仿宋_GB2312"/>
                <w:szCs w:val="21"/>
              </w:rPr>
            </w:pPr>
            <w:r>
              <w:rPr>
                <w:rFonts w:hint="eastAsia" w:ascii="仿宋_GB2312" w:hAnsi="仿宋_GB2312" w:eastAsia="仿宋_GB2312" w:cs="仿宋_GB2312"/>
                <w:szCs w:val="21"/>
              </w:rPr>
              <w:t>根据投标人提供的项目重点难点分析、应对措施及相关的合理化建议进行评价，包括但不限</w:t>
            </w:r>
            <w:r>
              <w:rPr>
                <w:rFonts w:hint="eastAsia" w:ascii="仿宋_GB2312" w:hAnsi="仿宋_GB2312" w:eastAsia="仿宋_GB2312" w:cs="仿宋_GB2312"/>
                <w:szCs w:val="21"/>
                <w:lang w:eastAsia="zh-CN"/>
              </w:rPr>
              <w:t>于</w:t>
            </w:r>
            <w:r>
              <w:rPr>
                <w:rFonts w:hint="eastAsia" w:ascii="仿宋_GB2312" w:hAnsi="仿宋_GB2312" w:eastAsia="仿宋_GB2312" w:cs="仿宋_GB2312"/>
                <w:szCs w:val="21"/>
              </w:rPr>
              <w:t>以下内容：</w:t>
            </w:r>
          </w:p>
          <w:p>
            <w:pPr>
              <w:autoSpaceDE w:val="0"/>
              <w:autoSpaceDN w:val="0"/>
              <w:adjustRightInd w:val="0"/>
              <w:rPr>
                <w:rFonts w:ascii="仿宋_GB2312" w:hAnsi="仿宋_GB2312" w:eastAsia="仿宋_GB2312" w:cs="仿宋_GB2312"/>
                <w:szCs w:val="21"/>
              </w:rPr>
            </w:pPr>
            <w:r>
              <w:rPr>
                <w:rFonts w:hint="eastAsia" w:ascii="仿宋_GB2312" w:hAnsi="仿宋_GB2312" w:eastAsia="仿宋_GB2312" w:cs="仿宋_GB2312"/>
                <w:szCs w:val="21"/>
              </w:rPr>
              <w:t>1.项目重点难点分析与应对措施；</w:t>
            </w:r>
          </w:p>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rPr>
              <w:t>2.相关合理化建议。</w:t>
            </w:r>
          </w:p>
          <w:p>
            <w:pPr>
              <w:autoSpaceDE w:val="0"/>
              <w:autoSpaceDN w:val="0"/>
              <w:adjustRightInd w:val="0"/>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评分依据</w:t>
            </w:r>
            <w:r>
              <w:rPr>
                <w:rFonts w:hint="eastAsia" w:ascii="仿宋_GB2312" w:hAnsi="仿宋_GB2312" w:eastAsia="仿宋_GB2312" w:cs="仿宋_GB2312"/>
                <w:b/>
                <w:bCs/>
                <w:szCs w:val="21"/>
              </w:rPr>
              <w:t>：</w:t>
            </w:r>
          </w:p>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服务内容理解到位，工作重点、难点分析准确，且应对措施合理可行的，评审为优加</w:t>
            </w:r>
            <w:r>
              <w:rPr>
                <w:rFonts w:hint="eastAsia" w:ascii="仿宋_GB2312" w:hAnsi="仿宋_GB2312" w:eastAsia="仿宋_GB2312" w:cs="仿宋_GB2312"/>
                <w:szCs w:val="21"/>
                <w:lang w:val="en-US" w:eastAsia="zh-CN"/>
              </w:rPr>
              <w:t>8-10</w:t>
            </w:r>
            <w:r>
              <w:rPr>
                <w:rFonts w:hint="eastAsia" w:ascii="仿宋_GB2312" w:hAnsi="仿宋_GB2312" w:eastAsia="仿宋_GB2312" w:cs="仿宋_GB2312"/>
                <w:szCs w:val="21"/>
              </w:rPr>
              <w:t>分；</w:t>
            </w:r>
          </w:p>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服务内容理解较到位，工作重点、难点分析较准确，且应对措施较合理可行的，评审为良加</w:t>
            </w:r>
            <w:r>
              <w:rPr>
                <w:rFonts w:hint="eastAsia" w:ascii="仿宋_GB2312" w:hAnsi="仿宋_GB2312" w:eastAsia="仿宋_GB2312" w:cs="仿宋_GB2312"/>
                <w:szCs w:val="21"/>
                <w:lang w:val="en-US" w:eastAsia="zh-CN"/>
              </w:rPr>
              <w:t>5-7</w:t>
            </w:r>
            <w:r>
              <w:rPr>
                <w:rFonts w:hint="eastAsia" w:ascii="仿宋_GB2312" w:hAnsi="仿宋_GB2312" w:eastAsia="仿宋_GB2312" w:cs="仿宋_GB2312"/>
                <w:szCs w:val="21"/>
              </w:rPr>
              <w:t>分；</w:t>
            </w:r>
          </w:p>
          <w:p>
            <w:pPr>
              <w:autoSpaceDE w:val="0"/>
              <w:autoSpaceDN w:val="0"/>
              <w:adjustRightInd w:val="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服务内容理解基本到位，工作重点、难点分析基本准确，且应对措施基本合理可行的，评审为中加</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分；</w:t>
            </w:r>
          </w:p>
          <w:p>
            <w:pPr>
              <w:autoSpaceDE w:val="0"/>
              <w:autoSpaceDN w:val="0"/>
              <w:adjustRightInd w:val="0"/>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服务内容理解不到位，工作重点、难点分析不准确，且应对措施基本缺乏合理性、可行性的，评审为差得0分。</w:t>
            </w:r>
          </w:p>
        </w:tc>
        <w:tc>
          <w:tcPr>
            <w:tcW w:w="745" w:type="dxa"/>
            <w:vAlign w:val="center"/>
          </w:tcPr>
          <w:p>
            <w:pPr>
              <w:autoSpaceDE w:val="0"/>
              <w:autoSpaceDN w:val="0"/>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2" w:hRule="atLeast"/>
          <w:jc w:val="center"/>
        </w:trPr>
        <w:tc>
          <w:tcPr>
            <w:tcW w:w="706" w:type="dxa"/>
            <w:vAlign w:val="center"/>
          </w:tcPr>
          <w:p>
            <w:pPr>
              <w:autoSpaceDE w:val="0"/>
              <w:autoSpaceDN w:val="0"/>
              <w:adjustRightInd w:val="0"/>
              <w:snapToGrid w:val="0"/>
              <w:jc w:val="center"/>
              <w:rPr>
                <w:rFonts w:hint="eastAsia" w:ascii="仿宋_GB2312" w:hAnsi="仿宋_GB2312" w:eastAsia="仿宋_GB2312" w:cs="仿宋_GB2312"/>
                <w:bCs/>
                <w:kern w:val="0"/>
                <w:szCs w:val="21"/>
                <w:lang w:eastAsia="zh-CN"/>
              </w:rPr>
            </w:pPr>
            <w:r>
              <w:rPr>
                <w:rFonts w:hint="eastAsia" w:ascii="仿宋_GB2312" w:hAnsi="仿宋_GB2312" w:eastAsia="仿宋_GB2312" w:cs="仿宋_GB2312"/>
                <w:bCs/>
                <w:kern w:val="0"/>
                <w:szCs w:val="21"/>
                <w:lang w:val="en-US" w:eastAsia="zh-CN"/>
              </w:rPr>
              <w:t>3</w:t>
            </w:r>
          </w:p>
        </w:tc>
        <w:tc>
          <w:tcPr>
            <w:tcW w:w="1187" w:type="dxa"/>
            <w:vAlign w:val="center"/>
          </w:tcPr>
          <w:p>
            <w:pPr>
              <w:jc w:val="center"/>
              <w:rPr>
                <w:rFonts w:ascii="仿宋_GB2312" w:hAnsi="仿宋_GB2312" w:eastAsia="仿宋_GB2312" w:cs="仿宋_GB2312"/>
                <w:bCs/>
                <w:kern w:val="0"/>
                <w:szCs w:val="21"/>
              </w:rPr>
            </w:pPr>
            <w:r>
              <w:rPr>
                <w:rFonts w:hint="eastAsia" w:ascii="仿宋_GB2312" w:hAnsi="仿宋_GB2312" w:eastAsia="仿宋_GB2312" w:cs="仿宋_GB2312"/>
                <w:szCs w:val="21"/>
              </w:rPr>
              <w:t>特色服务方案</w:t>
            </w:r>
          </w:p>
        </w:tc>
        <w:tc>
          <w:tcPr>
            <w:tcW w:w="6302" w:type="dxa"/>
            <w:vAlign w:val="center"/>
          </w:tcPr>
          <w:p>
            <w:pPr>
              <w:autoSpaceDE w:val="0"/>
              <w:autoSpaceDN w:val="0"/>
              <w:adjustRightInd w:val="0"/>
              <w:snapToGrid w:val="0"/>
              <w:rPr>
                <w:rFonts w:ascii="仿宋_GB2312" w:hAnsi="仿宋_GB2312" w:eastAsia="仿宋_GB2312" w:cs="仿宋_GB2312"/>
                <w:b/>
                <w:bCs/>
                <w:szCs w:val="21"/>
              </w:rPr>
            </w:pPr>
            <w:r>
              <w:rPr>
                <w:rFonts w:hint="eastAsia" w:ascii="仿宋_GB2312" w:hAnsi="仿宋_GB2312" w:eastAsia="仿宋_GB2312" w:cs="仿宋_GB2312"/>
                <w:b/>
                <w:bCs/>
                <w:szCs w:val="21"/>
              </w:rPr>
              <w:t>评审标准：</w:t>
            </w:r>
          </w:p>
          <w:p>
            <w:pPr>
              <w:autoSpaceDE w:val="0"/>
              <w:autoSpaceDN w:val="0"/>
              <w:adjustRightInd w:val="0"/>
              <w:rPr>
                <w:rFonts w:ascii="仿宋_GB2312" w:hAnsi="仿宋_GB2312" w:eastAsia="仿宋_GB2312" w:cs="仿宋_GB2312"/>
                <w:szCs w:val="21"/>
              </w:rPr>
            </w:pPr>
            <w:r>
              <w:rPr>
                <w:rFonts w:hint="eastAsia" w:ascii="仿宋_GB2312" w:hAnsi="仿宋_GB2312" w:eastAsia="仿宋_GB2312" w:cs="仿宋_GB2312"/>
                <w:szCs w:val="21"/>
              </w:rPr>
              <w:t>根据投标人提供的特色服务方案进行评价，包括但不限</w:t>
            </w:r>
            <w:r>
              <w:rPr>
                <w:rFonts w:hint="eastAsia" w:ascii="仿宋_GB2312" w:hAnsi="仿宋_GB2312" w:eastAsia="仿宋_GB2312" w:cs="仿宋_GB2312"/>
                <w:szCs w:val="21"/>
                <w:lang w:eastAsia="zh-CN"/>
              </w:rPr>
              <w:t>于</w:t>
            </w:r>
            <w:r>
              <w:rPr>
                <w:rFonts w:hint="eastAsia" w:ascii="仿宋_GB2312" w:hAnsi="仿宋_GB2312" w:eastAsia="仿宋_GB2312" w:cs="仿宋_GB2312"/>
                <w:szCs w:val="21"/>
              </w:rPr>
              <w:t>以下内容：</w:t>
            </w:r>
          </w:p>
          <w:p>
            <w:pPr>
              <w:widowControl/>
              <w:rPr>
                <w:rFonts w:ascii="仿宋_GB2312" w:hAnsi="仿宋_GB2312" w:eastAsia="仿宋_GB2312" w:cs="仿宋_GB2312"/>
                <w:szCs w:val="21"/>
              </w:rPr>
            </w:pPr>
            <w:r>
              <w:rPr>
                <w:rFonts w:hint="eastAsia" w:ascii="仿宋_GB2312" w:hAnsi="仿宋_GB2312" w:eastAsia="仿宋_GB2312" w:cs="仿宋_GB2312"/>
                <w:szCs w:val="21"/>
              </w:rPr>
              <w:t>1.投标人能够准确对项目需求进行分析，提供合理的维保质量和安全文明作业的承诺及合理的应急预案；</w:t>
            </w:r>
          </w:p>
          <w:p>
            <w:pPr>
              <w:widowControl/>
              <w:rPr>
                <w:rFonts w:ascii="仿宋_GB2312" w:hAnsi="仿宋_GB2312" w:eastAsia="仿宋_GB2312" w:cs="仿宋_GB2312"/>
                <w:szCs w:val="21"/>
              </w:rPr>
            </w:pPr>
            <w:r>
              <w:rPr>
                <w:rFonts w:hint="eastAsia" w:ascii="仿宋_GB2312" w:hAnsi="仿宋_GB2312" w:eastAsia="仿宋_GB2312" w:cs="仿宋_GB2312"/>
                <w:szCs w:val="21"/>
              </w:rPr>
              <w:t>2.提供符合本项目现场条件的合理化建议；</w:t>
            </w:r>
          </w:p>
          <w:p>
            <w:pPr>
              <w:widowControl/>
              <w:rPr>
                <w:rFonts w:ascii="仿宋_GB2312" w:hAnsi="仿宋_GB2312" w:eastAsia="仿宋_GB2312" w:cs="仿宋_GB2312"/>
                <w:szCs w:val="21"/>
              </w:rPr>
            </w:pPr>
            <w:r>
              <w:rPr>
                <w:rFonts w:hint="eastAsia" w:ascii="仿宋_GB2312" w:hAnsi="仿宋_GB2312" w:eastAsia="仿宋_GB2312" w:cs="仿宋_GB2312"/>
                <w:szCs w:val="21"/>
              </w:rPr>
              <w:t>3.提供因设备故障原因所导致电梯故障困人总次数每年总次数的承诺及扣罚措施；</w:t>
            </w:r>
          </w:p>
          <w:p>
            <w:pPr>
              <w:pStyle w:val="4"/>
              <w:ind w:firstLine="0"/>
              <w:rPr>
                <w:rFonts w:hint="eastAsia" w:ascii="仿宋_GB2312" w:hAnsi="仿宋_GB2312" w:eastAsia="仿宋_GB2312" w:cs="仿宋_GB2312"/>
                <w:color w:val="FF0000"/>
                <w:szCs w:val="21"/>
              </w:rPr>
            </w:pPr>
            <w:r>
              <w:rPr>
                <w:rFonts w:hint="eastAsia" w:ascii="仿宋_GB2312" w:hAnsi="仿宋_GB2312" w:eastAsia="仿宋_GB2312" w:cs="仿宋_GB2312"/>
                <w:kern w:val="2"/>
                <w:sz w:val="21"/>
                <w:szCs w:val="21"/>
                <w:lang w:val="en-US" w:eastAsia="zh-CN" w:bidi="ar-SA"/>
              </w:rPr>
              <w:t>4</w:t>
            </w:r>
            <w:r>
              <w:rPr>
                <w:rFonts w:hint="eastAsia" w:ascii="仿宋_GB2312" w:hAnsi="仿宋_GB2312" w:eastAsia="仿宋_GB2312" w:cs="仿宋_GB2312"/>
                <w:color w:val="auto"/>
                <w:kern w:val="2"/>
                <w:sz w:val="21"/>
                <w:szCs w:val="21"/>
                <w:lang w:val="en-US" w:eastAsia="zh-CN" w:bidi="ar-SA"/>
              </w:rPr>
              <w:t>.利</w:t>
            </w:r>
            <w:r>
              <w:rPr>
                <w:rFonts w:hint="eastAsia" w:ascii="仿宋_GB2312" w:hAnsi="仿宋_GB2312" w:eastAsia="仿宋_GB2312" w:cs="仿宋_GB2312"/>
                <w:color w:val="auto"/>
                <w:szCs w:val="21"/>
              </w:rPr>
              <w:t>用电梯物联</w:t>
            </w:r>
            <w:r>
              <w:rPr>
                <w:rFonts w:hint="eastAsia" w:ascii="仿宋_GB2312" w:hAnsi="仿宋_GB2312" w:eastAsia="仿宋_GB2312" w:cs="仿宋_GB2312"/>
                <w:color w:val="auto"/>
                <w:szCs w:val="21"/>
                <w:lang w:eastAsia="zh-CN"/>
              </w:rPr>
              <w:t>网</w:t>
            </w:r>
            <w:r>
              <w:rPr>
                <w:rFonts w:hint="eastAsia" w:ascii="仿宋_GB2312" w:hAnsi="仿宋_GB2312" w:eastAsia="仿宋_GB2312" w:cs="仿宋_GB2312"/>
                <w:color w:val="auto"/>
                <w:szCs w:val="21"/>
              </w:rPr>
              <w:t>远程智能检测系统。</w:t>
            </w:r>
          </w:p>
          <w:p>
            <w:pPr>
              <w:autoSpaceDE w:val="0"/>
              <w:autoSpaceDN w:val="0"/>
              <w:adjustRightInd w:val="0"/>
              <w:rPr>
                <w:rFonts w:hint="eastAsia" w:ascii="仿宋_GB2312" w:hAnsi="仿宋_GB2312" w:eastAsia="仿宋_GB2312" w:cs="仿宋_GB2312"/>
                <w:b/>
                <w:bCs/>
                <w:szCs w:val="21"/>
              </w:rPr>
            </w:pPr>
            <w:r>
              <w:rPr>
                <w:rFonts w:hint="eastAsia" w:ascii="仿宋_GB2312" w:hAnsi="仿宋_GB2312" w:eastAsia="仿宋_GB2312" w:cs="仿宋_GB2312"/>
                <w:b/>
                <w:bCs/>
                <w:szCs w:val="21"/>
                <w:lang w:val="en-US" w:eastAsia="zh-CN"/>
              </w:rPr>
              <w:t>评分依据</w:t>
            </w:r>
            <w:r>
              <w:rPr>
                <w:rFonts w:hint="eastAsia" w:ascii="仿宋_GB2312" w:hAnsi="仿宋_GB2312" w:eastAsia="仿宋_GB2312" w:cs="仿宋_GB2312"/>
                <w:b/>
                <w:bCs/>
                <w:szCs w:val="21"/>
              </w:rPr>
              <w:t>：</w:t>
            </w:r>
          </w:p>
          <w:p>
            <w:pPr>
              <w:widowControl/>
              <w:wordWrap w:val="0"/>
              <w:autoSpaceDE w:val="0"/>
              <w:rPr>
                <w:rFonts w:hint="eastAsia" w:ascii="仿宋_GB2312" w:hAnsi="仿宋_GB2312" w:eastAsia="仿宋_GB2312" w:cs="仿宋_GB2312"/>
                <w:szCs w:val="21"/>
                <w:lang w:bidi="ar"/>
              </w:rPr>
            </w:pPr>
            <w:r>
              <w:rPr>
                <w:rFonts w:hint="eastAsia" w:ascii="仿宋_GB2312" w:hAnsi="仿宋_GB2312" w:eastAsia="仿宋_GB2312" w:cs="仿宋_GB2312"/>
                <w:szCs w:val="21"/>
                <w:lang w:val="en-US" w:eastAsia="zh-CN" w:bidi="ar"/>
              </w:rPr>
              <w:t>1.</w:t>
            </w:r>
            <w:r>
              <w:rPr>
                <w:rFonts w:hint="eastAsia" w:ascii="仿宋_GB2312" w:hAnsi="仿宋_GB2312" w:eastAsia="仿宋_GB2312" w:cs="仿宋_GB2312"/>
                <w:szCs w:val="21"/>
                <w:lang w:bidi="ar"/>
              </w:rPr>
              <w:t>方案整体科学合理、针对性强、可操作性强，评审为优加</w:t>
            </w:r>
            <w:r>
              <w:rPr>
                <w:rFonts w:hint="eastAsia" w:ascii="仿宋_GB2312" w:hAnsi="仿宋_GB2312" w:eastAsia="仿宋_GB2312" w:cs="仿宋_GB2312"/>
                <w:szCs w:val="21"/>
                <w:lang w:val="en-US" w:eastAsia="zh-CN" w:bidi="ar"/>
              </w:rPr>
              <w:t>4-5</w:t>
            </w:r>
            <w:r>
              <w:rPr>
                <w:rFonts w:hint="eastAsia" w:ascii="仿宋_GB2312" w:hAnsi="仿宋_GB2312" w:eastAsia="仿宋_GB2312" w:cs="仿宋_GB2312"/>
                <w:szCs w:val="21"/>
                <w:lang w:bidi="ar"/>
              </w:rPr>
              <w:t>分；</w:t>
            </w:r>
          </w:p>
          <w:p>
            <w:pPr>
              <w:widowControl/>
              <w:wordWrap w:val="0"/>
              <w:autoSpaceDE w:val="0"/>
              <w:rPr>
                <w:rFonts w:hint="eastAsia" w:ascii="仿宋_GB2312" w:hAnsi="仿宋_GB2312" w:eastAsia="仿宋_GB2312" w:cs="仿宋_GB2312"/>
                <w:szCs w:val="21"/>
                <w:lang w:bidi="ar"/>
              </w:rPr>
            </w:pPr>
            <w:r>
              <w:rPr>
                <w:rFonts w:hint="eastAsia" w:ascii="仿宋_GB2312" w:hAnsi="仿宋_GB2312" w:eastAsia="仿宋_GB2312" w:cs="仿宋_GB2312"/>
                <w:szCs w:val="21"/>
                <w:lang w:val="en-US" w:eastAsia="zh-CN" w:bidi="ar"/>
              </w:rPr>
              <w:t>2.</w:t>
            </w:r>
            <w:r>
              <w:rPr>
                <w:rFonts w:hint="eastAsia" w:ascii="仿宋_GB2312" w:hAnsi="仿宋_GB2312" w:eastAsia="仿宋_GB2312" w:cs="仿宋_GB2312"/>
                <w:szCs w:val="21"/>
                <w:lang w:bidi="ar"/>
              </w:rPr>
              <w:t>方案较合理、有一定针对性、一定可操作性，评审为良加</w:t>
            </w:r>
            <w:r>
              <w:rPr>
                <w:rFonts w:hint="eastAsia" w:ascii="仿宋_GB2312" w:hAnsi="仿宋_GB2312" w:eastAsia="仿宋_GB2312" w:cs="仿宋_GB2312"/>
                <w:szCs w:val="21"/>
                <w:lang w:val="en-US" w:eastAsia="zh-CN" w:bidi="ar"/>
              </w:rPr>
              <w:t>2-3</w:t>
            </w:r>
            <w:r>
              <w:rPr>
                <w:rFonts w:hint="eastAsia" w:ascii="仿宋_GB2312" w:hAnsi="仿宋_GB2312" w:eastAsia="仿宋_GB2312" w:cs="仿宋_GB2312"/>
                <w:szCs w:val="21"/>
                <w:lang w:bidi="ar"/>
              </w:rPr>
              <w:t>分；</w:t>
            </w:r>
          </w:p>
          <w:p>
            <w:pPr>
              <w:widowControl/>
              <w:wordWrap w:val="0"/>
              <w:autoSpaceDE w:val="0"/>
              <w:rPr>
                <w:rFonts w:hint="eastAsia" w:ascii="仿宋_GB2312" w:hAnsi="仿宋_GB2312" w:eastAsia="仿宋_GB2312" w:cs="仿宋_GB2312"/>
                <w:color w:val="FF0000"/>
                <w:szCs w:val="21"/>
              </w:rPr>
            </w:pPr>
            <w:r>
              <w:rPr>
                <w:rFonts w:hint="eastAsia" w:ascii="仿宋_GB2312" w:hAnsi="仿宋_GB2312" w:eastAsia="仿宋_GB2312" w:cs="仿宋_GB2312"/>
                <w:szCs w:val="21"/>
                <w:lang w:val="en-US" w:eastAsia="zh-CN" w:bidi="ar"/>
              </w:rPr>
              <w:t>3.</w:t>
            </w:r>
            <w:r>
              <w:rPr>
                <w:rFonts w:hint="eastAsia" w:ascii="仿宋_GB2312" w:hAnsi="仿宋_GB2312" w:eastAsia="仿宋_GB2312" w:cs="仿宋_GB2312"/>
                <w:szCs w:val="21"/>
                <w:lang w:bidi="ar"/>
              </w:rPr>
              <w:t>方案不合理、无针对性、无可操作性，评审为差得0</w:t>
            </w:r>
            <w:r>
              <w:rPr>
                <w:rFonts w:hint="eastAsia" w:ascii="仿宋_GB2312" w:hAnsi="仿宋_GB2312" w:eastAsia="仿宋_GB2312" w:cs="仿宋_GB2312"/>
                <w:szCs w:val="21"/>
                <w:lang w:val="en-US" w:eastAsia="zh-CN" w:bidi="ar"/>
              </w:rPr>
              <w:t>-1</w:t>
            </w:r>
            <w:r>
              <w:rPr>
                <w:rFonts w:hint="eastAsia" w:ascii="仿宋_GB2312" w:hAnsi="仿宋_GB2312" w:eastAsia="仿宋_GB2312" w:cs="仿宋_GB2312"/>
                <w:szCs w:val="21"/>
                <w:lang w:bidi="ar"/>
              </w:rPr>
              <w:t>分。</w:t>
            </w:r>
          </w:p>
        </w:tc>
        <w:tc>
          <w:tcPr>
            <w:tcW w:w="745" w:type="dxa"/>
            <w:vAlign w:val="center"/>
          </w:tcPr>
          <w:p>
            <w:pPr>
              <w:autoSpaceDE w:val="0"/>
              <w:autoSpaceDN w:val="0"/>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r>
    </w:tbl>
    <w:p>
      <w:pPr>
        <w:rPr>
          <w:rFonts w:hint="default"/>
          <w:lang w:val="en-US" w:eastAsia="zh-CN"/>
        </w:rPr>
      </w:pPr>
      <w:r>
        <w:rPr>
          <w:rFonts w:ascii="仿宋_GB2312" w:hAnsi="仿宋_GB2312" w:eastAsia="仿宋_GB2312" w:cs="仿宋_GB2312"/>
          <w:szCs w:val="21"/>
        </w:rPr>
        <w:t>注：</w:t>
      </w:r>
      <w:r>
        <w:rPr>
          <w:rFonts w:hint="eastAsia" w:ascii="仿宋_GB2312" w:hAnsi="仿宋_GB2312" w:eastAsia="仿宋_GB2312" w:cs="仿宋_GB2312"/>
          <w:szCs w:val="21"/>
        </w:rPr>
        <w:t>以上资料均要求提供复印件（或官方网站截图）并加盖投标人公章，原件备查。评分中出现无证明资料或专家无法凭所提供资料判断是否得分的情况，一律作不得分处理。</w:t>
      </w:r>
    </w:p>
    <w:p>
      <w:pPr>
        <w:rPr>
          <w:rFonts w:hint="eastAsia"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default"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附件</w:t>
      </w:r>
      <w:r>
        <w:rPr>
          <w:rFonts w:hint="default" w:asciiTheme="minorEastAsia" w:hAnsiTheme="minorEastAsia" w:cstheme="minorEastAsia"/>
          <w:b w:val="0"/>
          <w:bCs w:val="0"/>
          <w:sz w:val="28"/>
          <w:szCs w:val="28"/>
          <w:highlight w:val="none"/>
          <w:lang w:eastAsia="zh-CN"/>
        </w:rPr>
        <w:t>4</w:t>
      </w:r>
    </w:p>
    <w:p>
      <w:pPr>
        <w:ind w:left="790"/>
        <w:jc w:val="left"/>
        <w:rPr>
          <w:rFonts w:ascii="宋体"/>
          <w:sz w:val="39"/>
          <w:highlight w:val="none"/>
        </w:rPr>
      </w:pPr>
      <w:r>
        <w:rPr>
          <w:rFonts w:hint="eastAsia" w:ascii="方正小标宋_GBK" w:hAnsi="方正小标宋_GBK" w:eastAsia="方正小标宋_GBK" w:cs="方正小标宋_GBK"/>
          <w:sz w:val="44"/>
          <w:highlight w:val="none"/>
        </w:rPr>
        <w:t>龙岗区进一步规范政商交往行为告知书</w:t>
      </w:r>
    </w:p>
    <w:p>
      <w:pPr>
        <w:pStyle w:val="5"/>
        <w:spacing w:after="0" w:line="520" w:lineRule="exact"/>
        <w:ind w:left="108" w:right="114" w:firstLine="50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5"/>
          <w:sz w:val="28"/>
          <w:szCs w:val="28"/>
          <w:highlight w:val="none"/>
        </w:rPr>
        <w:t>为深入构建“亲”“清”新型政商关系，努力打造尊商、亲商、助商、</w:t>
      </w:r>
      <w:r>
        <w:rPr>
          <w:rFonts w:hint="eastAsia" w:ascii="仿宋_GB2312" w:hAnsi="仿宋_GB2312" w:eastAsia="仿宋_GB2312" w:cs="仿宋_GB2312"/>
          <w:spacing w:val="-10"/>
          <w:sz w:val="28"/>
          <w:szCs w:val="28"/>
          <w:highlight w:val="none"/>
        </w:rPr>
        <w:t>安商良好营商环境，龙岗区委区政府制定了《龙岗区公</w:t>
      </w:r>
      <w:r>
        <w:rPr>
          <w:rFonts w:hint="eastAsia" w:ascii="仿宋_GB2312" w:hAnsi="仿宋_GB2312" w:eastAsia="仿宋_GB2312" w:cs="仿宋_GB2312"/>
          <w:spacing w:val="-22"/>
          <w:sz w:val="28"/>
          <w:szCs w:val="28"/>
          <w:highlight w:val="none"/>
        </w:rPr>
        <w:t>职人员政商交往“十个不准”》，严明公职人员在政商交往中的纪律要求。 请参与龙岗建设的广大企业及其从业人员，严格监督我区公职人员落实“十个不准”，并在与我</w:t>
      </w:r>
      <w:r>
        <w:rPr>
          <w:rFonts w:hint="eastAsia" w:ascii="仿宋_GB2312" w:hAnsi="仿宋_GB2312" w:eastAsia="仿宋_GB2312" w:cs="仿宋_GB2312"/>
          <w:spacing w:val="-13"/>
          <w:sz w:val="28"/>
          <w:szCs w:val="28"/>
          <w:highlight w:val="none"/>
        </w:rPr>
        <w:t>区公职人员交往中切实做到“十个不得”。</w:t>
      </w:r>
    </w:p>
    <w:p>
      <w:pPr>
        <w:pStyle w:val="5"/>
        <w:numPr>
          <w:ilvl w:val="0"/>
          <w:numId w:val="1"/>
        </w:numPr>
        <w:spacing w:before="11" w:after="0" w:line="520" w:lineRule="exact"/>
        <w:ind w:right="478"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不得向公职人员赠送礼品、礼金、消费卡等财物。</w:t>
      </w:r>
    </w:p>
    <w:p>
      <w:pPr>
        <w:pStyle w:val="5"/>
        <w:numPr>
          <w:ilvl w:val="0"/>
          <w:numId w:val="1"/>
        </w:numPr>
        <w:spacing w:before="11" w:after="0" w:line="520" w:lineRule="exact"/>
        <w:ind w:right="478" w:firstLine="556"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不得违规向公职人员提供宴请、旅游、娱乐等安排。</w:t>
      </w:r>
    </w:p>
    <w:p>
      <w:pPr>
        <w:pStyle w:val="5"/>
        <w:numPr>
          <w:ilvl w:val="0"/>
          <w:numId w:val="1"/>
        </w:numPr>
        <w:spacing w:before="11" w:after="0" w:line="520" w:lineRule="exact"/>
        <w:ind w:right="478"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不得通过打麻将等形式向公职人员输送利益。</w:t>
      </w:r>
    </w:p>
    <w:p>
      <w:pPr>
        <w:pStyle w:val="5"/>
        <w:numPr>
          <w:ilvl w:val="0"/>
          <w:numId w:val="1"/>
        </w:numPr>
        <w:spacing w:before="6" w:after="0" w:line="520" w:lineRule="exact"/>
        <w:ind w:right="1438"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不得为公职人员报销应由其个人支付的费用。</w:t>
      </w:r>
    </w:p>
    <w:p>
      <w:pPr>
        <w:pStyle w:val="5"/>
        <w:numPr>
          <w:ilvl w:val="0"/>
          <w:numId w:val="1"/>
        </w:numPr>
        <w:spacing w:before="6" w:after="0" w:line="520" w:lineRule="exact"/>
        <w:ind w:right="1438"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不得违规向公职人员及其亲友借贷款。</w:t>
      </w:r>
    </w:p>
    <w:p>
      <w:pPr>
        <w:pStyle w:val="5"/>
        <w:spacing w:before="3" w:after="0" w:line="52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六、不得违规将车辆、住房等借给公职人员使用。</w:t>
      </w:r>
    </w:p>
    <w:p>
      <w:pPr>
        <w:pStyle w:val="5"/>
        <w:spacing w:after="0" w:line="520" w:lineRule="exact"/>
        <w:ind w:right="271"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七、不得在招投标中与公职人员搞暗箱操作、围标串标。</w:t>
      </w:r>
      <w:r>
        <w:rPr>
          <w:rFonts w:hint="eastAsia" w:ascii="仿宋_GB2312" w:hAnsi="仿宋_GB2312" w:eastAsia="仿宋_GB2312" w:cs="仿宋_GB2312"/>
          <w:spacing w:val="-12"/>
          <w:sz w:val="28"/>
          <w:szCs w:val="28"/>
          <w:highlight w:val="none"/>
        </w:rPr>
        <w:t>八、不得为利益相关人和公职人员牵线搭桥或者代为传递信</w:t>
      </w:r>
      <w:r>
        <w:rPr>
          <w:rFonts w:hint="eastAsia" w:ascii="仿宋_GB2312" w:hAnsi="仿宋_GB2312" w:eastAsia="仿宋_GB2312" w:cs="仿宋_GB2312"/>
          <w:sz w:val="28"/>
          <w:szCs w:val="28"/>
          <w:highlight w:val="none"/>
        </w:rPr>
        <w:t>息、传递财物。</w:t>
      </w:r>
    </w:p>
    <w:p>
      <w:pPr>
        <w:pStyle w:val="5"/>
        <w:spacing w:after="0" w:line="52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九、不得让公职人员在企业违规兼职取酬。</w:t>
      </w:r>
    </w:p>
    <w:p>
      <w:pPr>
        <w:pStyle w:val="5"/>
        <w:spacing w:after="0" w:line="52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十、不得为公职人员亲友违规承揽业务提供便利。</w:t>
      </w:r>
    </w:p>
    <w:p>
      <w:pPr>
        <w:pStyle w:val="5"/>
        <w:spacing w:after="0" w:line="520" w:lineRule="exact"/>
        <w:ind w:right="156"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上述“十个不得”，请您严格遵守。同时，在政商交往中， </w:t>
      </w:r>
      <w:r>
        <w:rPr>
          <w:rFonts w:hint="eastAsia" w:ascii="仿宋_GB2312" w:hAnsi="仿宋_GB2312" w:eastAsia="仿宋_GB2312" w:cs="仿宋_GB2312"/>
          <w:spacing w:val="-7"/>
          <w:sz w:val="28"/>
          <w:szCs w:val="28"/>
          <w:highlight w:val="none"/>
        </w:rPr>
        <w:t>如有发现我区公职人员存在违反“十个不准”的问题，请及时通</w:t>
      </w:r>
      <w:r>
        <w:rPr>
          <w:rFonts w:hint="eastAsia" w:ascii="仿宋_GB2312" w:hAnsi="仿宋_GB2312" w:eastAsia="仿宋_GB2312" w:cs="仿宋_GB2312"/>
          <w:spacing w:val="-15"/>
          <w:sz w:val="28"/>
          <w:szCs w:val="28"/>
          <w:highlight w:val="none"/>
        </w:rPr>
        <w:t xml:space="preserve">过网络举报平台或者 </w:t>
      </w:r>
      <w:r>
        <w:rPr>
          <w:rFonts w:hint="eastAsia" w:ascii="仿宋_GB2312" w:hAnsi="仿宋_GB2312" w:eastAsia="仿宋_GB2312" w:cs="仿宋_GB2312"/>
          <w:sz w:val="28"/>
          <w:szCs w:val="28"/>
          <w:highlight w:val="none"/>
        </w:rPr>
        <w:t>12388</w:t>
      </w:r>
      <w:r>
        <w:rPr>
          <w:rFonts w:hint="eastAsia" w:ascii="仿宋_GB2312" w:hAnsi="仿宋_GB2312" w:eastAsia="仿宋_GB2312" w:cs="仿宋_GB2312"/>
          <w:spacing w:val="-15"/>
          <w:sz w:val="28"/>
          <w:szCs w:val="28"/>
          <w:highlight w:val="none"/>
        </w:rPr>
        <w:t xml:space="preserve"> 举报电话等方式，向纪检监察机关反映举报，我们将一律严格保密、一律优先处置、一律严肃查处。</w:t>
      </w:r>
    </w:p>
    <w:p>
      <w:pPr>
        <w:pStyle w:val="5"/>
        <w:spacing w:line="52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本人已知晓上述告知内容，并愿意遵照执行（签名）：</w:t>
      </w:r>
    </w:p>
    <w:p>
      <w:pPr>
        <w:pStyle w:val="6"/>
        <w:wordWrap w:val="0"/>
        <w:jc w:val="right"/>
        <w:rPr>
          <w:rFonts w:hint="default" w:eastAsia="仿宋_GB2312"/>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u w:val="none"/>
        </w:rPr>
        <w:t>0</w:t>
      </w:r>
      <w:r>
        <w:rPr>
          <w:rFonts w:hint="eastAsia" w:ascii="仿宋_GB2312" w:hAnsi="仿宋_GB2312" w:eastAsia="仿宋_GB2312" w:cs="仿宋_GB2312"/>
          <w:sz w:val="28"/>
          <w:szCs w:val="28"/>
          <w:highlight w:val="none"/>
          <w:u w:val="none"/>
          <w:lang w:val="en-US" w:eastAsia="zh-CN"/>
        </w:rPr>
        <w:t>23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84AA20-F619-434D-88A2-6D33F67B91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431F414-5F29-46B3-A865-0D68DEA570DC}"/>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95E05DD1-EE56-4D56-87D3-6F46362F9B3C}"/>
  </w:font>
  <w:font w:name="方正小标宋_GBK">
    <w:panose1 w:val="02000000000000000000"/>
    <w:charset w:val="86"/>
    <w:family w:val="script"/>
    <w:pitch w:val="default"/>
    <w:sig w:usb0="A00002BF" w:usb1="38CF7CFA" w:usb2="00082016" w:usb3="00000000" w:csb0="00040001" w:csb1="00000000"/>
    <w:embedRegular r:id="rId4" w:fontKey="{653AE7B1-5AD0-4923-8117-0E424A7AD6E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MmEyNTRlN2U5ZGJjNTZiMmJkNzU4NWI0ZGJhYTQifQ=="/>
  </w:docVars>
  <w:rsids>
    <w:rsidRoot w:val="2433308F"/>
    <w:rsid w:val="021A6F58"/>
    <w:rsid w:val="021B2B71"/>
    <w:rsid w:val="034A70C0"/>
    <w:rsid w:val="035D4EFD"/>
    <w:rsid w:val="054908B9"/>
    <w:rsid w:val="0AFFFB37"/>
    <w:rsid w:val="0BF7E9EB"/>
    <w:rsid w:val="0D5F058D"/>
    <w:rsid w:val="0DFC36AD"/>
    <w:rsid w:val="0E665BFA"/>
    <w:rsid w:val="0FE996C5"/>
    <w:rsid w:val="104C2452"/>
    <w:rsid w:val="10C34956"/>
    <w:rsid w:val="1180302C"/>
    <w:rsid w:val="14DB2E5E"/>
    <w:rsid w:val="16557E1A"/>
    <w:rsid w:val="17FE2AF6"/>
    <w:rsid w:val="196A2C86"/>
    <w:rsid w:val="1A5FD2A5"/>
    <w:rsid w:val="1AC35E45"/>
    <w:rsid w:val="1DF70CC5"/>
    <w:rsid w:val="1E570C16"/>
    <w:rsid w:val="1E6F7691"/>
    <w:rsid w:val="1FFE97EE"/>
    <w:rsid w:val="238E57C6"/>
    <w:rsid w:val="2433308F"/>
    <w:rsid w:val="2A1B45E1"/>
    <w:rsid w:val="2BFA978F"/>
    <w:rsid w:val="2DEFE33B"/>
    <w:rsid w:val="2E6FD04F"/>
    <w:rsid w:val="2EEF5998"/>
    <w:rsid w:val="2EFF44A6"/>
    <w:rsid w:val="2FEF53FE"/>
    <w:rsid w:val="2FFB56FF"/>
    <w:rsid w:val="2FFBAA6A"/>
    <w:rsid w:val="2FFFE2CB"/>
    <w:rsid w:val="30E83917"/>
    <w:rsid w:val="321B4B91"/>
    <w:rsid w:val="32240DA7"/>
    <w:rsid w:val="323F255A"/>
    <w:rsid w:val="34B46F22"/>
    <w:rsid w:val="34B75AD0"/>
    <w:rsid w:val="35F62909"/>
    <w:rsid w:val="36DB6D90"/>
    <w:rsid w:val="38557AEE"/>
    <w:rsid w:val="385D607A"/>
    <w:rsid w:val="396DA4F5"/>
    <w:rsid w:val="397F2265"/>
    <w:rsid w:val="39FD8E01"/>
    <w:rsid w:val="3A6E229B"/>
    <w:rsid w:val="3A7F7EA5"/>
    <w:rsid w:val="3B5EA83C"/>
    <w:rsid w:val="3B822B94"/>
    <w:rsid w:val="3BE7FE80"/>
    <w:rsid w:val="3BF90C92"/>
    <w:rsid w:val="3BF9911C"/>
    <w:rsid w:val="3BFF954B"/>
    <w:rsid w:val="3D6D518D"/>
    <w:rsid w:val="3D9F15E1"/>
    <w:rsid w:val="3DFF5CF5"/>
    <w:rsid w:val="3E103DD3"/>
    <w:rsid w:val="3E5D51F2"/>
    <w:rsid w:val="3ED1946A"/>
    <w:rsid w:val="3F452975"/>
    <w:rsid w:val="3F6FEA8D"/>
    <w:rsid w:val="3F7E32FB"/>
    <w:rsid w:val="3F9B0698"/>
    <w:rsid w:val="3F9D5DA3"/>
    <w:rsid w:val="3F9FF261"/>
    <w:rsid w:val="3FB7C0EF"/>
    <w:rsid w:val="3FBF770D"/>
    <w:rsid w:val="3FD761FB"/>
    <w:rsid w:val="3FFEE616"/>
    <w:rsid w:val="3FFFD9D6"/>
    <w:rsid w:val="477611DD"/>
    <w:rsid w:val="49EF34AE"/>
    <w:rsid w:val="4A867F56"/>
    <w:rsid w:val="4B76A628"/>
    <w:rsid w:val="4BCFA733"/>
    <w:rsid w:val="4D3ACDBA"/>
    <w:rsid w:val="4E7E96E6"/>
    <w:rsid w:val="4EFE7362"/>
    <w:rsid w:val="4F3B98AB"/>
    <w:rsid w:val="4FF78ED1"/>
    <w:rsid w:val="51F7964E"/>
    <w:rsid w:val="5303580E"/>
    <w:rsid w:val="536F5F1F"/>
    <w:rsid w:val="53FB2ABB"/>
    <w:rsid w:val="53FE1559"/>
    <w:rsid w:val="55EE112F"/>
    <w:rsid w:val="565F8CB4"/>
    <w:rsid w:val="56881A0F"/>
    <w:rsid w:val="56CDB326"/>
    <w:rsid w:val="57082B00"/>
    <w:rsid w:val="575C5A3C"/>
    <w:rsid w:val="575E49F9"/>
    <w:rsid w:val="577658BF"/>
    <w:rsid w:val="57DE605C"/>
    <w:rsid w:val="57F38D88"/>
    <w:rsid w:val="57F7021E"/>
    <w:rsid w:val="57FD97DC"/>
    <w:rsid w:val="595DEAE3"/>
    <w:rsid w:val="5A7FB693"/>
    <w:rsid w:val="5BC23BF3"/>
    <w:rsid w:val="5BFE6556"/>
    <w:rsid w:val="5C515829"/>
    <w:rsid w:val="5CB7A93D"/>
    <w:rsid w:val="5D3E86B3"/>
    <w:rsid w:val="5DC8A671"/>
    <w:rsid w:val="5DDB087C"/>
    <w:rsid w:val="5DFD2854"/>
    <w:rsid w:val="5E5FF64B"/>
    <w:rsid w:val="5ED7C7D3"/>
    <w:rsid w:val="5EEFBAEF"/>
    <w:rsid w:val="5EF7F90D"/>
    <w:rsid w:val="5F5687E5"/>
    <w:rsid w:val="5F571B46"/>
    <w:rsid w:val="5F5B130E"/>
    <w:rsid w:val="5F6FC92A"/>
    <w:rsid w:val="5F77F2C8"/>
    <w:rsid w:val="5F7BA7EC"/>
    <w:rsid w:val="5F9E8B24"/>
    <w:rsid w:val="5FBB7B82"/>
    <w:rsid w:val="5FCFE7F1"/>
    <w:rsid w:val="5FDD7C64"/>
    <w:rsid w:val="5FE5E5A9"/>
    <w:rsid w:val="5FE7264C"/>
    <w:rsid w:val="5FF5E771"/>
    <w:rsid w:val="607F1F8A"/>
    <w:rsid w:val="61BF4095"/>
    <w:rsid w:val="636F6297"/>
    <w:rsid w:val="63FB81CA"/>
    <w:rsid w:val="6479F4F0"/>
    <w:rsid w:val="65AA664E"/>
    <w:rsid w:val="66FBC559"/>
    <w:rsid w:val="66FF247F"/>
    <w:rsid w:val="677E8F18"/>
    <w:rsid w:val="67926E35"/>
    <w:rsid w:val="679972A2"/>
    <w:rsid w:val="67C55BC5"/>
    <w:rsid w:val="67EF0FDE"/>
    <w:rsid w:val="67FFCE23"/>
    <w:rsid w:val="6A2FE8F4"/>
    <w:rsid w:val="6AF9EBAA"/>
    <w:rsid w:val="6AFE20D2"/>
    <w:rsid w:val="6B7FDD5B"/>
    <w:rsid w:val="6BDAD24C"/>
    <w:rsid w:val="6BDE4BF6"/>
    <w:rsid w:val="6BDF643F"/>
    <w:rsid w:val="6BFD2730"/>
    <w:rsid w:val="6BFF99A2"/>
    <w:rsid w:val="6CC11DEC"/>
    <w:rsid w:val="6D2F9209"/>
    <w:rsid w:val="6E2321AD"/>
    <w:rsid w:val="6EFFEED1"/>
    <w:rsid w:val="6F3DEA12"/>
    <w:rsid w:val="6F577BDB"/>
    <w:rsid w:val="6F7BC2AF"/>
    <w:rsid w:val="6F7BE434"/>
    <w:rsid w:val="6FBB7D58"/>
    <w:rsid w:val="6FC7BAFD"/>
    <w:rsid w:val="6FDB2C9F"/>
    <w:rsid w:val="6FDBC477"/>
    <w:rsid w:val="6FDD54C5"/>
    <w:rsid w:val="6FEF2833"/>
    <w:rsid w:val="6FFF7F1E"/>
    <w:rsid w:val="72B705B3"/>
    <w:rsid w:val="73FF0256"/>
    <w:rsid w:val="73FF083D"/>
    <w:rsid w:val="74485B23"/>
    <w:rsid w:val="74C31802"/>
    <w:rsid w:val="751F4D8C"/>
    <w:rsid w:val="75F7CF56"/>
    <w:rsid w:val="75FB124A"/>
    <w:rsid w:val="763F4E14"/>
    <w:rsid w:val="767FD3FE"/>
    <w:rsid w:val="76BFB0E6"/>
    <w:rsid w:val="76FF250A"/>
    <w:rsid w:val="76FFC922"/>
    <w:rsid w:val="777E01B0"/>
    <w:rsid w:val="779B82DD"/>
    <w:rsid w:val="77BD6CD5"/>
    <w:rsid w:val="77DF2335"/>
    <w:rsid w:val="77EB90B0"/>
    <w:rsid w:val="77EFEA55"/>
    <w:rsid w:val="77F57896"/>
    <w:rsid w:val="77F6B3E2"/>
    <w:rsid w:val="77FBDC4E"/>
    <w:rsid w:val="77FCC580"/>
    <w:rsid w:val="77FF7002"/>
    <w:rsid w:val="78683C9B"/>
    <w:rsid w:val="787D0E18"/>
    <w:rsid w:val="797F88D0"/>
    <w:rsid w:val="79ED9E43"/>
    <w:rsid w:val="79FBC032"/>
    <w:rsid w:val="7ADD53F7"/>
    <w:rsid w:val="7AF7FAEC"/>
    <w:rsid w:val="7B3A5151"/>
    <w:rsid w:val="7B5B4621"/>
    <w:rsid w:val="7B7EEC25"/>
    <w:rsid w:val="7B970FFC"/>
    <w:rsid w:val="7BC57AFF"/>
    <w:rsid w:val="7BDAC88A"/>
    <w:rsid w:val="7BDEC48F"/>
    <w:rsid w:val="7BDF369A"/>
    <w:rsid w:val="7BEEB658"/>
    <w:rsid w:val="7BF3D25A"/>
    <w:rsid w:val="7BFC4C09"/>
    <w:rsid w:val="7BFD009D"/>
    <w:rsid w:val="7BFE4DCA"/>
    <w:rsid w:val="7C691D16"/>
    <w:rsid w:val="7CEDD8CD"/>
    <w:rsid w:val="7CFC104B"/>
    <w:rsid w:val="7D5BC578"/>
    <w:rsid w:val="7D7D92E9"/>
    <w:rsid w:val="7D7ECA39"/>
    <w:rsid w:val="7D7FB3FF"/>
    <w:rsid w:val="7DA9CDC0"/>
    <w:rsid w:val="7DBBB861"/>
    <w:rsid w:val="7DBC21CF"/>
    <w:rsid w:val="7DEFACFD"/>
    <w:rsid w:val="7DF6AFBF"/>
    <w:rsid w:val="7DF9A3B0"/>
    <w:rsid w:val="7DFD37D0"/>
    <w:rsid w:val="7DFF677D"/>
    <w:rsid w:val="7E0F17F3"/>
    <w:rsid w:val="7E2F7B38"/>
    <w:rsid w:val="7E6D8F00"/>
    <w:rsid w:val="7E7D8097"/>
    <w:rsid w:val="7E7EE094"/>
    <w:rsid w:val="7E7F65D5"/>
    <w:rsid w:val="7EB18CD9"/>
    <w:rsid w:val="7EB60165"/>
    <w:rsid w:val="7ECBE3CC"/>
    <w:rsid w:val="7ED549BC"/>
    <w:rsid w:val="7EDD7F22"/>
    <w:rsid w:val="7EF310AA"/>
    <w:rsid w:val="7EF716E2"/>
    <w:rsid w:val="7EFE7A94"/>
    <w:rsid w:val="7EFFA779"/>
    <w:rsid w:val="7EFFBAF6"/>
    <w:rsid w:val="7F37CC2A"/>
    <w:rsid w:val="7F611819"/>
    <w:rsid w:val="7F7E2A05"/>
    <w:rsid w:val="7FAD4D62"/>
    <w:rsid w:val="7FC3DF27"/>
    <w:rsid w:val="7FC7B37A"/>
    <w:rsid w:val="7FD37EAB"/>
    <w:rsid w:val="7FDDC3BC"/>
    <w:rsid w:val="7FEA7712"/>
    <w:rsid w:val="7FEB32C0"/>
    <w:rsid w:val="7FEB61F3"/>
    <w:rsid w:val="7FED04D7"/>
    <w:rsid w:val="7FEF0890"/>
    <w:rsid w:val="7FF203DA"/>
    <w:rsid w:val="7FF75A13"/>
    <w:rsid w:val="7FFB687E"/>
    <w:rsid w:val="7FFB9ABE"/>
    <w:rsid w:val="7FFBD198"/>
    <w:rsid w:val="7FFC211E"/>
    <w:rsid w:val="7FFFEA75"/>
    <w:rsid w:val="8B2EE8CE"/>
    <w:rsid w:val="8B7F5BDD"/>
    <w:rsid w:val="8EDD8BF7"/>
    <w:rsid w:val="8FB73198"/>
    <w:rsid w:val="8FFE3723"/>
    <w:rsid w:val="997C11CC"/>
    <w:rsid w:val="9AFBE42C"/>
    <w:rsid w:val="9BED07EC"/>
    <w:rsid w:val="9D768E52"/>
    <w:rsid w:val="9D966029"/>
    <w:rsid w:val="9DF59976"/>
    <w:rsid w:val="9FB75432"/>
    <w:rsid w:val="9FE57D69"/>
    <w:rsid w:val="9FFDDB1C"/>
    <w:rsid w:val="A4FE40C6"/>
    <w:rsid w:val="A6FF424A"/>
    <w:rsid w:val="A77F4480"/>
    <w:rsid w:val="A7BF7BAF"/>
    <w:rsid w:val="AB8F0DEB"/>
    <w:rsid w:val="AB9FB37B"/>
    <w:rsid w:val="ABEF2369"/>
    <w:rsid w:val="ABFFE726"/>
    <w:rsid w:val="ADD7366F"/>
    <w:rsid w:val="AE6E1E02"/>
    <w:rsid w:val="AF3F1E4D"/>
    <w:rsid w:val="AF7EBF34"/>
    <w:rsid w:val="AFAFF356"/>
    <w:rsid w:val="AFDB53D7"/>
    <w:rsid w:val="B3748523"/>
    <w:rsid w:val="B37B1C64"/>
    <w:rsid w:val="B3D9F052"/>
    <w:rsid w:val="B5BD95E2"/>
    <w:rsid w:val="B5DFA148"/>
    <w:rsid w:val="B7FF14D6"/>
    <w:rsid w:val="B7FFA5B3"/>
    <w:rsid w:val="B97FAA5E"/>
    <w:rsid w:val="B9EFA9DA"/>
    <w:rsid w:val="BADE1277"/>
    <w:rsid w:val="BAFF7D76"/>
    <w:rsid w:val="BB655E1A"/>
    <w:rsid w:val="BB76B262"/>
    <w:rsid w:val="BB7D083B"/>
    <w:rsid w:val="BD1FF884"/>
    <w:rsid w:val="BDBF2E20"/>
    <w:rsid w:val="BDCB6748"/>
    <w:rsid w:val="BDEFEFD3"/>
    <w:rsid w:val="BDFFC366"/>
    <w:rsid w:val="BEC9E59B"/>
    <w:rsid w:val="BEDDEDAF"/>
    <w:rsid w:val="BEFE9D57"/>
    <w:rsid w:val="BF6FAAFB"/>
    <w:rsid w:val="BFECC057"/>
    <w:rsid w:val="BFEE2604"/>
    <w:rsid w:val="BFF34914"/>
    <w:rsid w:val="BFF9F1EB"/>
    <w:rsid w:val="BFFB4167"/>
    <w:rsid w:val="BFFEAAFF"/>
    <w:rsid w:val="C3FB5F2B"/>
    <w:rsid w:val="C53A27FD"/>
    <w:rsid w:val="C5BD5AFD"/>
    <w:rsid w:val="C67F8289"/>
    <w:rsid w:val="C6BF60C1"/>
    <w:rsid w:val="CADF1904"/>
    <w:rsid w:val="CB5F13D9"/>
    <w:rsid w:val="CDBF803B"/>
    <w:rsid w:val="CEB7F84F"/>
    <w:rsid w:val="CF6B6E7E"/>
    <w:rsid w:val="D3FFED55"/>
    <w:rsid w:val="D4FF9D7E"/>
    <w:rsid w:val="D5D3E804"/>
    <w:rsid w:val="D7684A76"/>
    <w:rsid w:val="D7BE0B2E"/>
    <w:rsid w:val="D7BFCAFD"/>
    <w:rsid w:val="D7DD6274"/>
    <w:rsid w:val="D7EF5A22"/>
    <w:rsid w:val="D7FA1510"/>
    <w:rsid w:val="D7FE4D4A"/>
    <w:rsid w:val="D9BFAA90"/>
    <w:rsid w:val="D9EDC4A3"/>
    <w:rsid w:val="DB6FF8AA"/>
    <w:rsid w:val="DB9D84CB"/>
    <w:rsid w:val="DBE5B1E6"/>
    <w:rsid w:val="DE363E22"/>
    <w:rsid w:val="DE3F935A"/>
    <w:rsid w:val="DEDF99A6"/>
    <w:rsid w:val="DEDFA28E"/>
    <w:rsid w:val="DEFB3837"/>
    <w:rsid w:val="DEFFB813"/>
    <w:rsid w:val="DF3D0576"/>
    <w:rsid w:val="DFBF31F3"/>
    <w:rsid w:val="DFC7A8C1"/>
    <w:rsid w:val="DFCFAFAA"/>
    <w:rsid w:val="DFDD4163"/>
    <w:rsid w:val="DFF54EFE"/>
    <w:rsid w:val="DFF901D5"/>
    <w:rsid w:val="E4F7EAB4"/>
    <w:rsid w:val="E56CC924"/>
    <w:rsid w:val="E5B75F04"/>
    <w:rsid w:val="E5FFD341"/>
    <w:rsid w:val="E6F300A5"/>
    <w:rsid w:val="E71DC3FB"/>
    <w:rsid w:val="E7A799FC"/>
    <w:rsid w:val="E7E5B864"/>
    <w:rsid w:val="E7FD5BB6"/>
    <w:rsid w:val="E9DE2A68"/>
    <w:rsid w:val="E9F99202"/>
    <w:rsid w:val="EA5E22DA"/>
    <w:rsid w:val="EBDD72FE"/>
    <w:rsid w:val="ECD7A285"/>
    <w:rsid w:val="EDBE8F82"/>
    <w:rsid w:val="EE0FC842"/>
    <w:rsid w:val="EE1C7066"/>
    <w:rsid w:val="EE7F4E1D"/>
    <w:rsid w:val="EEFF68B8"/>
    <w:rsid w:val="EF3AF076"/>
    <w:rsid w:val="EF5FC091"/>
    <w:rsid w:val="EF7FFCCF"/>
    <w:rsid w:val="EFADECDD"/>
    <w:rsid w:val="EFBDCB10"/>
    <w:rsid w:val="EFBF31F3"/>
    <w:rsid w:val="EFEFBF32"/>
    <w:rsid w:val="EFF3420D"/>
    <w:rsid w:val="EFF7B255"/>
    <w:rsid w:val="EFF96D98"/>
    <w:rsid w:val="EFFFF811"/>
    <w:rsid w:val="F1F4D0C8"/>
    <w:rsid w:val="F2FFE14E"/>
    <w:rsid w:val="F3B59292"/>
    <w:rsid w:val="F3E3A126"/>
    <w:rsid w:val="F3FF5C46"/>
    <w:rsid w:val="F4EDC10D"/>
    <w:rsid w:val="F5FD84E6"/>
    <w:rsid w:val="F63D92B9"/>
    <w:rsid w:val="F6B56D30"/>
    <w:rsid w:val="F6DD7113"/>
    <w:rsid w:val="F6FC4C50"/>
    <w:rsid w:val="F6FF3149"/>
    <w:rsid w:val="F73FDD8B"/>
    <w:rsid w:val="F7793F70"/>
    <w:rsid w:val="F7DF54AB"/>
    <w:rsid w:val="F7F73769"/>
    <w:rsid w:val="F7FAD755"/>
    <w:rsid w:val="F7FBCCA8"/>
    <w:rsid w:val="F7FE9647"/>
    <w:rsid w:val="F8713159"/>
    <w:rsid w:val="F8FEB8FB"/>
    <w:rsid w:val="F96258EF"/>
    <w:rsid w:val="F9BB4417"/>
    <w:rsid w:val="F9CF9591"/>
    <w:rsid w:val="F9F8420F"/>
    <w:rsid w:val="F9F95215"/>
    <w:rsid w:val="F9FD379A"/>
    <w:rsid w:val="F9FF0932"/>
    <w:rsid w:val="FA3AB928"/>
    <w:rsid w:val="FA5EC2BD"/>
    <w:rsid w:val="FA70189F"/>
    <w:rsid w:val="FA7F37DD"/>
    <w:rsid w:val="FA7F92D7"/>
    <w:rsid w:val="FAAF8C70"/>
    <w:rsid w:val="FAB72225"/>
    <w:rsid w:val="FACF22AF"/>
    <w:rsid w:val="FAF38755"/>
    <w:rsid w:val="FB676253"/>
    <w:rsid w:val="FB7B9B1E"/>
    <w:rsid w:val="FBDF4006"/>
    <w:rsid w:val="FBF2266A"/>
    <w:rsid w:val="FBF59EAD"/>
    <w:rsid w:val="FBF7FD81"/>
    <w:rsid w:val="FBFB1FEF"/>
    <w:rsid w:val="FBFF7878"/>
    <w:rsid w:val="FBFF7C51"/>
    <w:rsid w:val="FBFFFD91"/>
    <w:rsid w:val="FC2F37F8"/>
    <w:rsid w:val="FC7024AE"/>
    <w:rsid w:val="FC7F1732"/>
    <w:rsid w:val="FCD2A03E"/>
    <w:rsid w:val="FCEDA00C"/>
    <w:rsid w:val="FCFF8D25"/>
    <w:rsid w:val="FD7CBA22"/>
    <w:rsid w:val="FD8796B7"/>
    <w:rsid w:val="FDEF7D72"/>
    <w:rsid w:val="FDFFE250"/>
    <w:rsid w:val="FE5E0CBC"/>
    <w:rsid w:val="FE71A543"/>
    <w:rsid w:val="FE7EE5F4"/>
    <w:rsid w:val="FEBE5CE1"/>
    <w:rsid w:val="FEDE41E5"/>
    <w:rsid w:val="FEEFB9CA"/>
    <w:rsid w:val="FEF7ED67"/>
    <w:rsid w:val="FEFBB963"/>
    <w:rsid w:val="FEFFF485"/>
    <w:rsid w:val="FF5DB6BC"/>
    <w:rsid w:val="FF5E9AAE"/>
    <w:rsid w:val="FF5F5E98"/>
    <w:rsid w:val="FF736B16"/>
    <w:rsid w:val="FF771BAB"/>
    <w:rsid w:val="FF79F656"/>
    <w:rsid w:val="FF7F8532"/>
    <w:rsid w:val="FF8FF946"/>
    <w:rsid w:val="FF97C9E1"/>
    <w:rsid w:val="FF9AA0C4"/>
    <w:rsid w:val="FFABCFFA"/>
    <w:rsid w:val="FFB48E84"/>
    <w:rsid w:val="FFBF78ED"/>
    <w:rsid w:val="FFCF5A38"/>
    <w:rsid w:val="FFDB5CFC"/>
    <w:rsid w:val="FFDF44AB"/>
    <w:rsid w:val="FFE1D263"/>
    <w:rsid w:val="FFEAF4BE"/>
    <w:rsid w:val="FFEFC3D0"/>
    <w:rsid w:val="FFF49832"/>
    <w:rsid w:val="FFF64B5B"/>
    <w:rsid w:val="FFF75AD6"/>
    <w:rsid w:val="FFFB8D1A"/>
    <w:rsid w:val="FFFDC36E"/>
    <w:rsid w:val="FFFF70F2"/>
    <w:rsid w:val="FFFFBB5C"/>
    <w:rsid w:val="FFFFD449"/>
    <w:rsid w:val="FFFFE0F7"/>
    <w:rsid w:val="FFFFE403"/>
    <w:rsid w:val="FFFFF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line="480" w:lineRule="auto"/>
      <w:ind w:left="2760" w:firstLine="840"/>
      <w:jc w:val="both"/>
      <w:outlineLvl w:val="1"/>
    </w:pPr>
    <w:rPr>
      <w:rFonts w:ascii="宋体"/>
      <w:b/>
      <w:spacing w:val="40"/>
      <w:w w:val="150"/>
      <w:sz w:val="5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after="120"/>
    </w:pPr>
  </w:style>
  <w:style w:type="paragraph" w:styleId="6">
    <w:name w:val="Plain Text"/>
    <w:basedOn w:val="1"/>
    <w:next w:val="3"/>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spacing w:line="600" w:lineRule="exact"/>
      <w:ind w:firstLine="880" w:firstLineChars="200"/>
    </w:pPr>
    <w:rPr>
      <w:rFonts w:eastAsia="仿宋_GB2312"/>
      <w:sz w:val="32"/>
    </w:rPr>
  </w:style>
  <w:style w:type="paragraph" w:styleId="10">
    <w:name w:val="Normal (Web)"/>
    <w:basedOn w:val="1"/>
    <w:qFormat/>
    <w:uiPriority w:val="0"/>
    <w:pPr>
      <w:overflowPunct/>
      <w:autoSpaceDE/>
      <w:autoSpaceDN/>
      <w:adjustRightInd/>
      <w:spacing w:before="100" w:beforeAutospacing="1" w:after="100" w:afterAutospacing="1"/>
      <w:textAlignment w:val="auto"/>
    </w:pPr>
    <w:rPr>
      <w:rFonts w:ascii="宋体" w:hAnsi="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fontstyle01"/>
    <w:qFormat/>
    <w:uiPriority w:val="0"/>
    <w:rPr>
      <w:rFonts w:hint="eastAsia" w:ascii="仿宋_GB2312" w:eastAsia="仿宋_GB2312"/>
      <w:color w:val="000000"/>
      <w:sz w:val="32"/>
      <w:szCs w:val="32"/>
    </w:rPr>
  </w:style>
  <w:style w:type="paragraph" w:styleId="16">
    <w:name w:val="List Paragraph"/>
    <w:basedOn w:val="1"/>
    <w:qFormat/>
    <w:uiPriority w:val="34"/>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3593</Words>
  <Characters>3861</Characters>
  <Lines>0</Lines>
  <Paragraphs>0</Paragraphs>
  <TotalTime>6</TotalTime>
  <ScaleCrop>false</ScaleCrop>
  <LinksUpToDate>false</LinksUpToDate>
  <CharactersWithSpaces>4007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2023-03-20T06:16:00Z</dcterms:created>
  <dc:creator>Fier</dc:creator>
  <cp:lastModifiedBy>廖蜀黍</cp:lastModifiedBy>
  <cp:lastPrinted>2023-04-19T01:42:00Z</cp:lastPrinted>
  <dcterms:modified xsi:type="dcterms:W3CDTF">2023-12-08T06:46:25Z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6A4890CFCFB34AA4AE6254D6F27307F3_13</vt:lpwstr>
  </property>
</Properties>
</file>