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left="454" w:right="454"/>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深圳市</w:t>
      </w:r>
      <w:r>
        <w:rPr>
          <w:rFonts w:hint="eastAsia" w:ascii="仿宋" w:hAnsi="仿宋" w:eastAsia="仿宋" w:cs="仿宋"/>
          <w:b/>
          <w:bCs/>
          <w:color w:val="auto"/>
          <w:sz w:val="44"/>
          <w:szCs w:val="44"/>
        </w:rPr>
        <w:t>龙岗中心医院</w:t>
      </w:r>
      <w:r>
        <w:rPr>
          <w:rFonts w:hint="eastAsia" w:ascii="仿宋" w:hAnsi="仿宋" w:eastAsia="仿宋" w:cs="仿宋"/>
          <w:b/>
          <w:bCs/>
          <w:color w:val="auto"/>
          <w:sz w:val="44"/>
          <w:szCs w:val="44"/>
          <w:lang w:val="en-US" w:eastAsia="zh-CN"/>
        </w:rPr>
        <w:t>服务器安全管理系统升级维保项目</w:t>
      </w:r>
      <w:r>
        <w:rPr>
          <w:rFonts w:hint="eastAsia" w:ascii="仿宋" w:hAnsi="仿宋" w:eastAsia="仿宋" w:cs="仿宋"/>
          <w:b/>
          <w:bCs/>
          <w:color w:val="auto"/>
          <w:sz w:val="44"/>
          <w:szCs w:val="44"/>
        </w:rPr>
        <w:t>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c>
        <w:tc>
          <w:tcPr>
            <w:tcW w:w="5216" w:type="dxa"/>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LGZXYYZBB20231113-2</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5216" w:type="dxa"/>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深圳市龙岗中心医院服务器安全管理系统升级维保项目</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包 号：</w:t>
            </w:r>
          </w:p>
        </w:tc>
        <w:tc>
          <w:tcPr>
            <w:tcW w:w="5216" w:type="dxa"/>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项目类型：</w:t>
            </w:r>
          </w:p>
        </w:tc>
        <w:tc>
          <w:tcPr>
            <w:tcW w:w="5216" w:type="dxa"/>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采购方式：</w:t>
            </w:r>
          </w:p>
        </w:tc>
        <w:tc>
          <w:tcPr>
            <w:tcW w:w="5216" w:type="dxa"/>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货币类型：</w:t>
            </w:r>
          </w:p>
        </w:tc>
        <w:tc>
          <w:tcPr>
            <w:tcW w:w="5216" w:type="dxa"/>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评标方法：</w:t>
            </w:r>
          </w:p>
        </w:tc>
        <w:tc>
          <w:tcPr>
            <w:tcW w:w="5216" w:type="dxa"/>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综合评分法（新价格分算法）</w:t>
            </w:r>
          </w:p>
        </w:tc>
      </w:tr>
    </w:tbl>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widowControl/>
        <w:jc w:val="center"/>
        <w:outlineLvl w:val="1"/>
        <w:rPr>
          <w:rFonts w:ascii="黑体" w:hAnsi="宋体" w:eastAsia="黑体" w:cs="黑体"/>
          <w:color w:val="auto"/>
          <w:sz w:val="40"/>
          <w:szCs w:val="40"/>
        </w:rPr>
      </w:pPr>
      <w:r>
        <w:rPr>
          <w:rFonts w:hint="eastAsia" w:ascii="黑体" w:hAnsi="宋体" w:eastAsia="黑体" w:cs="黑体"/>
          <w:color w:val="auto"/>
          <w:sz w:val="40"/>
          <w:szCs w:val="40"/>
        </w:rPr>
        <w:t>资格性审查表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40"/>
        <w:gridCol w:w="82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lang w:bidi="ar"/>
              </w:rPr>
              <w:t>序号</w:t>
            </w:r>
          </w:p>
        </w:tc>
        <w:tc>
          <w:tcPr>
            <w:tcW w:w="823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auto"/>
                <w:sz w:val="28"/>
                <w:szCs w:val="28"/>
              </w:rPr>
            </w:pPr>
            <w:r>
              <w:rPr>
                <w:rFonts w:ascii="宋体" w:hAnsi="宋体" w:cs="宋体"/>
                <w:color w:val="auto"/>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color w:val="auto"/>
                <w:szCs w:val="21"/>
              </w:rPr>
            </w:pPr>
            <w:r>
              <w:rPr>
                <w:color w:val="auto"/>
                <w:szCs w:val="21"/>
              </w:rPr>
              <w:t>1</w:t>
            </w:r>
          </w:p>
        </w:tc>
        <w:tc>
          <w:tcPr>
            <w:tcW w:w="8238"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ascii="宋体" w:hAnsi="宋体" w:cs="宋体"/>
                <w:color w:val="auto"/>
                <w:kern w:val="0"/>
                <w:szCs w:val="21"/>
                <w:lang w:bidi="ar"/>
              </w:rPr>
              <w:t>投标人不</w:t>
            </w:r>
            <w:r>
              <w:rPr>
                <w:rFonts w:hint="eastAsia" w:ascii="宋体" w:hAnsi="宋体" w:cs="宋体"/>
                <w:color w:val="auto"/>
                <w:kern w:val="0"/>
                <w:szCs w:val="21"/>
                <w:lang w:bidi="ar"/>
              </w:rPr>
              <w:t>符合</w:t>
            </w:r>
            <w:r>
              <w:rPr>
                <w:rFonts w:ascii="宋体" w:hAnsi="宋体" w:cs="宋体"/>
                <w:color w:val="auto"/>
                <w:kern w:val="0"/>
                <w:szCs w:val="21"/>
                <w:lang w:bidi="ar"/>
              </w:rPr>
              <w:t>资格要求或未提交相应的资格证明资料（详见招标公告</w:t>
            </w:r>
            <w:r>
              <w:rPr>
                <w:rFonts w:hint="eastAsia" w:ascii="宋体" w:hAnsi="宋体"/>
                <w:color w:val="auto"/>
                <w:szCs w:val="21"/>
              </w:rPr>
              <w:t>投标人资格要求，即申请人的资格要求</w:t>
            </w:r>
            <w:r>
              <w:rPr>
                <w:rFonts w:ascii="宋体" w:hAnsi="宋体" w:cs="宋体"/>
                <w:color w:val="auto"/>
                <w:kern w:val="0"/>
                <w:szCs w:val="21"/>
                <w:lang w:bidi="ar"/>
              </w:rPr>
              <w:t>）</w:t>
            </w:r>
          </w:p>
        </w:tc>
      </w:tr>
    </w:tbl>
    <w:p>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jc w:val="left"/>
        <w:textAlignment w:val="auto"/>
        <w:rPr>
          <w:rFonts w:ascii="宋体" w:hAnsi="宋体" w:cs="宋体"/>
          <w:color w:val="auto"/>
        </w:rPr>
      </w:pPr>
      <w:r>
        <w:rPr>
          <w:rFonts w:hint="eastAsia" w:ascii="宋体" w:hAnsi="宋体" w:cs="宋体"/>
          <w:color w:val="auto"/>
        </w:rPr>
        <w:t>注：如无特殊说明，投标人所提供的证明文件均需加盖投标人公章。</w:t>
      </w:r>
    </w:p>
    <w:p>
      <w:pPr>
        <w:pStyle w:val="16"/>
        <w:widowControl/>
        <w:spacing w:before="280" w:beforeAutospacing="0"/>
        <w:jc w:val="center"/>
        <w:outlineLvl w:val="1"/>
        <w:rPr>
          <w:rFonts w:ascii="黑体" w:hAnsi="宋体" w:eastAsia="黑体" w:cs="黑体"/>
          <w:color w:val="auto"/>
          <w:sz w:val="40"/>
          <w:szCs w:val="40"/>
        </w:rPr>
      </w:pPr>
      <w:r>
        <w:rPr>
          <w:rFonts w:hint="eastAsia" w:ascii="黑体" w:hAnsi="宋体" w:eastAsia="黑体" w:cs="黑体"/>
          <w:color w:val="auto"/>
          <w:sz w:val="40"/>
          <w:szCs w:val="40"/>
        </w:rPr>
        <w:t>符合性审查表</w:t>
      </w:r>
    </w:p>
    <w:tbl>
      <w:tblPr>
        <w:tblStyle w:val="19"/>
        <w:tblW w:w="524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9"/>
        <w:gridCol w:w="81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color w:val="auto"/>
                <w:sz w:val="28"/>
                <w:szCs w:val="28"/>
              </w:rPr>
            </w:pPr>
            <w:r>
              <w:rPr>
                <w:color w:val="auto"/>
                <w:sz w:val="28"/>
                <w:szCs w:val="28"/>
              </w:rPr>
              <w:t>序号</w:t>
            </w:r>
          </w:p>
        </w:tc>
        <w:tc>
          <w:tcPr>
            <w:tcW w:w="4547"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94" w:hRule="atLeast"/>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1</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lang w:val="en-US" w:eastAsia="zh-CN"/>
              </w:rPr>
              <w:t>不得</w:t>
            </w:r>
            <w:r>
              <w:rPr>
                <w:rFonts w:hint="eastAsia"/>
                <w:color w:val="auto"/>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2</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对同一项目投标时，</w:t>
            </w:r>
            <w:r>
              <w:rPr>
                <w:rFonts w:hint="eastAsia"/>
                <w:color w:val="auto"/>
                <w:lang w:val="en-US" w:eastAsia="zh-CN"/>
              </w:rPr>
              <w:t>不得</w:t>
            </w:r>
            <w:r>
              <w:rPr>
                <w:rFonts w:hint="eastAsia"/>
                <w:color w:val="auto"/>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3</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分项报价或投标总价</w:t>
            </w:r>
            <w:r>
              <w:rPr>
                <w:rFonts w:hint="eastAsia"/>
                <w:color w:val="auto"/>
                <w:lang w:val="en-US" w:eastAsia="zh-CN"/>
              </w:rPr>
              <w:t>不得</w:t>
            </w:r>
            <w:r>
              <w:rPr>
                <w:rFonts w:hint="eastAsia"/>
                <w:color w:val="auto"/>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4</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5</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所投货物、服务在技术、商务等方面没有实质性满足招标文件要求的（是否实质性满足招标文件要求，由评审委员会根据实质性条款响应情况做出评判）；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6</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7</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8</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9</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投标文件电子文档带病毒；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ascii="宋体" w:hAnsi="宋体" w:cs="宋体"/>
                <w:color w:val="auto"/>
                <w:szCs w:val="21"/>
              </w:rPr>
            </w:pPr>
            <w:r>
              <w:rPr>
                <w:color w:val="auto"/>
                <w:szCs w:val="21"/>
              </w:rPr>
              <w:t>10</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52" w:type="pct"/>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color w:val="auto"/>
                <w:szCs w:val="21"/>
                <w:lang w:val="en-US" w:eastAsia="zh-CN"/>
              </w:rPr>
            </w:pPr>
            <w:r>
              <w:rPr>
                <w:rFonts w:hint="eastAsia"/>
                <w:color w:val="auto"/>
                <w:szCs w:val="21"/>
                <w:lang w:val="en-US" w:eastAsia="zh-CN"/>
              </w:rPr>
              <w:t>11</w:t>
            </w:r>
          </w:p>
        </w:tc>
        <w:tc>
          <w:tcPr>
            <w:tcW w:w="4547" w:type="pct"/>
            <w:tcBorders>
              <w:top w:val="single" w:color="000000" w:sz="8" w:space="0"/>
              <w:left w:val="single" w:color="000000" w:sz="8" w:space="0"/>
              <w:bottom w:val="single" w:color="000000" w:sz="8" w:space="0"/>
              <w:right w:val="single" w:color="000000" w:sz="8" w:space="0"/>
            </w:tcBorders>
          </w:tcPr>
          <w:p>
            <w:pPr>
              <w:rPr>
                <w:rFonts w:ascii="宋体" w:hAnsi="宋体" w:cs="宋体"/>
                <w:color w:val="auto"/>
                <w:szCs w:val="21"/>
              </w:rPr>
            </w:pPr>
            <w:r>
              <w:rPr>
                <w:rFonts w:hint="eastAsia"/>
                <w:color w:val="auto"/>
              </w:rPr>
              <w:t>法律、法规、规章、规范性文件规定的其他情形。</w:t>
            </w:r>
          </w:p>
        </w:tc>
      </w:tr>
    </w:tbl>
    <w:p>
      <w:pPr>
        <w:pStyle w:val="6"/>
        <w:tabs>
          <w:tab w:val="left" w:pos="562"/>
          <w:tab w:val="left" w:pos="3372"/>
          <w:tab w:val="left" w:pos="3653"/>
        </w:tabs>
        <w:jc w:val="left"/>
        <w:rPr>
          <w:rFonts w:ascii="宋体" w:hAnsi="宋体" w:cs="宋体"/>
          <w:color w:val="auto"/>
        </w:rPr>
      </w:pPr>
      <w:r>
        <w:rPr>
          <w:rFonts w:hint="eastAsia" w:ascii="宋体" w:hAnsi="宋体" w:cs="宋体"/>
          <w:color w:val="auto"/>
        </w:rPr>
        <w:t>注：如无特殊说明，投标人所提供的证明文件均需加盖投标人公章。</w:t>
      </w:r>
    </w:p>
    <w:p>
      <w:pPr>
        <w:pStyle w:val="16"/>
        <w:jc w:val="center"/>
        <w:outlineLvl w:val="1"/>
        <w:rPr>
          <w:rFonts w:ascii="黑体" w:hAnsi="黑体" w:eastAsia="黑体"/>
          <w:color w:val="auto"/>
          <w:sz w:val="40"/>
          <w:szCs w:val="40"/>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jc w:val="center"/>
        <w:outlineLvl w:val="1"/>
        <w:rPr>
          <w:rFonts w:hint="eastAsia" w:ascii="仿宋" w:hAnsi="仿宋" w:eastAsia="仿宋" w:cs="仿宋"/>
          <w:color w:val="auto"/>
          <w:sz w:val="24"/>
          <w:szCs w:val="24"/>
        </w:rPr>
      </w:pPr>
    </w:p>
    <w:p>
      <w:pPr>
        <w:pStyle w:val="16"/>
        <w:widowControl/>
        <w:spacing w:before="280" w:beforeAutospacing="0"/>
        <w:jc w:val="center"/>
        <w:outlineLvl w:val="1"/>
        <w:rPr>
          <w:rFonts w:hint="eastAsia" w:ascii="宋体" w:hAnsi="宋体" w:eastAsia="宋体" w:cs="Times New Roman"/>
          <w:b/>
          <w:bCs w:val="0"/>
          <w:color w:val="auto"/>
          <w:kern w:val="0"/>
          <w:sz w:val="28"/>
          <w:szCs w:val="28"/>
          <w:lang w:val="en-US" w:eastAsia="zh-CN" w:bidi="ar-SA"/>
        </w:rPr>
      </w:pPr>
      <w:r>
        <w:rPr>
          <w:rFonts w:hint="eastAsia" w:ascii="宋体" w:hAnsi="宋体" w:eastAsia="宋体" w:cs="Times New Roman"/>
          <w:b/>
          <w:bCs w:val="0"/>
          <w:color w:val="auto"/>
          <w:kern w:val="0"/>
          <w:sz w:val="28"/>
          <w:szCs w:val="28"/>
          <w:lang w:val="en-US" w:eastAsia="zh-CN" w:bidi="ar-SA"/>
        </w:rPr>
        <w:t>评标信息</w:t>
      </w:r>
    </w:p>
    <w:p>
      <w:pPr>
        <w:pStyle w:val="16"/>
        <w:keepNext w:val="0"/>
        <w:keepLines w:val="0"/>
        <w:pageBreakBefore w:val="0"/>
        <w:widowControl/>
        <w:kinsoku/>
        <w:wordWrap/>
        <w:overflowPunct/>
        <w:topLinePunct w:val="0"/>
        <w:autoSpaceDE/>
        <w:autoSpaceDN/>
        <w:bidi w:val="0"/>
        <w:adjustRightInd/>
        <w:snapToGrid/>
        <w:spacing w:beforeAutospacing="0"/>
        <w:jc w:val="center"/>
        <w:textAlignment w:val="auto"/>
        <w:outlineLvl w:val="1"/>
        <w:rPr>
          <w:rFonts w:hint="eastAsia" w:ascii="宋体" w:hAnsi="宋体" w:eastAsia="宋体" w:cs="宋体"/>
          <w:b/>
          <w:bCs/>
          <w:color w:val="auto"/>
          <w:sz w:val="28"/>
          <w:szCs w:val="28"/>
          <w:lang w:val="en-US" w:eastAsia="zh-CN"/>
        </w:rPr>
      </w:pPr>
    </w:p>
    <w:tbl>
      <w:tblPr>
        <w:tblStyle w:val="19"/>
        <w:tblW w:w="9072" w:type="dxa"/>
        <w:jc w:val="center"/>
        <w:tblCellSpacing w:w="0" w:type="dxa"/>
        <w:tblLayout w:type="fixed"/>
        <w:tblCellMar>
          <w:top w:w="45" w:type="dxa"/>
          <w:left w:w="45" w:type="dxa"/>
          <w:bottom w:w="45" w:type="dxa"/>
          <w:right w:w="45" w:type="dxa"/>
        </w:tblCellMar>
      </w:tblPr>
      <w:tblGrid>
        <w:gridCol w:w="8898"/>
        <w:gridCol w:w="174"/>
      </w:tblGrid>
      <w:tr>
        <w:trPr>
          <w:tblCellSpacing w:w="0" w:type="dxa"/>
          <w:jc w:val="center"/>
        </w:trPr>
        <w:tc>
          <w:tcPr>
            <w:tcW w:w="8898" w:type="dxa"/>
            <w:tcBorders>
              <w:top w:val="nil"/>
              <w:left w:val="nil"/>
              <w:bottom w:val="nil"/>
              <w:right w:val="nil"/>
            </w:tcBorders>
            <w:vAlign w:val="center"/>
          </w:tcPr>
          <w:p>
            <w:pP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评标方法：综合评分法（新价格分算法）</w:t>
            </w:r>
          </w:p>
        </w:tc>
        <w:tc>
          <w:tcPr>
            <w:tcW w:w="174" w:type="dxa"/>
            <w:tcBorders>
              <w:top w:val="nil"/>
              <w:left w:val="nil"/>
              <w:bottom w:val="nil"/>
              <w:right w:val="nil"/>
            </w:tcBorders>
            <w:vAlign w:val="center"/>
          </w:tcPr>
          <w:p>
            <w:pPr>
              <w:rPr>
                <w:rFonts w:hint="eastAsia" w:ascii="仿宋" w:hAnsi="仿宋" w:eastAsia="仿宋" w:cs="仿宋"/>
                <w:b/>
                <w:bCs/>
                <w:color w:val="auto"/>
                <w:sz w:val="24"/>
                <w:szCs w:val="24"/>
              </w:rPr>
            </w:pPr>
          </w:p>
        </w:tc>
      </w:tr>
    </w:tbl>
    <w:p>
      <w:pPr>
        <w:rPr>
          <w:rFonts w:hint="eastAsia" w:ascii="仿宋" w:hAnsi="仿宋" w:eastAsia="仿宋" w:cs="仿宋"/>
          <w:color w:val="auto"/>
          <w:sz w:val="24"/>
          <w:szCs w:val="24"/>
        </w:rPr>
      </w:pPr>
    </w:p>
    <w:tbl>
      <w:tblPr>
        <w:tblStyle w:val="19"/>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rHeight w:val="90" w:hRule="atLeast"/>
          <w:tblCellSpacing w:w="0" w:type="dxa"/>
          <w:jc w:val="center"/>
        </w:trPr>
        <w:tc>
          <w:tcPr>
            <w:tcW w:w="9072" w:type="dxa"/>
            <w:tcBorders>
              <w:top w:val="nil"/>
              <w:left w:val="nil"/>
              <w:bottom w:val="nil"/>
              <w:right w:val="nil"/>
            </w:tcBorders>
            <w:vAlign w:val="center"/>
          </w:tcPr>
          <w:p>
            <w:pPr>
              <w:pStyle w:val="16"/>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综合评分法，是指投标文件满足招标文件全部实质性要求，且按照评审因素的量化指标评审得分最高的投标人为中标候选人的评标方法。 </w:t>
            </w:r>
          </w:p>
          <w:p>
            <w:pPr>
              <w:pStyle w:val="16"/>
              <w:jc w:val="left"/>
              <w:rPr>
                <w:rFonts w:hint="eastAsia" w:ascii="仿宋" w:hAnsi="仿宋" w:eastAsia="仿宋" w:cs="仿宋"/>
                <w:color w:val="auto"/>
                <w:sz w:val="24"/>
                <w:szCs w:val="24"/>
              </w:rPr>
            </w:pPr>
            <w:r>
              <w:rPr>
                <w:rFonts w:hint="eastAsia" w:ascii="仿宋" w:hAnsi="仿宋" w:eastAsia="仿宋" w:cs="仿宋"/>
                <w:color w:val="auto"/>
                <w:sz w:val="24"/>
                <w:szCs w:val="24"/>
              </w:rPr>
              <w:t>价格分计算方法：</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采用低价优先法计算，即满足招标文件要求且投标价格最低的投标报价为评标基准价，其价格分为满分。其他投标人的价格分统一按照下列公式计算： </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投标报价得分=(评标基准价／投标报价)×100 </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评标总得分＝F1×A1＋F2×A2＋……＋Fn×An </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F1、F2……Fn分别为各项评审因素的得分； </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A1、A2、……An 分别为各项评审因素所占的权重(A1＋A2＋……＋An＝1)。 </w:t>
            </w:r>
          </w:p>
          <w:p>
            <w:pPr>
              <w:pStyle w:val="16"/>
              <w:spacing w:line="324"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评标过程中，不得去掉报价中的最高报价和最低报价。 </w:t>
            </w:r>
          </w:p>
          <w:p>
            <w:pPr>
              <w:pStyle w:val="16"/>
              <w:spacing w:line="324"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此方法适用于货物类、服务类、工程类项目。 </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二、关于享受优惠政策的主体及价格扣除比例</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（1）投标人提供的服务全部均由优惠主体承接，则对其投标总价给予10%的扣除，用扣除后的价格参与评审。满足多项优惠政策的企业，不重复享受多项价格扣除政策。</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备注：（a）优惠主体包括小型企业、微型企业、监狱企业、残疾人福利性单位；中小企业是指在中华人民共和国境内依法设立，依据国务院批准的</w:t>
            </w:r>
            <w:bookmarkStart w:id="0" w:name="_Hlk81319386"/>
            <w:r>
              <w:rPr>
                <w:rFonts w:hint="eastAsia" w:ascii="仿宋" w:hAnsi="仿宋" w:eastAsia="仿宋" w:cs="仿宋"/>
                <w:color w:val="auto"/>
                <w:kern w:val="0"/>
                <w:sz w:val="24"/>
                <w:szCs w:val="24"/>
                <w:lang w:val="en-US" w:eastAsia="zh-CN" w:bidi="ar-SA"/>
              </w:rPr>
              <w:t>中小企业</w:t>
            </w:r>
            <w:bookmarkEnd w:id="0"/>
            <w:r>
              <w:rPr>
                <w:rFonts w:hint="eastAsia" w:ascii="仿宋" w:hAnsi="仿宋" w:eastAsia="仿宋" w:cs="仿宋"/>
                <w:color w:val="auto"/>
                <w:kern w:val="0"/>
                <w:sz w:val="24"/>
                <w:szCs w:val="24"/>
                <w:lang w:val="en-US" w:eastAsia="zh-CN" w:bidi="ar-SA"/>
              </w:rPr>
              <w:t>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（2）根据《工业和信息化部、国家统计局、国家发展和改革委员会、财政部关于印发中小企业划型标准规定的通知》（工信部联企业〔2011〕300 号），</w:t>
            </w:r>
            <w:bookmarkStart w:id="1" w:name="_Hlk71970739"/>
            <w:r>
              <w:rPr>
                <w:rFonts w:hint="eastAsia" w:ascii="仿宋" w:hAnsi="仿宋" w:eastAsia="仿宋" w:cs="仿宋"/>
                <w:color w:val="auto"/>
                <w:kern w:val="0"/>
                <w:sz w:val="24"/>
                <w:szCs w:val="24"/>
                <w:lang w:val="en-US" w:eastAsia="zh-CN" w:bidi="ar-SA"/>
              </w:rPr>
              <w:t>本项目</w:t>
            </w:r>
            <w:bookmarkStart w:id="2" w:name="_Hlk71924718"/>
            <w:r>
              <w:rPr>
                <w:rFonts w:hint="eastAsia" w:ascii="仿宋" w:hAnsi="仿宋" w:eastAsia="仿宋" w:cs="仿宋"/>
                <w:color w:val="auto"/>
                <w:kern w:val="0"/>
                <w:sz w:val="24"/>
                <w:szCs w:val="24"/>
                <w:lang w:val="en-US" w:eastAsia="zh-CN" w:bidi="ar-SA"/>
              </w:rPr>
              <w:t>采购标的（服务需求）对应的中小企业划分标准所属行业</w:t>
            </w:r>
            <w:bookmarkEnd w:id="2"/>
            <w:r>
              <w:rPr>
                <w:rFonts w:hint="eastAsia" w:ascii="仿宋" w:hAnsi="仿宋" w:eastAsia="仿宋" w:cs="仿宋"/>
                <w:color w:val="auto"/>
                <w:kern w:val="0"/>
                <w:sz w:val="24"/>
                <w:szCs w:val="24"/>
                <w:lang w:val="en-US" w:eastAsia="zh-CN" w:bidi="ar-SA"/>
              </w:rPr>
              <w:t>为</w:t>
            </w:r>
            <w:r>
              <w:rPr>
                <w:rFonts w:hint="eastAsia" w:ascii="仿宋" w:hAnsi="仿宋" w:eastAsia="仿宋" w:cs="仿宋"/>
                <w:color w:val="auto"/>
                <w:kern w:val="0"/>
                <w:sz w:val="24"/>
                <w:szCs w:val="24"/>
                <w:u w:val="single"/>
                <w:lang w:val="en-US" w:eastAsia="zh-CN" w:bidi="ar-SA"/>
              </w:rPr>
              <w:t>软件和信息技术服务业</w:t>
            </w:r>
            <w:r>
              <w:rPr>
                <w:rFonts w:hint="eastAsia" w:ascii="仿宋" w:hAnsi="仿宋" w:eastAsia="仿宋" w:cs="仿宋"/>
                <w:color w:val="auto"/>
                <w:kern w:val="0"/>
                <w:sz w:val="24"/>
                <w:szCs w:val="24"/>
                <w:lang w:val="en-US" w:eastAsia="zh-CN" w:bidi="ar-SA"/>
              </w:rPr>
              <w:t xml:space="preserve"> 。</w:t>
            </w:r>
            <w:bookmarkEnd w:id="1"/>
          </w:p>
          <w:p>
            <w:pPr>
              <w:numPr>
                <w:ilvl w:val="0"/>
                <w:numId w:val="1"/>
              </w:numPr>
              <w:spacing w:before="0" w:after="0" w:afterAutospacing="0" w:line="400" w:lineRule="exac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w:t>
            </w:r>
          </w:p>
          <w:p>
            <w:pPr>
              <w:numPr>
                <w:ilvl w:val="0"/>
                <w:numId w:val="0"/>
              </w:numPr>
              <w:spacing w:before="0" w:after="0" w:afterAutospacing="0" w:line="400" w:lineRule="exact"/>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三章“ 投标文件的组成及格式”中提供的格式）。</w:t>
            </w:r>
          </w:p>
          <w:p>
            <w:pP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（4）享受价格扣除获得政府采购合同的，小微企业不得将合同分包给大中型企业。</w:t>
            </w:r>
          </w:p>
        </w:tc>
      </w:tr>
    </w:tbl>
    <w:p>
      <w:pPr>
        <w:pStyle w:val="16"/>
        <w:shd w:val="clear" w:color="auto" w:fill="FFFFFF"/>
        <w:rPr>
          <w:rFonts w:hint="eastAsia" w:ascii="仿宋" w:hAnsi="仿宋" w:eastAsia="仿宋" w:cs="仿宋"/>
          <w:color w:val="auto"/>
          <w:kern w:val="2"/>
          <w:sz w:val="24"/>
          <w:szCs w:val="24"/>
        </w:rPr>
      </w:pPr>
    </w:p>
    <w:tbl>
      <w:tblPr>
        <w:tblStyle w:val="19"/>
        <w:tblW w:w="93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15"/>
        <w:gridCol w:w="1528"/>
        <w:gridCol w:w="1139"/>
        <w:gridCol w:w="62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182" w:type="dxa"/>
            <w:gridSpan w:val="3"/>
            <w:tcMar>
              <w:top w:w="0" w:type="dxa"/>
              <w:left w:w="108" w:type="dxa"/>
              <w:bottom w:w="0" w:type="dxa"/>
              <w:right w:w="108" w:type="dxa"/>
            </w:tcMar>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评分项</w:t>
            </w:r>
          </w:p>
        </w:tc>
        <w:tc>
          <w:tcPr>
            <w:tcW w:w="6208" w:type="dxa"/>
            <w:tcMar>
              <w:top w:w="0" w:type="dxa"/>
              <w:left w:w="108" w:type="dxa"/>
              <w:bottom w:w="0" w:type="dxa"/>
              <w:right w:w="108" w:type="dxa"/>
            </w:tcMar>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3182" w:type="dxa"/>
            <w:gridSpan w:val="3"/>
            <w:tcMar>
              <w:top w:w="0" w:type="dxa"/>
              <w:left w:w="108" w:type="dxa"/>
              <w:bottom w:w="0" w:type="dxa"/>
              <w:right w:w="108" w:type="dxa"/>
            </w:tcMar>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价格</w:t>
            </w:r>
          </w:p>
        </w:tc>
        <w:tc>
          <w:tcPr>
            <w:tcW w:w="6208" w:type="dxa"/>
            <w:tcMar>
              <w:top w:w="0" w:type="dxa"/>
              <w:left w:w="108" w:type="dxa"/>
              <w:bottom w:w="0" w:type="dxa"/>
              <w:right w:w="108" w:type="dxa"/>
            </w:tcMar>
            <w:vAlign w:val="center"/>
          </w:tcPr>
          <w:p>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9390" w:type="dxa"/>
            <w:gridSpan w:val="4"/>
            <w:tcMar>
              <w:top w:w="0" w:type="dxa"/>
              <w:left w:w="108" w:type="dxa"/>
              <w:bottom w:w="0" w:type="dxa"/>
              <w:right w:w="108" w:type="dxa"/>
            </w:tcMar>
            <w:vAlign w:val="center"/>
          </w:tcPr>
          <w:p>
            <w:pPr>
              <w:spacing w:line="400" w:lineRule="exact"/>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满足招标文件要求且投标价格最低的投标报价为评标价基准价，其价格分为满分。价格分计算公式：投标报价得分=(评标基准价/有效投标报价)×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182" w:type="dxa"/>
            <w:gridSpan w:val="3"/>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技术部分</w:t>
            </w:r>
          </w:p>
        </w:tc>
        <w:tc>
          <w:tcPr>
            <w:tcW w:w="6208" w:type="dxa"/>
            <w:tcMar>
              <w:top w:w="0" w:type="dxa"/>
              <w:left w:w="108" w:type="dxa"/>
              <w:bottom w:w="0" w:type="dxa"/>
              <w:right w:w="108" w:type="dxa"/>
            </w:tcMar>
            <w:vAlign w:val="center"/>
          </w:tcPr>
          <w:p>
            <w:pPr>
              <w:spacing w:line="40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8" w:type="dxa"/>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评分因素</w:t>
            </w:r>
          </w:p>
        </w:tc>
        <w:tc>
          <w:tcPr>
            <w:tcW w:w="1139" w:type="dxa"/>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权重</w:t>
            </w:r>
          </w:p>
        </w:tc>
        <w:tc>
          <w:tcPr>
            <w:tcW w:w="6208" w:type="dxa"/>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28" w:type="dxa"/>
            <w:tcMar>
              <w:top w:w="0" w:type="dxa"/>
              <w:left w:w="108" w:type="dxa"/>
              <w:bottom w:w="0" w:type="dxa"/>
              <w:right w:w="108" w:type="dxa"/>
            </w:tcMar>
            <w:vAlign w:val="center"/>
          </w:tcPr>
          <w:p>
            <w:pPr>
              <w:shd w:val="clear" w:color="auto" w:fill="auto"/>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项目服务方案</w:t>
            </w:r>
          </w:p>
        </w:tc>
        <w:tc>
          <w:tcPr>
            <w:tcW w:w="1139" w:type="dxa"/>
            <w:tcMar>
              <w:top w:w="0" w:type="dxa"/>
              <w:left w:w="108" w:type="dxa"/>
              <w:bottom w:w="0" w:type="dxa"/>
              <w:right w:w="108" w:type="dxa"/>
            </w:tcMar>
            <w:vAlign w:val="center"/>
          </w:tcPr>
          <w:p>
            <w:pPr>
              <w:shd w:val="clear" w:color="auto" w:fill="auto"/>
              <w:spacing w:after="160" w:line="2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6208" w:type="dxa"/>
            <w:tcMar>
              <w:top w:w="0" w:type="dxa"/>
              <w:left w:w="108" w:type="dxa"/>
              <w:bottom w:w="0" w:type="dxa"/>
              <w:right w:w="108" w:type="dxa"/>
            </w:tcMar>
            <w:vAlign w:val="center"/>
          </w:tcPr>
          <w:p>
            <w:pPr>
              <w:numPr>
                <w:ilvl w:val="0"/>
                <w:numId w:val="2"/>
              </w:num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评分内容：</w:t>
            </w:r>
          </w:p>
          <w:p>
            <w:pPr>
              <w:numPr>
                <w:ilvl w:val="0"/>
                <w:numId w:val="0"/>
              </w:numPr>
              <w:shd w:val="clear" w:color="auto" w:fill="auto"/>
              <w:jc w:val="left"/>
              <w:rPr>
                <w:rStyle w:val="42"/>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投标人应充分了解本项目的具体服务范围及技术要求，在投标文件中详细说明服务方案，包含以下内容：</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1.项目需求分析；</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2.项目建设总体思路</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3.项目技术方案设计等。</w:t>
            </w:r>
          </w:p>
          <w:p>
            <w:pPr>
              <w:shd w:val="clear" w:color="auto" w:fill="auto"/>
              <w:jc w:val="left"/>
              <w:rPr>
                <w:rFonts w:hint="eastAsia" w:ascii="仿宋" w:hAnsi="仿宋" w:eastAsia="仿宋" w:cs="仿宋"/>
                <w:color w:val="auto"/>
                <w:sz w:val="24"/>
                <w:szCs w:val="24"/>
                <w:highlight w:val="none"/>
              </w:rPr>
            </w:pPr>
            <w:r>
              <w:rPr>
                <w:rStyle w:val="42"/>
                <w:rFonts w:hint="eastAsia" w:ascii="仿宋" w:hAnsi="仿宋" w:eastAsia="仿宋" w:cs="仿宋"/>
                <w:b/>
                <w:bCs/>
                <w:color w:val="auto"/>
                <w:sz w:val="24"/>
                <w:szCs w:val="24"/>
                <w:highlight w:val="none"/>
              </w:rPr>
              <w:t>（二）评分</w:t>
            </w:r>
            <w:r>
              <w:rPr>
                <w:rStyle w:val="42"/>
                <w:rFonts w:hint="eastAsia" w:ascii="仿宋" w:hAnsi="仿宋" w:eastAsia="仿宋" w:cs="仿宋"/>
                <w:b/>
                <w:bCs/>
                <w:color w:val="auto"/>
                <w:sz w:val="24"/>
                <w:szCs w:val="24"/>
                <w:highlight w:val="none"/>
                <w:lang w:val="en-US"/>
              </w:rPr>
              <w:t>依据</w:t>
            </w:r>
            <w:r>
              <w:rPr>
                <w:rStyle w:val="42"/>
                <w:rFonts w:hint="eastAsia" w:ascii="仿宋" w:hAnsi="仿宋" w:eastAsia="仿宋" w:cs="仿宋"/>
                <w:b/>
                <w:bCs/>
                <w:color w:val="auto"/>
                <w:sz w:val="24"/>
                <w:szCs w:val="24"/>
                <w:highlight w:val="none"/>
              </w:rPr>
              <w:t>：</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1.投标文件满足评审内容情况，本项最高得 6分。</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（1）考察以上3点，满足一点得 2分，满分6分。</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（2）考察点全部不满足，不得分。</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2.在此基础上，根据以下指标进行评分，本项最高得4分。</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（1）服务方案内容全面；</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（2）服务方案内容具体；</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（3）服务方案内容科学合理；</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（4）服务方案内容针对性强；</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（5）服务方案内容可操作性强；</w:t>
            </w:r>
          </w:p>
          <w:p>
            <w:pPr>
              <w:shd w:val="clear" w:color="auto" w:fill="auto"/>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满足以上五项要求的评价为优，得4分；满足以上四项要求的评价为良，得3分；满足以上三项要求的评价为中，得2分；其它情况的评价为差，不得分。</w:t>
            </w:r>
          </w:p>
          <w:p>
            <w:pPr>
              <w:shd w:val="clear" w:color="auto" w:fill="auto"/>
              <w:snapToGrid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投标人提供的项目服务方案进行</w:t>
            </w:r>
            <w:r>
              <w:rPr>
                <w:rFonts w:hint="eastAsia" w:ascii="仿宋" w:hAnsi="仿宋" w:eastAsia="仿宋" w:cs="仿宋"/>
                <w:bCs/>
                <w:color w:val="auto"/>
                <w:sz w:val="24"/>
                <w:szCs w:val="24"/>
                <w:highlight w:val="none"/>
              </w:rPr>
              <w:t>评审</w:t>
            </w:r>
            <w:r>
              <w:rPr>
                <w:rFonts w:hint="eastAsia" w:ascii="仿宋" w:hAnsi="仿宋" w:eastAsia="仿宋" w:cs="仿宋"/>
                <w:color w:val="auto"/>
                <w:sz w:val="24"/>
                <w:szCs w:val="24"/>
                <w:highlight w:val="none"/>
              </w:rPr>
              <w:t>：</w:t>
            </w:r>
          </w:p>
          <w:p>
            <w:pPr>
              <w:widowControl/>
              <w:shd w:val="clear" w:color="auto" w:fill="auto"/>
              <w:wordWrap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sz w:val="24"/>
                <w:szCs w:val="24"/>
                <w:highlight w:val="none"/>
              </w:rPr>
              <w:t>服务方案及可行性分析</w:t>
            </w:r>
            <w:r>
              <w:rPr>
                <w:rFonts w:hint="eastAsia" w:ascii="仿宋" w:hAnsi="仿宋" w:eastAsia="仿宋" w:cs="仿宋"/>
                <w:color w:val="auto"/>
                <w:kern w:val="0"/>
                <w:sz w:val="24"/>
                <w:szCs w:val="24"/>
                <w:highlight w:val="none"/>
              </w:rPr>
              <w:t>内容全面</w:t>
            </w:r>
            <w:r>
              <w:rPr>
                <w:rFonts w:hint="eastAsia" w:ascii="仿宋" w:hAnsi="仿宋" w:eastAsia="仿宋" w:cs="仿宋"/>
                <w:color w:val="auto"/>
                <w:kern w:val="0"/>
                <w:sz w:val="24"/>
                <w:szCs w:val="24"/>
                <w:highlight w:val="none"/>
                <w:lang w:val="en-US" w:eastAsia="zh-CN"/>
              </w:rPr>
              <w:t>合理为优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rPr>
              <w:t>；</w:t>
            </w:r>
          </w:p>
          <w:p>
            <w:pPr>
              <w:widowControl/>
              <w:shd w:val="clear" w:color="auto" w:fill="auto"/>
              <w:wordWrap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服务方案及可行性分析</w:t>
            </w:r>
            <w:r>
              <w:rPr>
                <w:rFonts w:hint="eastAsia" w:ascii="仿宋" w:hAnsi="仿宋" w:eastAsia="仿宋" w:cs="仿宋"/>
                <w:color w:val="auto"/>
                <w:kern w:val="0"/>
                <w:sz w:val="24"/>
                <w:szCs w:val="24"/>
                <w:highlight w:val="none"/>
              </w:rPr>
              <w:t>内容</w:t>
            </w:r>
            <w:r>
              <w:rPr>
                <w:rFonts w:hint="eastAsia" w:ascii="仿宋" w:hAnsi="仿宋" w:eastAsia="仿宋" w:cs="仿宋"/>
                <w:color w:val="auto"/>
                <w:kern w:val="0"/>
                <w:sz w:val="24"/>
                <w:szCs w:val="24"/>
                <w:highlight w:val="none"/>
                <w:lang w:val="en-US" w:eastAsia="zh-CN"/>
              </w:rPr>
              <w:t>较合理为良</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rPr>
              <w:t>；</w:t>
            </w:r>
          </w:p>
          <w:p>
            <w:pPr>
              <w:widowControl/>
              <w:shd w:val="clear" w:color="auto" w:fill="auto"/>
              <w:wordWrap w:val="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服务方案及可行性分析</w:t>
            </w:r>
            <w:r>
              <w:rPr>
                <w:rFonts w:hint="eastAsia" w:ascii="仿宋" w:hAnsi="仿宋" w:eastAsia="仿宋" w:cs="仿宋"/>
                <w:color w:val="auto"/>
                <w:sz w:val="24"/>
                <w:szCs w:val="24"/>
                <w:highlight w:val="none"/>
                <w:lang w:val="en-US" w:eastAsia="zh-CN"/>
              </w:rPr>
              <w:t>内容基本合理为中，得5分；</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服务方案及可行性分析内容</w:t>
            </w:r>
            <w:r>
              <w:rPr>
                <w:rFonts w:hint="eastAsia" w:ascii="仿宋" w:hAnsi="仿宋" w:eastAsia="仿宋" w:cs="仿宋"/>
                <w:color w:val="auto"/>
                <w:sz w:val="24"/>
                <w:szCs w:val="24"/>
                <w:highlight w:val="none"/>
                <w:lang w:val="en-US" w:eastAsia="zh-CN"/>
              </w:rPr>
              <w:t>不合理为差，</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widowControl/>
              <w:shd w:val="clear" w:color="auto" w:fill="auto"/>
              <w:wordWrap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备注：不提供方案不得分。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28" w:type="dxa"/>
            <w:tcMar>
              <w:top w:w="0" w:type="dxa"/>
              <w:left w:w="108" w:type="dxa"/>
              <w:bottom w:w="0" w:type="dxa"/>
              <w:right w:w="108" w:type="dxa"/>
            </w:tcMar>
            <w:vAlign w:val="center"/>
          </w:tcPr>
          <w:p>
            <w:pPr>
              <w:widowControl/>
              <w:shd w:val="clear" w:color="auto" w:fill="auto"/>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质量保障措施</w:t>
            </w:r>
          </w:p>
        </w:tc>
        <w:tc>
          <w:tcPr>
            <w:tcW w:w="1139" w:type="dxa"/>
            <w:tcMar>
              <w:top w:w="0" w:type="dxa"/>
              <w:left w:w="108" w:type="dxa"/>
              <w:bottom w:w="0" w:type="dxa"/>
              <w:right w:w="108" w:type="dxa"/>
            </w:tcMar>
            <w:vAlign w:val="center"/>
          </w:tcPr>
          <w:p>
            <w:pPr>
              <w:widowControl/>
              <w:shd w:val="clear" w:color="auto" w:fill="auto"/>
              <w:wordWrap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6208" w:type="dxa"/>
            <w:tcMar>
              <w:top w:w="0" w:type="dxa"/>
              <w:left w:w="108" w:type="dxa"/>
              <w:bottom w:w="0" w:type="dxa"/>
              <w:right w:w="108" w:type="dxa"/>
            </w:tcMar>
            <w:vAlign w:val="center"/>
          </w:tcPr>
          <w:p>
            <w:p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（一）评分内容：</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在投标文件中详细说明质量保障措施，包含以下内容：</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1.技术方案的质量保障措施；</w:t>
            </w:r>
          </w:p>
          <w:p>
            <w:pPr>
              <w:shd w:val="clear" w:color="auto" w:fill="auto"/>
              <w:jc w:val="left"/>
              <w:rPr>
                <w:rStyle w:val="42"/>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2.技术管理、实施、服务、培训人员配置等质量保障措施。</w:t>
            </w:r>
            <w:r>
              <w:rPr>
                <w:rStyle w:val="42"/>
                <w:rFonts w:hint="eastAsia" w:ascii="仿宋" w:hAnsi="仿宋" w:eastAsia="仿宋" w:cs="仿宋"/>
                <w:b/>
                <w:bCs/>
                <w:color w:val="auto"/>
                <w:sz w:val="24"/>
                <w:szCs w:val="24"/>
                <w:highlight w:val="none"/>
              </w:rPr>
              <w:t>（二）评分依据：</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1.投标文件满足评审内容情况，本项最高得 2分。</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（1）考察以上2点，满足一点得 1分，满分2分。</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（2）考察点全部不满足，不得分。</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2.在此基础上，根据以下指标进行评分，本项最高得3分。</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（1）技术保障措施内容全面；</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（2）技术保障措施内容具体；</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（3）技术保障措施内容科学合理；</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（4）技术保障措施内容针对性强；</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（5）技术保障措施内容可操作性强；</w:t>
            </w:r>
          </w:p>
          <w:p>
            <w:pPr>
              <w:widowControl/>
              <w:shd w:val="clear" w:color="auto" w:fill="auto"/>
              <w:wordWrap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满足以上五项要求的评价为优，得3分；满足以上四项要求的评价为良，得2分；满足以上三项要求的评价为中，得1分；其它情况的评价为差，不得分。</w:t>
            </w:r>
          </w:p>
          <w:p>
            <w:pPr>
              <w:widowControl/>
              <w:shd w:val="clear" w:color="auto" w:fill="auto"/>
              <w:wordWrap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97"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28" w:type="dxa"/>
            <w:tcMar>
              <w:top w:w="0" w:type="dxa"/>
              <w:left w:w="108" w:type="dxa"/>
              <w:bottom w:w="0" w:type="dxa"/>
              <w:right w:w="108" w:type="dxa"/>
            </w:tcMar>
            <w:vAlign w:val="center"/>
          </w:tcPr>
          <w:p>
            <w:pPr>
              <w:shd w:val="clear" w:color="auto" w:fill="auto"/>
              <w:spacing w:line="2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项目重点难点分析、应对措施及相关的合理化</w:t>
            </w:r>
            <w:r>
              <w:rPr>
                <w:rFonts w:hint="eastAsia" w:ascii="仿宋" w:hAnsi="仿宋" w:eastAsia="仿宋" w:cs="仿宋"/>
                <w:color w:val="auto"/>
                <w:sz w:val="24"/>
                <w:szCs w:val="24"/>
                <w:highlight w:val="none"/>
                <w:lang w:val="en-US" w:eastAsia="zh-CN"/>
              </w:rPr>
              <w:t>建议</w:t>
            </w:r>
          </w:p>
        </w:tc>
        <w:tc>
          <w:tcPr>
            <w:tcW w:w="1139" w:type="dxa"/>
            <w:tcMar>
              <w:top w:w="0" w:type="dxa"/>
              <w:left w:w="108" w:type="dxa"/>
              <w:bottom w:w="0" w:type="dxa"/>
              <w:right w:w="108" w:type="dxa"/>
            </w:tcMar>
            <w:vAlign w:val="center"/>
          </w:tcPr>
          <w:p>
            <w:pPr>
              <w:shd w:val="clear" w:color="auto" w:fill="auto"/>
              <w:spacing w:after="16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208" w:type="dxa"/>
            <w:tcMar>
              <w:top w:w="0" w:type="dxa"/>
              <w:left w:w="108" w:type="dxa"/>
              <w:bottom w:w="0" w:type="dxa"/>
              <w:right w:w="108" w:type="dxa"/>
            </w:tcMar>
            <w:vAlign w:val="center"/>
          </w:tcPr>
          <w:p>
            <w:p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（一）评分内容：</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1.项目重难点的分析；</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2.应对措施；</w:t>
            </w:r>
          </w:p>
          <w:p>
            <w:pPr>
              <w:shd w:val="clear" w:color="auto" w:fill="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3.相关的合理化建议。</w:t>
            </w:r>
          </w:p>
          <w:p>
            <w:p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（二）评分依据：</w:t>
            </w:r>
          </w:p>
          <w:p>
            <w:pPr>
              <w:shd w:val="clear" w:color="auto" w:fill="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1.优评分标准：对重难点理解准确全面，有针对性详细分析，且能提出符合实际且可行性强的应对措施，得5分；</w:t>
            </w:r>
          </w:p>
          <w:p>
            <w:pPr>
              <w:shd w:val="clear" w:color="auto" w:fill="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2.良评分标准：对重难点理解不准确但进行了针对性详细分析或对重难点理解准确但对重难点分析不全面，应对措施详细但不能完全贴合实际或可行性不强，得3分；</w:t>
            </w:r>
          </w:p>
          <w:p>
            <w:pPr>
              <w:shd w:val="clear" w:color="auto" w:fill="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3.中评分标准：对重难点理解不准确且重难点分析不全面，应对措施简要且不能贴合实际的，得2分；</w:t>
            </w:r>
          </w:p>
          <w:p>
            <w:pPr>
              <w:shd w:val="clear" w:color="auto" w:fill="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4.差评分标准：没有正确理解重难点且没有详细分析，应对措施不符合实际的，得1分；</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97"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28" w:type="dxa"/>
            <w:tcMar>
              <w:top w:w="0" w:type="dxa"/>
              <w:left w:w="108" w:type="dxa"/>
              <w:bottom w:w="0" w:type="dxa"/>
              <w:right w:w="108" w:type="dxa"/>
            </w:tcMar>
            <w:vAlign w:val="center"/>
          </w:tcPr>
          <w:p>
            <w:pPr>
              <w:shd w:val="clear" w:color="auto" w:fill="auto"/>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技术参数响应评分</w:t>
            </w:r>
          </w:p>
        </w:tc>
        <w:tc>
          <w:tcPr>
            <w:tcW w:w="1139" w:type="dxa"/>
            <w:tcMar>
              <w:top w:w="0" w:type="dxa"/>
              <w:left w:w="108" w:type="dxa"/>
              <w:bottom w:w="0" w:type="dxa"/>
              <w:right w:w="108" w:type="dxa"/>
            </w:tcMar>
            <w:vAlign w:val="center"/>
          </w:tcPr>
          <w:p>
            <w:pPr>
              <w:shd w:val="clear" w:color="auto" w:fill="auto"/>
              <w:spacing w:after="16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208" w:type="dxa"/>
            <w:tcMar>
              <w:top w:w="0" w:type="dxa"/>
              <w:left w:w="108" w:type="dxa"/>
              <w:bottom w:w="0" w:type="dxa"/>
              <w:right w:w="108" w:type="dxa"/>
            </w:tcMar>
            <w:vAlign w:val="center"/>
          </w:tcPr>
          <w:p>
            <w:p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（一）评分内容：</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重要</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服务要求</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评审标准：每1项负偏离，扣 2 分；</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注有▲的服务参数为重要服务要求。</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服务要求</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评审标准：每1项负偏离，扣 1 分；</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扣完为止。</w:t>
            </w:r>
          </w:p>
          <w:p>
            <w:pPr>
              <w:shd w:val="clear" w:color="auto" w:fill="auto"/>
              <w:jc w:val="left"/>
              <w:rPr>
                <w:rStyle w:val="42"/>
                <w:rFonts w:hint="eastAsia" w:ascii="仿宋" w:hAnsi="仿宋" w:eastAsia="仿宋" w:cs="仿宋"/>
                <w:b/>
                <w:bCs/>
                <w:color w:val="auto"/>
                <w:sz w:val="24"/>
                <w:szCs w:val="24"/>
                <w:highlight w:val="none"/>
              </w:rPr>
            </w:pPr>
            <w:r>
              <w:rPr>
                <w:rStyle w:val="42"/>
                <w:rFonts w:hint="eastAsia" w:ascii="仿宋" w:hAnsi="仿宋" w:eastAsia="仿宋" w:cs="仿宋"/>
                <w:b/>
                <w:bCs/>
                <w:color w:val="auto"/>
                <w:sz w:val="24"/>
                <w:szCs w:val="24"/>
                <w:highlight w:val="none"/>
              </w:rPr>
              <w:t>（二）评分依据：</w:t>
            </w:r>
          </w:p>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技术规格偏离表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528" w:type="dxa"/>
            <w:tcMar>
              <w:top w:w="0" w:type="dxa"/>
              <w:left w:w="108" w:type="dxa"/>
              <w:bottom w:w="0" w:type="dxa"/>
              <w:right w:w="108" w:type="dxa"/>
            </w:tcMar>
            <w:vAlign w:val="center"/>
          </w:tcPr>
          <w:p>
            <w:pPr>
              <w:widowControl/>
              <w:spacing w:line="276"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拟派本项目的服务人数、服务人员素质</w:t>
            </w:r>
          </w:p>
        </w:tc>
        <w:tc>
          <w:tcPr>
            <w:tcW w:w="1139" w:type="dxa"/>
            <w:tcMar>
              <w:top w:w="0" w:type="dxa"/>
              <w:left w:w="108" w:type="dxa"/>
              <w:bottom w:w="0" w:type="dxa"/>
              <w:right w:w="108" w:type="dxa"/>
            </w:tcMar>
            <w:vAlign w:val="center"/>
          </w:tcPr>
          <w:p>
            <w:pPr>
              <w:shd w:val="clear" w:color="auto" w:fill="auto"/>
              <w:spacing w:after="16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8</w:t>
            </w:r>
          </w:p>
        </w:tc>
        <w:tc>
          <w:tcPr>
            <w:tcW w:w="6208" w:type="dxa"/>
            <w:tcMar>
              <w:top w:w="0" w:type="dxa"/>
              <w:left w:w="108" w:type="dxa"/>
              <w:bottom w:w="0" w:type="dxa"/>
              <w:right w:w="108" w:type="dxa"/>
            </w:tcMar>
            <w:vAlign w:val="center"/>
          </w:tcPr>
          <w:p>
            <w:pPr>
              <w:widowControl/>
              <w:shd w:val="clear" w:color="auto" w:fill="auto"/>
              <w:wordWrap w:val="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pPr>
              <w:widowControl/>
              <w:shd w:val="clear" w:color="auto" w:fill="auto"/>
              <w:wordWrap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1.拟派本项目负责人：</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（1）负责人具本科或以上学历；</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（2）负责人具有CISAW信息安全保障人员认证证书；</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（3）负责人具有高级信息化工程师证书；</w:t>
            </w:r>
          </w:p>
          <w:p>
            <w:pPr>
              <w:widowControl/>
              <w:shd w:val="clear" w:color="auto" w:fill="auto"/>
              <w:wordWrap w:val="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（4）负责人具有与本项目相关3年及以上的从业经验。</w:t>
            </w:r>
            <w:r>
              <w:rPr>
                <w:rFonts w:hint="eastAsia" w:ascii="仿宋" w:hAnsi="仿宋" w:eastAsia="仿宋" w:cs="仿宋"/>
                <w:b/>
                <w:bCs/>
                <w:color w:val="auto"/>
                <w:sz w:val="24"/>
                <w:szCs w:val="24"/>
                <w:highlight w:val="none"/>
                <w:lang w:val="en-US" w:eastAsia="zh-CN"/>
              </w:rPr>
              <w:t>2.项目团队成员（不含项目负责人）：</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（1）具有大专或以上学历；</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（2）具有注册信息安全专业人员（CISP）证书；</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（3）具有服务器安全管理系统的投标人或生产厂家认证的相关安全工程师证书；</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（4）具有与本项目相关1年及以上的从业经验。</w:t>
            </w:r>
          </w:p>
          <w:p>
            <w:pPr>
              <w:widowControl/>
              <w:shd w:val="clear" w:color="auto" w:fill="auto"/>
              <w:wordWrap w:val="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（二）评分依据：</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学位或学历证书复印件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2.提供相关职称证书复印件。</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3.提供上述人员的从业经验年限的承诺函（格式自拟，加盖投标人公章）；</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上述人员近3个月中任意1个月投标方为其购买的社保证明；如开标日近3个月中任意1个月的社保材料因社保部门或税务部门原因暂时无法取得，则可以往前顺延1个月；如投标方注册成立时间不足1个月的，可提供承诺函（格式自拟，加盖投标人公章）。退休返聘人员提供相关人员退休证及劳动合同。</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5.每提供1项评分内容的有效证明得1分。</w:t>
            </w:r>
          </w:p>
          <w:p>
            <w:pPr>
              <w:widowControl/>
              <w:shd w:val="clear" w:color="auto" w:fill="auto"/>
              <w:wordWrap w:val="0"/>
              <w:jc w:val="left"/>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6.未提供或提供的不符合或提供不清晰导致无法判断的均不得分。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515" w:type="dxa"/>
            <w:tcMar>
              <w:top w:w="0" w:type="dxa"/>
              <w:left w:w="108" w:type="dxa"/>
              <w:bottom w:w="0" w:type="dxa"/>
              <w:right w:w="108" w:type="dxa"/>
            </w:tcMar>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28" w:type="dxa"/>
            <w:tcMar>
              <w:top w:w="0" w:type="dxa"/>
              <w:left w:w="108" w:type="dxa"/>
              <w:bottom w:w="0" w:type="dxa"/>
              <w:right w:w="108" w:type="dxa"/>
            </w:tcMar>
            <w:vAlign w:val="center"/>
          </w:tcPr>
          <w:p>
            <w:pPr>
              <w:widowControl/>
              <w:spacing w:line="276"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应急响应情况</w:t>
            </w:r>
          </w:p>
        </w:tc>
        <w:tc>
          <w:tcPr>
            <w:tcW w:w="1139" w:type="dxa"/>
            <w:tcMar>
              <w:top w:w="0" w:type="dxa"/>
              <w:left w:w="108" w:type="dxa"/>
              <w:bottom w:w="0" w:type="dxa"/>
              <w:right w:w="108" w:type="dxa"/>
            </w:tcMar>
            <w:vAlign w:val="center"/>
          </w:tcPr>
          <w:p>
            <w:pPr>
              <w:shd w:val="clear" w:color="auto" w:fill="auto"/>
              <w:spacing w:after="16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6208" w:type="dxa"/>
            <w:tcMar>
              <w:top w:w="0" w:type="dxa"/>
              <w:left w:w="108" w:type="dxa"/>
              <w:bottom w:w="0" w:type="dxa"/>
              <w:right w:w="108" w:type="dxa"/>
            </w:tcMar>
            <w:vAlign w:val="center"/>
          </w:tcPr>
          <w:p>
            <w:pPr>
              <w:widowControl/>
              <w:shd w:val="clear" w:color="auto" w:fill="auto"/>
              <w:wordWrap w:val="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应急响应情况：投标方承诺服务应急响应情况承诺：</w:t>
            </w:r>
          </w:p>
          <w:p>
            <w:pPr>
              <w:widowControl/>
              <w:numPr>
                <w:ilvl w:val="0"/>
                <w:numId w:val="3"/>
              </w:numPr>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1小时内响应并处理的得3分；</w:t>
            </w:r>
          </w:p>
          <w:p>
            <w:pPr>
              <w:widowControl/>
              <w:numPr>
                <w:ilvl w:val="0"/>
                <w:numId w:val="3"/>
              </w:numPr>
              <w:shd w:val="clear" w:color="auto" w:fill="auto"/>
              <w:wordWrap w:val="0"/>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≥1小时到2小时内响应并处理的得2分；</w:t>
            </w:r>
          </w:p>
          <w:p>
            <w:pPr>
              <w:widowControl/>
              <w:numPr>
                <w:ilvl w:val="0"/>
                <w:numId w:val="3"/>
              </w:numPr>
              <w:shd w:val="clear" w:color="auto" w:fill="auto"/>
              <w:wordWrap w:val="0"/>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≥2小时以上响应并处理的得1分。</w:t>
            </w:r>
          </w:p>
          <w:p>
            <w:pPr>
              <w:widowControl/>
              <w:shd w:val="clear" w:color="auto" w:fill="auto"/>
              <w:wordWrap w:val="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（二）评分依据：</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1.提供承诺函（格式自拟，加盖投标人公章）；</w:t>
            </w:r>
          </w:p>
          <w:p>
            <w:pPr>
              <w:widowControl/>
              <w:shd w:val="clear" w:color="auto" w:fill="auto"/>
              <w:wordWrap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90" w:hRule="atLeast"/>
          <w:jc w:val="center"/>
        </w:trPr>
        <w:tc>
          <w:tcPr>
            <w:tcW w:w="3182" w:type="dxa"/>
            <w:gridSpan w:val="3"/>
            <w:tcMar>
              <w:top w:w="0" w:type="dxa"/>
              <w:left w:w="108" w:type="dxa"/>
              <w:bottom w:w="0" w:type="dxa"/>
              <w:right w:w="108" w:type="dxa"/>
            </w:tcMar>
            <w:vAlign w:val="center"/>
          </w:tcPr>
          <w:p>
            <w:pPr>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商务部分</w:t>
            </w:r>
          </w:p>
        </w:tc>
        <w:tc>
          <w:tcPr>
            <w:tcW w:w="6208" w:type="dxa"/>
            <w:tcMar>
              <w:top w:w="0" w:type="dxa"/>
              <w:left w:w="108" w:type="dxa"/>
              <w:bottom w:w="0" w:type="dxa"/>
              <w:right w:w="108" w:type="dxa"/>
            </w:tcMar>
            <w:vAlign w:val="center"/>
          </w:tcPr>
          <w:p>
            <w:pPr>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8" w:type="dxa"/>
            <w:tcMar>
              <w:top w:w="0" w:type="dxa"/>
              <w:left w:w="108" w:type="dxa"/>
              <w:bottom w:w="0" w:type="dxa"/>
              <w:right w:w="108" w:type="dxa"/>
            </w:tcMar>
            <w:vAlign w:val="center"/>
          </w:tcPr>
          <w:p>
            <w:pPr>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评分因素</w:t>
            </w:r>
          </w:p>
        </w:tc>
        <w:tc>
          <w:tcPr>
            <w:tcW w:w="1139" w:type="dxa"/>
            <w:tcMar>
              <w:top w:w="0" w:type="dxa"/>
              <w:left w:w="108" w:type="dxa"/>
              <w:bottom w:w="0" w:type="dxa"/>
              <w:right w:w="108" w:type="dxa"/>
            </w:tcMar>
            <w:vAlign w:val="center"/>
          </w:tcPr>
          <w:p>
            <w:pPr>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权重</w:t>
            </w:r>
          </w:p>
        </w:tc>
        <w:tc>
          <w:tcPr>
            <w:tcW w:w="6208" w:type="dxa"/>
            <w:tcMar>
              <w:top w:w="0" w:type="dxa"/>
              <w:left w:w="108" w:type="dxa"/>
              <w:bottom w:w="0" w:type="dxa"/>
              <w:right w:w="108" w:type="dxa"/>
            </w:tcMar>
            <w:vAlign w:val="center"/>
          </w:tcPr>
          <w:p>
            <w:pPr>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716"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1528" w:type="dxa"/>
            <w:tcMar>
              <w:top w:w="0" w:type="dxa"/>
              <w:left w:w="108" w:type="dxa"/>
              <w:bottom w:w="0" w:type="dxa"/>
              <w:right w:w="108" w:type="dxa"/>
            </w:tcMar>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同类项目业绩</w:t>
            </w:r>
          </w:p>
        </w:tc>
        <w:tc>
          <w:tcPr>
            <w:tcW w:w="1139" w:type="dxa"/>
            <w:tcMar>
              <w:top w:w="0" w:type="dxa"/>
              <w:left w:w="108" w:type="dxa"/>
              <w:bottom w:w="0" w:type="dxa"/>
              <w:right w:w="108" w:type="dxa"/>
            </w:tcMar>
            <w:vAlign w:val="center"/>
          </w:tcPr>
          <w:p>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208" w:type="dxa"/>
            <w:tcMar>
              <w:top w:w="0" w:type="dxa"/>
              <w:left w:w="108" w:type="dxa"/>
              <w:bottom w:w="0" w:type="dxa"/>
              <w:right w:w="108" w:type="dxa"/>
            </w:tcMar>
            <w:vAlign w:val="center"/>
          </w:tcPr>
          <w:p>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（一）评分内容：</w:t>
            </w:r>
          </w:p>
          <w:p>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2020年1月1日至</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投标截止</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合同签订时间为准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同类项目业绩情况，每提供</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个有效业绩得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numPr>
                <w:ilvl w:val="0"/>
                <w:numId w:val="0"/>
              </w:numPr>
              <w:spacing w:line="240" w:lineRule="auto"/>
              <w:ind w:lef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评分依据：</w:t>
            </w:r>
          </w:p>
          <w:p>
            <w:pPr>
              <w:numPr>
                <w:ilvl w:val="0"/>
                <w:numId w:val="0"/>
              </w:numPr>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投标方同时提供：每项业绩须按以下要求提供完整准确的证明文件，一年一签的长期服务续签合同只计算一个业绩：</w:t>
            </w:r>
          </w:p>
          <w:p>
            <w:pPr>
              <w:numPr>
                <w:ilvl w:val="0"/>
                <w:numId w:val="0"/>
              </w:numPr>
              <w:spacing w:line="240" w:lineRule="auto"/>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1.合同关键页（包括但不限于：合同名称页、合同主要内容页、合同签订日期页、合同双方签字盖章页）；</w:t>
            </w:r>
          </w:p>
          <w:p>
            <w:pPr>
              <w:numPr>
                <w:ilvl w:val="0"/>
                <w:numId w:val="0"/>
              </w:numPr>
              <w:spacing w:line="24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3"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528" w:type="dxa"/>
            <w:tcMar>
              <w:top w:w="0" w:type="dxa"/>
              <w:left w:w="108" w:type="dxa"/>
              <w:bottom w:w="0" w:type="dxa"/>
              <w:right w:w="108" w:type="dxa"/>
            </w:tcMar>
            <w:vAlign w:val="center"/>
          </w:tcPr>
          <w:p>
            <w:pPr>
              <w:spacing w:line="276"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履约评价</w:t>
            </w:r>
          </w:p>
        </w:tc>
        <w:tc>
          <w:tcPr>
            <w:tcW w:w="1139" w:type="dxa"/>
            <w:tcMar>
              <w:top w:w="0" w:type="dxa"/>
              <w:left w:w="108" w:type="dxa"/>
              <w:bottom w:w="0" w:type="dxa"/>
              <w:right w:w="108" w:type="dxa"/>
            </w:tcMar>
            <w:vAlign w:val="center"/>
          </w:tcPr>
          <w:p>
            <w:pPr>
              <w:spacing w:line="24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6208" w:type="dxa"/>
            <w:tcMar>
              <w:top w:w="0" w:type="dxa"/>
              <w:left w:w="108" w:type="dxa"/>
              <w:bottom w:w="0" w:type="dxa"/>
              <w:right w:w="108" w:type="dxa"/>
            </w:tcMar>
            <w:vAlign w:val="center"/>
          </w:tcPr>
          <w:p>
            <w:pPr>
              <w:pStyle w:val="43"/>
              <w:spacing w:line="276" w:lineRule="auto"/>
              <w:ind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（一）评分内容：</w:t>
            </w:r>
          </w:p>
          <w:p>
            <w:pPr>
              <w:autoSpaceDE w:val="0"/>
              <w:autoSpaceDN w:val="0"/>
              <w:adjustRightInd w:val="0"/>
              <w:spacing w:line="276"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投标人在上述“同类项目业绩”评审项中参加评审并被认定有效的业绩，能够提供采购单位出具的履约评价书，且评价为优或者合格的每份评价书得1分，其他情况得0分；最高得5分。</w:t>
            </w:r>
          </w:p>
          <w:p>
            <w:pPr>
              <w:autoSpaceDE w:val="0"/>
              <w:autoSpaceDN w:val="0"/>
              <w:adjustRightInd w:val="0"/>
              <w:spacing w:line="276"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不提供或者不能有效证明的，得0分。</w:t>
            </w:r>
          </w:p>
          <w:p>
            <w:pPr>
              <w:autoSpaceDE w:val="0"/>
              <w:autoSpaceDN w:val="0"/>
              <w:adjustRightInd w:val="0"/>
              <w:spacing w:line="276"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pPr>
              <w:pStyle w:val="2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须提供用户出具的履约评价书扫描复印件，原件备查。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3" w:hRule="atLeast"/>
          <w:jc w:val="center"/>
        </w:trPr>
        <w:tc>
          <w:tcPr>
            <w:tcW w:w="515" w:type="dxa"/>
            <w:tcMar>
              <w:top w:w="0" w:type="dxa"/>
              <w:left w:w="108" w:type="dxa"/>
              <w:bottom w:w="0" w:type="dxa"/>
              <w:right w:w="108" w:type="dxa"/>
            </w:tcMar>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28" w:type="dxa"/>
            <w:tcMar>
              <w:top w:w="0" w:type="dxa"/>
              <w:left w:w="108" w:type="dxa"/>
              <w:bottom w:w="0" w:type="dxa"/>
              <w:right w:w="108" w:type="dxa"/>
            </w:tcMar>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资质证书</w:t>
            </w:r>
          </w:p>
        </w:tc>
        <w:tc>
          <w:tcPr>
            <w:tcW w:w="1139" w:type="dxa"/>
            <w:tcMar>
              <w:top w:w="0" w:type="dxa"/>
              <w:left w:w="108" w:type="dxa"/>
              <w:bottom w:w="0" w:type="dxa"/>
              <w:right w:w="108" w:type="dxa"/>
            </w:tcMar>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6208" w:type="dxa"/>
            <w:tcMar>
              <w:top w:w="0" w:type="dxa"/>
              <w:left w:w="108" w:type="dxa"/>
              <w:bottom w:w="0" w:type="dxa"/>
              <w:right w:w="108" w:type="dxa"/>
            </w:tcMar>
            <w:vAlign w:val="center"/>
          </w:tcPr>
          <w:p>
            <w:pPr>
              <w:pStyle w:val="43"/>
              <w:spacing w:line="276" w:lineRule="auto"/>
              <w:ind w:firstLine="0" w:firstLine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（一）评分内容：</w:t>
            </w:r>
          </w:p>
          <w:p>
            <w:pPr>
              <w:autoSpaceDE w:val="0"/>
              <w:autoSpaceDN w:val="0"/>
              <w:adjustRightInd w:val="0"/>
              <w:spacing w:line="276"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1.投标人提供2021年至今的赛迪顾问服务器安全市场排名报告证明材料，提供位于第一象限的证明材料得3分，其他排名得1分，未进入排名报告或未提供证明材料的不得分。</w:t>
            </w:r>
          </w:p>
          <w:p>
            <w:pPr>
              <w:autoSpaceDE w:val="0"/>
              <w:autoSpaceDN w:val="0"/>
              <w:adjustRightInd w:val="0"/>
              <w:spacing w:line="276"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2.投标人提供生产厂家的代理证书，授权级别为区域白金或行业金牌或渠道二级代理商得2分，授权级别为区域金牌得1分；无授权或未提供授权证明不得分。</w:t>
            </w: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3.具有服务器安全管理系统的《MSTL信息技术产品安全测试证书》得1分；</w:t>
            </w: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4.具有由中国网络安全审查技术与认证中心出具的服务器安全管理系统相关的证书材料得1分；</w:t>
            </w:r>
          </w:p>
          <w:p>
            <w:pPr>
              <w:pStyle w:val="6"/>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5.具有服务器安全管理系统的IPv6 Ready Logo认证证书材料得1分；</w:t>
            </w:r>
          </w:p>
          <w:p>
            <w:pPr>
              <w:pStyle w:val="6"/>
              <w:rPr>
                <w:rFonts w:hint="default"/>
                <w:color w:val="auto"/>
                <w:highlight w:val="none"/>
                <w:lang w:val="en-US" w:eastAsia="zh-CN"/>
              </w:rPr>
            </w:pPr>
            <w:r>
              <w:rPr>
                <w:rFonts w:hint="eastAsia" w:ascii="仿宋" w:hAnsi="仿宋" w:eastAsia="仿宋" w:cs="仿宋"/>
                <w:color w:val="auto"/>
                <w:kern w:val="2"/>
                <w:sz w:val="24"/>
                <w:szCs w:val="24"/>
                <w:highlight w:val="none"/>
                <w:lang w:val="en-US" w:eastAsia="zh-CN" w:bidi="ar-SA"/>
              </w:rPr>
              <w:t>6.具有合格的服务器安全管理系统的《云工作负载保护平台能力检验证书》得1分；</w:t>
            </w:r>
          </w:p>
          <w:p>
            <w:pPr>
              <w:autoSpaceDE w:val="0"/>
              <w:autoSpaceDN w:val="0"/>
              <w:adjustRightInd w:val="0"/>
              <w:spacing w:line="276"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提供相关有效证明文件扫描件，原件备查，未提供不得分。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3" w:hRule="atLeast"/>
          <w:jc w:val="center"/>
        </w:trPr>
        <w:tc>
          <w:tcPr>
            <w:tcW w:w="515" w:type="dxa"/>
            <w:tcMar>
              <w:top w:w="0" w:type="dxa"/>
              <w:left w:w="108" w:type="dxa"/>
              <w:bottom w:w="0" w:type="dxa"/>
              <w:right w:w="108" w:type="dxa"/>
            </w:tcMar>
            <w:vAlign w:val="center"/>
          </w:tcPr>
          <w:p>
            <w:pPr>
              <w:widowControl/>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528" w:type="dxa"/>
            <w:tcMar>
              <w:top w:w="0" w:type="dxa"/>
              <w:left w:w="108" w:type="dxa"/>
              <w:bottom w:w="0" w:type="dxa"/>
              <w:right w:w="108" w:type="dxa"/>
            </w:tcMar>
            <w:vAlign w:val="center"/>
          </w:tcPr>
          <w:p>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诚信评</w:t>
            </w:r>
            <w:r>
              <w:rPr>
                <w:rFonts w:hint="eastAsia" w:ascii="仿宋" w:hAnsi="仿宋" w:eastAsia="仿宋" w:cs="仿宋"/>
                <w:color w:val="auto"/>
                <w:kern w:val="0"/>
                <w:sz w:val="24"/>
                <w:szCs w:val="24"/>
                <w:highlight w:val="none"/>
                <w:lang w:val="en-US" w:eastAsia="zh-CN"/>
              </w:rPr>
              <w:t>审</w:t>
            </w:r>
          </w:p>
        </w:tc>
        <w:tc>
          <w:tcPr>
            <w:tcW w:w="1139" w:type="dxa"/>
            <w:tcMar>
              <w:top w:w="0" w:type="dxa"/>
              <w:left w:w="108" w:type="dxa"/>
              <w:bottom w:w="0" w:type="dxa"/>
              <w:right w:w="108" w:type="dxa"/>
            </w:tcMar>
            <w:vAlign w:val="center"/>
          </w:tcPr>
          <w:p>
            <w:pPr>
              <w:widowControl/>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6208" w:type="dxa"/>
            <w:tcMar>
              <w:top w:w="0" w:type="dxa"/>
              <w:left w:w="108" w:type="dxa"/>
              <w:bottom w:w="0" w:type="dxa"/>
              <w:right w:w="108" w:type="dxa"/>
            </w:tcMar>
            <w:vAlign w:val="center"/>
          </w:tcPr>
          <w:p>
            <w:pPr>
              <w:spacing w:line="240" w:lineRule="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pPr>
        <w:pStyle w:val="16"/>
        <w:spacing w:before="454" w:after="454"/>
        <w:ind w:right="454"/>
        <w:jc w:val="both"/>
        <w:outlineLvl w:val="0"/>
        <w:rPr>
          <w:rFonts w:hint="eastAsia" w:ascii="宋体" w:hAnsi="宋体" w:eastAsia="宋体" w:cs="宋体"/>
          <w:b/>
          <w:bCs/>
          <w:color w:val="auto"/>
          <w:sz w:val="24"/>
          <w:szCs w:val="24"/>
        </w:rPr>
      </w:pPr>
    </w:p>
    <w:p>
      <w:pPr>
        <w:pStyle w:val="16"/>
        <w:spacing w:before="454" w:after="454"/>
        <w:ind w:right="454"/>
        <w:jc w:val="both"/>
        <w:outlineLvl w:val="0"/>
        <w:rPr>
          <w:rFonts w:hint="eastAsia" w:ascii="宋体" w:hAnsi="宋体" w:eastAsia="宋体" w:cs="宋体"/>
          <w:b/>
          <w:bCs/>
          <w:color w:val="auto"/>
          <w:sz w:val="24"/>
          <w:szCs w:val="24"/>
        </w:rPr>
      </w:pPr>
    </w:p>
    <w:p>
      <w:pPr>
        <w:pStyle w:val="16"/>
        <w:spacing w:before="454" w:after="454"/>
        <w:ind w:right="454"/>
        <w:jc w:val="both"/>
        <w:outlineLvl w:val="0"/>
        <w:rPr>
          <w:rFonts w:hint="eastAsia" w:ascii="宋体" w:hAnsi="宋体" w:eastAsia="宋体" w:cs="宋体"/>
          <w:b/>
          <w:bCs/>
          <w:color w:val="auto"/>
          <w:sz w:val="24"/>
          <w:szCs w:val="24"/>
        </w:rPr>
      </w:pPr>
    </w:p>
    <w:p>
      <w:pPr>
        <w:pStyle w:val="16"/>
        <w:spacing w:before="454" w:after="454"/>
        <w:ind w:right="454"/>
        <w:jc w:val="both"/>
        <w:outlineLvl w:val="0"/>
        <w:rPr>
          <w:rFonts w:hint="eastAsia" w:ascii="宋体" w:hAnsi="宋体" w:eastAsia="宋体" w:cs="宋体"/>
          <w:b/>
          <w:bCs/>
          <w:color w:val="auto"/>
          <w:sz w:val="24"/>
          <w:szCs w:val="24"/>
        </w:rPr>
      </w:pPr>
    </w:p>
    <w:p>
      <w:pPr>
        <w:pStyle w:val="2"/>
        <w:jc w:val="center"/>
        <w:rPr>
          <w:rFonts w:hint="eastAsia"/>
          <w:color w:val="auto"/>
          <w:sz w:val="28"/>
          <w:szCs w:val="28"/>
        </w:rPr>
      </w:pPr>
      <w:r>
        <w:rPr>
          <w:rFonts w:hint="eastAsia"/>
          <w:color w:val="auto"/>
          <w:sz w:val="28"/>
          <w:szCs w:val="28"/>
        </w:rPr>
        <w:t>第</w:t>
      </w:r>
      <w:r>
        <w:rPr>
          <w:rFonts w:hint="eastAsia"/>
          <w:color w:val="auto"/>
          <w:sz w:val="28"/>
          <w:szCs w:val="28"/>
          <w:lang w:val="en-US" w:eastAsia="zh-CN"/>
        </w:rPr>
        <w:t>一</w:t>
      </w:r>
      <w:r>
        <w:rPr>
          <w:rFonts w:hint="eastAsia"/>
          <w:color w:val="auto"/>
          <w:sz w:val="28"/>
          <w:szCs w:val="28"/>
        </w:rPr>
        <w:t>章</w:t>
      </w:r>
      <w:r>
        <w:rPr>
          <w:rFonts w:hint="eastAsia"/>
          <w:color w:val="auto"/>
          <w:sz w:val="28"/>
          <w:szCs w:val="28"/>
          <w:lang w:val="en-US" w:eastAsia="zh-CN"/>
        </w:rPr>
        <w:t xml:space="preserve"> </w:t>
      </w:r>
      <w:r>
        <w:rPr>
          <w:rFonts w:hint="eastAsia"/>
          <w:color w:val="auto"/>
          <w:sz w:val="28"/>
          <w:szCs w:val="28"/>
        </w:rPr>
        <w:t>投标人须知</w:t>
      </w:r>
    </w:p>
    <w:p>
      <w:pPr>
        <w:spacing w:line="360" w:lineRule="auto"/>
        <w:rPr>
          <w:rFonts w:hint="eastAsia" w:ascii="仿宋" w:hAnsi="仿宋" w:eastAsia="仿宋"/>
          <w:b/>
          <w:color w:val="auto"/>
          <w:sz w:val="24"/>
          <w:szCs w:val="24"/>
        </w:rPr>
      </w:pPr>
      <w:r>
        <w:rPr>
          <w:rFonts w:hint="eastAsia" w:ascii="仿宋" w:hAnsi="仿宋" w:eastAsia="仿宋"/>
          <w:b/>
          <w:color w:val="auto"/>
          <w:sz w:val="24"/>
          <w:szCs w:val="24"/>
        </w:rPr>
        <w:t>一、招标简介：</w:t>
      </w:r>
    </w:p>
    <w:p>
      <w:pPr>
        <w:widowControl w:val="0"/>
        <w:numPr>
          <w:ilvl w:val="0"/>
          <w:numId w:val="4"/>
        </w:numPr>
        <w:spacing w:line="360" w:lineRule="auto"/>
        <w:ind w:left="720" w:leftChars="0" w:hanging="360" w:firstLineChars="0"/>
        <w:jc w:val="both"/>
        <w:rPr>
          <w:rFonts w:hint="eastAsia" w:ascii="仿宋" w:hAnsi="仿宋" w:eastAsia="仿宋"/>
          <w:color w:val="auto"/>
          <w:sz w:val="24"/>
          <w:szCs w:val="24"/>
        </w:rPr>
      </w:pPr>
      <w:r>
        <w:rPr>
          <w:rFonts w:hint="eastAsia" w:ascii="仿宋" w:hAnsi="仿宋" w:eastAsia="仿宋"/>
          <w:color w:val="auto"/>
          <w:sz w:val="24"/>
          <w:szCs w:val="24"/>
        </w:rPr>
        <w:t>招标单位：深圳市龙岗中心医院</w:t>
      </w:r>
    </w:p>
    <w:p>
      <w:pPr>
        <w:widowControl w:val="0"/>
        <w:numPr>
          <w:ilvl w:val="0"/>
          <w:numId w:val="4"/>
        </w:numPr>
        <w:spacing w:line="360" w:lineRule="auto"/>
        <w:ind w:left="720" w:leftChars="0" w:hanging="360" w:firstLineChars="0"/>
        <w:jc w:val="both"/>
        <w:rPr>
          <w:rFonts w:ascii="仿宋" w:hAnsi="仿宋" w:eastAsia="仿宋"/>
          <w:color w:val="auto"/>
          <w:sz w:val="24"/>
          <w:szCs w:val="24"/>
        </w:rPr>
      </w:pPr>
      <w:r>
        <w:rPr>
          <w:rFonts w:hint="eastAsia" w:ascii="仿宋" w:hAnsi="仿宋" w:eastAsia="仿宋"/>
          <w:color w:val="auto"/>
          <w:sz w:val="24"/>
          <w:szCs w:val="24"/>
        </w:rPr>
        <w:t>地    址：深圳市龙岗区龙岗大道</w:t>
      </w:r>
      <w:r>
        <w:rPr>
          <w:rFonts w:ascii="仿宋" w:hAnsi="仿宋" w:eastAsia="仿宋"/>
          <w:color w:val="auto"/>
          <w:sz w:val="24"/>
          <w:szCs w:val="24"/>
        </w:rPr>
        <w:t>6082</w:t>
      </w:r>
      <w:r>
        <w:rPr>
          <w:rFonts w:hint="eastAsia" w:ascii="仿宋" w:hAnsi="仿宋" w:eastAsia="仿宋"/>
          <w:color w:val="auto"/>
          <w:sz w:val="24"/>
          <w:szCs w:val="24"/>
        </w:rPr>
        <w:t>号</w:t>
      </w:r>
    </w:p>
    <w:p>
      <w:pPr>
        <w:widowControl w:val="0"/>
        <w:numPr>
          <w:ilvl w:val="0"/>
          <w:numId w:val="4"/>
        </w:numPr>
        <w:spacing w:line="360" w:lineRule="auto"/>
        <w:ind w:left="720" w:leftChars="0" w:hanging="360" w:firstLineChars="0"/>
        <w:jc w:val="both"/>
        <w:rPr>
          <w:rFonts w:ascii="仿宋" w:hAnsi="仿宋" w:eastAsia="仿宋"/>
          <w:color w:val="auto"/>
          <w:sz w:val="24"/>
          <w:szCs w:val="24"/>
        </w:rPr>
      </w:pPr>
      <w:r>
        <w:rPr>
          <w:rFonts w:hint="eastAsia" w:ascii="仿宋" w:hAnsi="仿宋" w:eastAsia="仿宋"/>
          <w:color w:val="auto"/>
          <w:sz w:val="24"/>
          <w:szCs w:val="24"/>
        </w:rPr>
        <w:t>资金来源：</w:t>
      </w:r>
      <w:r>
        <w:rPr>
          <w:rFonts w:hint="eastAsia" w:ascii="仿宋" w:hAnsi="仿宋" w:eastAsia="仿宋"/>
          <w:color w:val="auto"/>
          <w:sz w:val="24"/>
          <w:szCs w:val="24"/>
          <w:lang w:val="en-US" w:eastAsia="zh-CN"/>
        </w:rPr>
        <w:t>自筹资金</w:t>
      </w:r>
    </w:p>
    <w:p>
      <w:pPr>
        <w:numPr>
          <w:ilvl w:val="0"/>
          <w:numId w:val="5"/>
        </w:numPr>
        <w:spacing w:line="360" w:lineRule="auto"/>
        <w:rPr>
          <w:rFonts w:hint="eastAsia" w:ascii="仿宋" w:hAnsi="仿宋" w:eastAsia="仿宋"/>
          <w:color w:val="auto"/>
          <w:sz w:val="24"/>
          <w:szCs w:val="24"/>
        </w:rPr>
      </w:pPr>
      <w:r>
        <w:rPr>
          <w:rFonts w:hint="eastAsia" w:ascii="仿宋" w:hAnsi="仿宋" w:eastAsia="仿宋"/>
          <w:b/>
          <w:color w:val="auto"/>
          <w:sz w:val="24"/>
          <w:szCs w:val="24"/>
        </w:rPr>
        <w:t>招标范围：</w:t>
      </w:r>
      <w:r>
        <w:rPr>
          <w:rFonts w:hint="eastAsia" w:ascii="仿宋" w:hAnsi="仿宋" w:eastAsia="仿宋"/>
          <w:color w:val="auto"/>
          <w:sz w:val="24"/>
          <w:szCs w:val="24"/>
        </w:rPr>
        <w:t>详见第</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章</w:t>
      </w:r>
    </w:p>
    <w:p>
      <w:pPr>
        <w:numPr>
          <w:ilvl w:val="0"/>
          <w:numId w:val="0"/>
        </w:numPr>
        <w:spacing w:line="360" w:lineRule="auto"/>
        <w:rPr>
          <w:rFonts w:ascii="仿宋" w:hAnsi="仿宋" w:eastAsia="仿宋"/>
          <w:b/>
          <w:color w:val="auto"/>
          <w:sz w:val="24"/>
          <w:szCs w:val="24"/>
        </w:rPr>
      </w:pPr>
      <w:r>
        <w:rPr>
          <w:rFonts w:hint="eastAsia" w:ascii="仿宋" w:hAnsi="仿宋" w:eastAsia="仿宋"/>
          <w:b/>
          <w:color w:val="auto"/>
          <w:sz w:val="24"/>
          <w:szCs w:val="24"/>
        </w:rPr>
        <w:t>三、招标方式：</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本次采购招标采用龙岗中心医院</w:t>
      </w:r>
      <w:r>
        <w:rPr>
          <w:rFonts w:hint="eastAsia" w:ascii="仿宋" w:hAnsi="仿宋" w:eastAsia="仿宋"/>
          <w:bCs/>
          <w:color w:val="auto"/>
          <w:sz w:val="24"/>
          <w:szCs w:val="24"/>
        </w:rPr>
        <w:t>院内公开招标</w:t>
      </w:r>
      <w:r>
        <w:rPr>
          <w:rFonts w:hint="eastAsia" w:ascii="仿宋" w:hAnsi="仿宋" w:eastAsia="仿宋"/>
          <w:color w:val="auto"/>
          <w:sz w:val="24"/>
          <w:szCs w:val="24"/>
        </w:rPr>
        <w:t>方式。</w:t>
      </w:r>
    </w:p>
    <w:p>
      <w:pPr>
        <w:spacing w:line="360" w:lineRule="auto"/>
        <w:rPr>
          <w:rFonts w:ascii="仿宋" w:hAnsi="仿宋" w:eastAsia="仿宋"/>
          <w:b/>
          <w:color w:val="auto"/>
          <w:sz w:val="24"/>
          <w:szCs w:val="24"/>
        </w:rPr>
      </w:pPr>
      <w:r>
        <w:rPr>
          <w:rFonts w:hint="eastAsia" w:ascii="仿宋" w:hAnsi="仿宋" w:eastAsia="仿宋"/>
          <w:b/>
          <w:color w:val="auto"/>
          <w:sz w:val="24"/>
          <w:szCs w:val="24"/>
        </w:rPr>
        <w:t>四、招标机构：</w:t>
      </w:r>
    </w:p>
    <w:p>
      <w:pPr>
        <w:tabs>
          <w:tab w:val="left" w:pos="360"/>
        </w:tabs>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深圳市龙岗中心医院负责办理本次招标评选事宜。</w:t>
      </w:r>
    </w:p>
    <w:p>
      <w:pPr>
        <w:spacing w:line="360" w:lineRule="auto"/>
        <w:rPr>
          <w:rFonts w:ascii="仿宋" w:hAnsi="仿宋" w:eastAsia="仿宋" w:cs="宋体"/>
          <w:b/>
          <w:bCs/>
          <w:color w:val="auto"/>
          <w:sz w:val="24"/>
          <w:szCs w:val="24"/>
        </w:rPr>
      </w:pPr>
      <w:r>
        <w:rPr>
          <w:rFonts w:hint="eastAsia" w:ascii="仿宋" w:hAnsi="仿宋" w:eastAsia="仿宋" w:cs="宋体"/>
          <w:b/>
          <w:bCs/>
          <w:color w:val="auto"/>
          <w:sz w:val="24"/>
          <w:szCs w:val="24"/>
        </w:rPr>
        <w:t>五、申请人的资格要求：</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（一）具有独立法人资格或是具有独立承担民事责任能力的其他组织（提供营业执照或事业单位法人证书等证明资料扫描件，原件备查）；</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（二）本项目不接受联合体投标；</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（三）参与本项目投标前三年内，在经营活动中没有重大违法记录（由供应商在《投标及履约承诺函》中作出声明）；</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（四）与其他投标供应商不存在单位负责人为同一人或者存在直接控股、管理关系（由供应商在《投标及履约承诺函》中作出声明）；</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（五）投标人法人代表证明书及法人身份证复印件；</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（六）投标人法人授权委托书及被授权人身份证复印件；</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rPr>
          <w:rFonts w:hint="eastAsia" w:ascii="仿宋" w:hAnsi="仿宋" w:eastAsia="仿宋" w:cs="宋体"/>
          <w:b/>
          <w:bCs/>
          <w:color w:val="auto"/>
          <w:sz w:val="24"/>
          <w:szCs w:val="24"/>
        </w:rPr>
      </w:pPr>
      <w:r>
        <w:rPr>
          <w:rFonts w:hint="eastAsia" w:ascii="仿宋" w:hAnsi="仿宋" w:eastAsia="仿宋" w:cs="宋体"/>
          <w:b/>
          <w:bCs/>
          <w:color w:val="auto"/>
          <w:sz w:val="24"/>
          <w:szCs w:val="24"/>
        </w:rPr>
        <w:t>六、投标单位应满足及同意如下条款：</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（一）</w:t>
      </w:r>
      <w:r>
        <w:rPr>
          <w:rFonts w:hint="eastAsia" w:ascii="仿宋" w:hAnsi="仿宋" w:eastAsia="仿宋"/>
          <w:color w:val="auto"/>
          <w:sz w:val="24"/>
          <w:szCs w:val="24"/>
        </w:rPr>
        <w:t>同意按招标文件的要求提供完整投标资料，不在投标文件的行间插字、涂改或增删。</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（二）</w:t>
      </w:r>
      <w:r>
        <w:rPr>
          <w:rFonts w:hint="eastAsia" w:ascii="仿宋" w:hAnsi="仿宋" w:eastAsia="仿宋"/>
          <w:color w:val="auto"/>
          <w:sz w:val="24"/>
          <w:szCs w:val="24"/>
        </w:rPr>
        <w:t>同意承担因中标后用假劣产品代替合格优质产品进行供货或用“涨价”、“缺货”等理由拖延供货而直接影响招标单位的工作正常运转，甚至造成不良后果的全部责任。</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（三）</w:t>
      </w:r>
      <w:r>
        <w:rPr>
          <w:rFonts w:hint="eastAsia" w:ascii="仿宋" w:hAnsi="仿宋" w:eastAsia="仿宋"/>
          <w:color w:val="auto"/>
          <w:sz w:val="24"/>
          <w:szCs w:val="24"/>
        </w:rPr>
        <w:t>同意招标单位的招标项目需求。</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（四）</w:t>
      </w:r>
      <w:r>
        <w:rPr>
          <w:rFonts w:hint="eastAsia" w:ascii="仿宋" w:hAnsi="仿宋" w:eastAsia="仿宋"/>
          <w:color w:val="auto"/>
          <w:sz w:val="24"/>
          <w:szCs w:val="24"/>
        </w:rPr>
        <w:t>保证在投标报价时不漏报品种，并保证提供合格产品。</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（五）</w:t>
      </w:r>
      <w:r>
        <w:rPr>
          <w:rFonts w:hint="eastAsia" w:ascii="仿宋" w:hAnsi="仿宋" w:eastAsia="仿宋"/>
          <w:color w:val="auto"/>
          <w:sz w:val="24"/>
          <w:szCs w:val="24"/>
        </w:rPr>
        <w:t>同意承担因用极端低价进行恶意竞争而造成的各种不良后果的全部责任。</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（六）</w:t>
      </w:r>
      <w:r>
        <w:rPr>
          <w:rFonts w:hint="eastAsia" w:ascii="仿宋" w:hAnsi="仿宋" w:eastAsia="仿宋"/>
          <w:color w:val="auto"/>
          <w:sz w:val="24"/>
          <w:szCs w:val="24"/>
        </w:rPr>
        <w:t>同意中标后，如在履行合同过程中不能按本招标文件的要求和服务满足招标方，将同意招标方单方中止合同。</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（七）</w:t>
      </w:r>
      <w:r>
        <w:rPr>
          <w:rFonts w:hint="eastAsia" w:ascii="仿宋" w:hAnsi="仿宋" w:eastAsia="仿宋"/>
          <w:color w:val="auto"/>
          <w:sz w:val="24"/>
          <w:szCs w:val="24"/>
        </w:rPr>
        <w:t>在中标人被终止合同后，候选中标人如接到招标方通知要求时，应按照投标文件的要求提供服务启动签合同程序。</w:t>
      </w:r>
    </w:p>
    <w:p>
      <w:pPr>
        <w:widowControl w:val="0"/>
        <w:numPr>
          <w:ilvl w:val="0"/>
          <w:numId w:val="0"/>
        </w:numPr>
        <w:spacing w:line="360" w:lineRule="auto"/>
        <w:ind w:firstLine="240" w:firstLineChars="100"/>
        <w:jc w:val="both"/>
        <w:rPr>
          <w:rFonts w:hint="eastAsia" w:ascii="仿宋" w:hAnsi="仿宋" w:eastAsia="仿宋"/>
          <w:color w:val="auto"/>
          <w:sz w:val="24"/>
          <w:szCs w:val="24"/>
        </w:rPr>
      </w:pPr>
      <w:r>
        <w:rPr>
          <w:rFonts w:hint="eastAsia" w:ascii="仿宋" w:hAnsi="仿宋" w:eastAsia="仿宋"/>
          <w:color w:val="auto"/>
          <w:sz w:val="24"/>
          <w:szCs w:val="24"/>
          <w:lang w:val="en-US" w:eastAsia="zh-CN"/>
        </w:rPr>
        <w:t>（八）</w:t>
      </w:r>
      <w:r>
        <w:rPr>
          <w:rFonts w:hint="eastAsia" w:ascii="仿宋" w:hAnsi="仿宋" w:eastAsia="仿宋"/>
          <w:color w:val="auto"/>
          <w:sz w:val="24"/>
          <w:szCs w:val="24"/>
        </w:rPr>
        <w:t>同意在接到中标通知书之日起10个工作日内到招标单位签订合同。</w:t>
      </w:r>
    </w:p>
    <w:p>
      <w:pPr>
        <w:widowControl w:val="0"/>
        <w:numPr>
          <w:ilvl w:val="0"/>
          <w:numId w:val="0"/>
        </w:numPr>
        <w:spacing w:line="360" w:lineRule="auto"/>
        <w:jc w:val="both"/>
        <w:rPr>
          <w:rFonts w:ascii="仿宋" w:hAnsi="仿宋" w:eastAsia="仿宋"/>
          <w:b/>
          <w:color w:val="auto"/>
          <w:sz w:val="24"/>
          <w:szCs w:val="24"/>
        </w:rPr>
      </w:pPr>
      <w:r>
        <w:rPr>
          <w:rFonts w:hint="eastAsia" w:ascii="仿宋" w:hAnsi="仿宋" w:eastAsia="仿宋"/>
          <w:b/>
          <w:color w:val="auto"/>
          <w:sz w:val="24"/>
          <w:szCs w:val="24"/>
        </w:rPr>
        <w:t>七、定标原则：</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（一）</w:t>
      </w:r>
      <w:r>
        <w:rPr>
          <w:rFonts w:hint="eastAsia" w:ascii="仿宋" w:hAnsi="仿宋" w:eastAsia="仿宋"/>
          <w:color w:val="auto"/>
          <w:sz w:val="24"/>
          <w:szCs w:val="24"/>
        </w:rPr>
        <w:t>遵循公开、公平、公正的原则；</w:t>
      </w:r>
    </w:p>
    <w:p>
      <w:pPr>
        <w:tabs>
          <w:tab w:val="left" w:pos="7200"/>
        </w:tabs>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（二）</w:t>
      </w:r>
      <w:r>
        <w:rPr>
          <w:rFonts w:hint="eastAsia" w:ascii="仿宋" w:hAnsi="仿宋" w:eastAsia="仿宋"/>
          <w:color w:val="auto"/>
          <w:sz w:val="24"/>
          <w:szCs w:val="24"/>
        </w:rPr>
        <w:t>坚持质量优先、服务至上的原则。</w:t>
      </w:r>
    </w:p>
    <w:p>
      <w:pPr>
        <w:tabs>
          <w:tab w:val="left" w:pos="7200"/>
        </w:tabs>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（三）</w:t>
      </w:r>
      <w:r>
        <w:rPr>
          <w:rFonts w:hint="eastAsia" w:ascii="仿宋" w:hAnsi="仿宋" w:eastAsia="仿宋"/>
          <w:color w:val="auto"/>
          <w:spacing w:val="6"/>
          <w:kern w:val="11"/>
          <w:sz w:val="24"/>
          <w:szCs w:val="24"/>
        </w:rPr>
        <w:t>开标评审（定标）</w:t>
      </w:r>
      <w:r>
        <w:rPr>
          <w:rFonts w:hint="eastAsia" w:ascii="仿宋" w:hAnsi="仿宋" w:eastAsia="仿宋"/>
          <w:color w:val="auto"/>
          <w:sz w:val="24"/>
          <w:szCs w:val="24"/>
        </w:rPr>
        <w:t>：招标人当众拆封，宣读投标人名称、投标价格以及投标文件中的其他主要内容，并进行审查。招标人在按照本招标文件规定审查</w:t>
      </w:r>
      <w:r>
        <w:rPr>
          <w:rFonts w:hint="eastAsia" w:ascii="仿宋" w:hAnsi="仿宋" w:eastAsia="仿宋"/>
          <w:bCs/>
          <w:color w:val="auto"/>
          <w:sz w:val="24"/>
          <w:szCs w:val="24"/>
        </w:rPr>
        <w:t>有效</w:t>
      </w:r>
      <w:r>
        <w:rPr>
          <w:rFonts w:hint="eastAsia" w:ascii="仿宋" w:hAnsi="仿宋" w:eastAsia="仿宋"/>
          <w:color w:val="auto"/>
          <w:sz w:val="24"/>
          <w:szCs w:val="24"/>
        </w:rPr>
        <w:t>的投标文件中，采用综合评标法评标。</w:t>
      </w:r>
    </w:p>
    <w:p>
      <w:pPr>
        <w:spacing w:line="360" w:lineRule="auto"/>
        <w:ind w:firstLine="360" w:firstLineChars="150"/>
        <w:rPr>
          <w:rFonts w:ascii="仿宋" w:hAnsi="仿宋" w:eastAsia="仿宋"/>
          <w:color w:val="auto"/>
          <w:sz w:val="24"/>
          <w:szCs w:val="24"/>
        </w:rPr>
      </w:pPr>
      <w:r>
        <w:rPr>
          <w:rFonts w:hint="eastAsia" w:ascii="仿宋" w:hAnsi="仿宋" w:eastAsia="仿宋"/>
          <w:color w:val="auto"/>
          <w:sz w:val="24"/>
          <w:szCs w:val="24"/>
          <w:lang w:val="en-US" w:eastAsia="zh-CN"/>
        </w:rPr>
        <w:t>（四）</w:t>
      </w:r>
      <w:r>
        <w:rPr>
          <w:rFonts w:hint="eastAsia" w:ascii="仿宋" w:hAnsi="仿宋" w:eastAsia="仿宋"/>
          <w:color w:val="auto"/>
          <w:sz w:val="24"/>
          <w:szCs w:val="24"/>
        </w:rPr>
        <w:t>医院纪审部门全程有效监督。</w:t>
      </w:r>
    </w:p>
    <w:p>
      <w:pPr>
        <w:spacing w:line="360" w:lineRule="auto"/>
        <w:rPr>
          <w:rFonts w:ascii="仿宋" w:hAnsi="仿宋" w:eastAsia="仿宋"/>
          <w:color w:val="auto"/>
          <w:sz w:val="24"/>
          <w:szCs w:val="24"/>
        </w:rPr>
      </w:pPr>
      <w:r>
        <w:rPr>
          <w:rFonts w:hint="eastAsia" w:ascii="仿宋" w:hAnsi="仿宋" w:eastAsia="仿宋"/>
          <w:b/>
          <w:color w:val="auto"/>
          <w:sz w:val="24"/>
          <w:szCs w:val="24"/>
        </w:rPr>
        <w:t>八</w:t>
      </w:r>
      <w:r>
        <w:rPr>
          <w:rFonts w:hint="eastAsia" w:ascii="仿宋" w:hAnsi="仿宋" w:eastAsia="仿宋"/>
          <w:color w:val="auto"/>
          <w:sz w:val="24"/>
          <w:szCs w:val="24"/>
        </w:rPr>
        <w:t>、成交：采用综合评标法，最高分为中标单位，并经龙岗中心医院招标办组织相关科室审核确定中标单位。</w:t>
      </w:r>
    </w:p>
    <w:p>
      <w:pPr>
        <w:spacing w:line="360" w:lineRule="auto"/>
        <w:rPr>
          <w:rFonts w:ascii="仿宋" w:hAnsi="仿宋" w:eastAsia="仿宋"/>
          <w:b/>
          <w:color w:val="auto"/>
          <w:sz w:val="24"/>
          <w:szCs w:val="24"/>
        </w:rPr>
      </w:pPr>
      <w:r>
        <w:rPr>
          <w:rFonts w:hint="eastAsia" w:ascii="仿宋" w:hAnsi="仿宋" w:eastAsia="仿宋"/>
          <w:b/>
          <w:bCs/>
          <w:color w:val="auto"/>
          <w:sz w:val="24"/>
          <w:szCs w:val="24"/>
        </w:rPr>
        <w:t>九、</w:t>
      </w:r>
      <w:r>
        <w:rPr>
          <w:rFonts w:hint="eastAsia" w:ascii="仿宋" w:hAnsi="仿宋" w:eastAsia="仿宋"/>
          <w:b/>
          <w:color w:val="auto"/>
          <w:sz w:val="24"/>
          <w:szCs w:val="24"/>
        </w:rPr>
        <w:t>无效标（废标）的认定：</w:t>
      </w:r>
    </w:p>
    <w:p>
      <w:pPr>
        <w:spacing w:line="360" w:lineRule="auto"/>
        <w:ind w:firstLine="360" w:firstLineChars="150"/>
        <w:rPr>
          <w:rFonts w:ascii="仿宋" w:hAnsi="仿宋" w:eastAsia="仿宋"/>
          <w:b/>
          <w:color w:val="auto"/>
          <w:sz w:val="24"/>
          <w:szCs w:val="24"/>
        </w:rPr>
      </w:pPr>
      <w:r>
        <w:rPr>
          <w:rFonts w:hint="eastAsia" w:ascii="仿宋" w:hAnsi="仿宋" w:eastAsia="仿宋"/>
          <w:color w:val="auto"/>
          <w:sz w:val="24"/>
          <w:szCs w:val="24"/>
        </w:rPr>
        <w:t>投标单位出现下列情况之一，“中标”为无效标（废标）：</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（一）</w:t>
      </w:r>
      <w:r>
        <w:rPr>
          <w:rFonts w:hint="eastAsia" w:ascii="仿宋" w:hAnsi="仿宋" w:eastAsia="仿宋"/>
          <w:color w:val="auto"/>
          <w:sz w:val="24"/>
          <w:szCs w:val="24"/>
        </w:rPr>
        <w:t>投标单位不按本招投标文件的要求填报相关资料（包括样式和顺序等）；</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（二）</w:t>
      </w:r>
      <w:r>
        <w:rPr>
          <w:rFonts w:hint="eastAsia" w:ascii="仿宋" w:hAnsi="仿宋" w:eastAsia="仿宋"/>
          <w:color w:val="auto"/>
          <w:sz w:val="24"/>
          <w:szCs w:val="24"/>
        </w:rPr>
        <w:t>投标单位违反本招标文件的规定；</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lang w:val="en-US" w:eastAsia="zh-CN"/>
        </w:rPr>
        <w:t>（三）</w:t>
      </w:r>
      <w:r>
        <w:rPr>
          <w:rFonts w:hint="eastAsia" w:ascii="仿宋" w:hAnsi="仿宋" w:eastAsia="仿宋"/>
          <w:color w:val="auto"/>
          <w:sz w:val="24"/>
          <w:szCs w:val="24"/>
        </w:rPr>
        <w:t>投标单位未准时递交投标书，未准时出席开标评审会议；</w:t>
      </w:r>
    </w:p>
    <w:p>
      <w:pPr>
        <w:spacing w:line="336" w:lineRule="auto"/>
        <w:ind w:firstLine="240" w:firstLineChars="100"/>
        <w:rPr>
          <w:rFonts w:ascii="仿宋" w:hAnsi="仿宋" w:eastAsia="仿宋"/>
          <w:bCs/>
          <w:color w:val="auto"/>
          <w:kern w:val="44"/>
          <w:sz w:val="24"/>
          <w:szCs w:val="24"/>
        </w:rPr>
      </w:pPr>
      <w:r>
        <w:rPr>
          <w:rFonts w:hint="eastAsia" w:ascii="仿宋" w:hAnsi="仿宋" w:eastAsia="仿宋"/>
          <w:color w:val="auto"/>
          <w:sz w:val="24"/>
          <w:szCs w:val="24"/>
          <w:lang w:val="en-US" w:eastAsia="zh-CN"/>
        </w:rPr>
        <w:t>（四）</w:t>
      </w:r>
      <w:r>
        <w:rPr>
          <w:rFonts w:hint="eastAsia" w:ascii="仿宋" w:hAnsi="仿宋" w:eastAsia="仿宋"/>
          <w:color w:val="auto"/>
          <w:sz w:val="24"/>
          <w:szCs w:val="24"/>
        </w:rPr>
        <w:t>投标单位的投标文件资料不齐全或填报不完整或</w:t>
      </w:r>
      <w:r>
        <w:rPr>
          <w:rFonts w:hint="eastAsia" w:ascii="仿宋" w:hAnsi="仿宋" w:eastAsia="仿宋"/>
          <w:bCs/>
          <w:color w:val="auto"/>
          <w:kern w:val="44"/>
          <w:sz w:val="24"/>
          <w:szCs w:val="24"/>
        </w:rPr>
        <w:t>对提交的投标文件行间插字、涂改或增删；</w:t>
      </w:r>
    </w:p>
    <w:p>
      <w:pPr>
        <w:widowControl/>
        <w:ind w:firstLine="240" w:firstLineChars="100"/>
        <w:jc w:val="left"/>
        <w:outlineLvl w:val="1"/>
        <w:rPr>
          <w:rFonts w:hint="eastAsia" w:ascii="仿宋" w:hAnsi="仿宋" w:eastAsia="仿宋"/>
          <w:color w:val="auto"/>
          <w:spacing w:val="6"/>
          <w:kern w:val="11"/>
          <w:sz w:val="24"/>
          <w:szCs w:val="24"/>
        </w:rPr>
      </w:pPr>
      <w:r>
        <w:rPr>
          <w:rFonts w:hint="eastAsia" w:ascii="仿宋" w:hAnsi="仿宋" w:eastAsia="仿宋"/>
          <w:color w:val="auto"/>
          <w:sz w:val="24"/>
          <w:szCs w:val="24"/>
          <w:lang w:val="en-US" w:eastAsia="zh-CN"/>
        </w:rPr>
        <w:t>（五）</w:t>
      </w:r>
      <w:r>
        <w:rPr>
          <w:rFonts w:hint="eastAsia" w:ascii="仿宋" w:hAnsi="仿宋" w:eastAsia="仿宋"/>
          <w:color w:val="auto"/>
          <w:spacing w:val="6"/>
          <w:kern w:val="11"/>
          <w:sz w:val="24"/>
          <w:szCs w:val="24"/>
          <w:lang w:val="en-US" w:eastAsia="zh-CN"/>
        </w:rPr>
        <w:t>本项目采购方式为公开招标，如公开招标投标人家数不满足法定要求，发布延期公告三个工作日，延期后仍不满足法定要求的，可根据实质响应投标人的数量转为非公开招标方式采购，转为竞争性谈判方式采购或单一来源方式采购，另行通知。</w:t>
      </w:r>
      <w:r>
        <w:rPr>
          <w:rFonts w:hint="eastAsia" w:ascii="仿宋" w:hAnsi="仿宋" w:eastAsia="仿宋"/>
          <w:color w:val="auto"/>
          <w:sz w:val="24"/>
          <w:szCs w:val="24"/>
        </w:rPr>
        <w:t>招标人不承担因招标失败给投标人造成的损失。</w:t>
      </w:r>
      <w:r>
        <w:rPr>
          <w:rFonts w:hint="eastAsia" w:ascii="仿宋" w:hAnsi="仿宋" w:eastAsia="仿宋"/>
          <w:color w:val="auto"/>
          <w:spacing w:val="6"/>
          <w:kern w:val="11"/>
          <w:sz w:val="24"/>
          <w:szCs w:val="24"/>
          <w:lang w:val="en-US" w:eastAsia="zh-CN"/>
        </w:rPr>
        <w:t xml:space="preserve"> </w:t>
      </w:r>
    </w:p>
    <w:p>
      <w:pPr>
        <w:spacing w:line="360" w:lineRule="auto"/>
        <w:rPr>
          <w:rFonts w:ascii="仿宋" w:hAnsi="仿宋" w:eastAsia="仿宋"/>
          <w:b/>
          <w:color w:val="auto"/>
          <w:sz w:val="24"/>
          <w:szCs w:val="24"/>
        </w:rPr>
      </w:pPr>
      <w:r>
        <w:rPr>
          <w:rFonts w:hint="eastAsia" w:ascii="仿宋" w:hAnsi="仿宋" w:eastAsia="仿宋"/>
          <w:b/>
          <w:color w:val="auto"/>
          <w:sz w:val="24"/>
          <w:szCs w:val="24"/>
        </w:rPr>
        <w:t>十、</w:t>
      </w:r>
      <w:r>
        <w:rPr>
          <w:rFonts w:hint="eastAsia" w:ascii="仿宋" w:hAnsi="仿宋" w:eastAsia="仿宋"/>
          <w:b/>
          <w:color w:val="auto"/>
          <w:sz w:val="24"/>
          <w:szCs w:val="24"/>
          <w:lang w:eastAsia="zh-CN"/>
        </w:rPr>
        <w:t>其他</w:t>
      </w:r>
      <w:r>
        <w:rPr>
          <w:rFonts w:hint="eastAsia" w:ascii="仿宋" w:hAnsi="仿宋" w:eastAsia="仿宋"/>
          <w:b/>
          <w:color w:val="auto"/>
          <w:sz w:val="24"/>
          <w:szCs w:val="24"/>
        </w:rPr>
        <w:t>要求：</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s="Courier New"/>
          <w:bCs/>
          <w:color w:val="auto"/>
          <w:kern w:val="0"/>
          <w:sz w:val="24"/>
          <w:szCs w:val="24"/>
        </w:rPr>
      </w:pPr>
      <w:r>
        <w:rPr>
          <w:rFonts w:hint="eastAsia" w:ascii="仿宋" w:hAnsi="仿宋" w:eastAsia="仿宋" w:cs="Courier New"/>
          <w:bCs/>
          <w:color w:val="auto"/>
          <w:kern w:val="0"/>
          <w:sz w:val="24"/>
          <w:szCs w:val="24"/>
          <w:lang w:eastAsia="zh-CN"/>
        </w:rPr>
        <w:t>（</w:t>
      </w:r>
      <w:r>
        <w:rPr>
          <w:rFonts w:hint="eastAsia" w:ascii="仿宋" w:hAnsi="仿宋" w:eastAsia="仿宋" w:cs="Courier New"/>
          <w:bCs/>
          <w:color w:val="auto"/>
          <w:kern w:val="0"/>
          <w:sz w:val="24"/>
          <w:szCs w:val="24"/>
          <w:lang w:val="en-US" w:eastAsia="zh-CN"/>
        </w:rPr>
        <w:t>一）</w:t>
      </w:r>
      <w:r>
        <w:rPr>
          <w:rFonts w:hint="eastAsia" w:ascii="仿宋" w:hAnsi="仿宋" w:eastAsia="仿宋" w:cs="Courier New"/>
          <w:bCs/>
          <w:color w:val="auto"/>
          <w:kern w:val="0"/>
          <w:sz w:val="24"/>
          <w:szCs w:val="24"/>
        </w:rPr>
        <w:t>本项目服务期一年</w:t>
      </w:r>
      <w:r>
        <w:rPr>
          <w:rFonts w:hint="eastAsia" w:ascii="仿宋" w:hAnsi="仿宋" w:eastAsia="仿宋" w:cs="Courier New"/>
          <w:color w:val="auto"/>
          <w:kern w:val="0"/>
          <w:sz w:val="24"/>
          <w:szCs w:val="24"/>
        </w:rPr>
        <w:t>。</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b/>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投标报价表建议采用电脑打印，如手工填写必须在有涂改的地方盖上公章，否则视为报价不规范。如出现报价不规范的视为废标，有故意涂改情节的单位列入我院黑名单，3年内不得参加我院的任何投标。</w:t>
      </w:r>
    </w:p>
    <w:p>
      <w:pPr>
        <w:pStyle w:val="2"/>
        <w:rPr>
          <w:rFonts w:hint="eastAsia"/>
          <w:color w:val="auto"/>
          <w:sz w:val="28"/>
          <w:szCs w:val="28"/>
        </w:rPr>
      </w:pPr>
    </w:p>
    <w:p>
      <w:pPr>
        <w:pStyle w:val="2"/>
        <w:rPr>
          <w:color w:val="auto"/>
          <w:sz w:val="28"/>
          <w:szCs w:val="28"/>
        </w:rPr>
      </w:pPr>
      <w:r>
        <w:rPr>
          <w:rFonts w:hint="eastAsia"/>
          <w:color w:val="auto"/>
          <w:sz w:val="28"/>
          <w:szCs w:val="28"/>
        </w:rPr>
        <w:t>第</w:t>
      </w:r>
      <w:r>
        <w:rPr>
          <w:rFonts w:hint="eastAsia"/>
          <w:color w:val="auto"/>
          <w:sz w:val="28"/>
          <w:szCs w:val="28"/>
          <w:lang w:val="en-US" w:eastAsia="zh-CN"/>
        </w:rPr>
        <w:t>二</w:t>
      </w:r>
      <w:r>
        <w:rPr>
          <w:rFonts w:hint="eastAsia"/>
          <w:color w:val="auto"/>
          <w:sz w:val="28"/>
          <w:szCs w:val="28"/>
        </w:rPr>
        <w:t>章 用户需求书</w:t>
      </w:r>
    </w:p>
    <w:p>
      <w:pPr>
        <w:rPr>
          <w:color w:val="auto"/>
        </w:rPr>
      </w:pPr>
    </w:p>
    <w:p>
      <w:pPr>
        <w:spacing w:line="360" w:lineRule="auto"/>
        <w:jc w:val="center"/>
        <w:rPr>
          <w:rFonts w:hint="eastAsia" w:ascii="仿宋" w:hAnsi="仿宋" w:eastAsia="仿宋"/>
          <w:b/>
          <w:color w:val="auto"/>
          <w:sz w:val="24"/>
          <w:szCs w:val="24"/>
        </w:rPr>
      </w:pPr>
      <w:r>
        <w:rPr>
          <w:rFonts w:hint="eastAsia" w:ascii="仿宋" w:hAnsi="仿宋" w:eastAsia="仿宋"/>
          <w:b/>
          <w:color w:val="auto"/>
          <w:sz w:val="24"/>
          <w:szCs w:val="24"/>
        </w:rPr>
        <w:t>一、项目基本信息</w:t>
      </w:r>
    </w:p>
    <w:p>
      <w:pPr>
        <w:rPr>
          <w:rFonts w:ascii="宋体" w:hAnsi="宋体"/>
          <w:b/>
          <w:color w:val="auto"/>
          <w:szCs w:val="21"/>
        </w:rPr>
      </w:pPr>
    </w:p>
    <w:tbl>
      <w:tblPr>
        <w:tblStyle w:val="19"/>
        <w:tblpPr w:leftFromText="180" w:rightFromText="180" w:vertAnchor="text" w:horzAnchor="margin" w:tblpY="173"/>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55"/>
        <w:gridCol w:w="326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59"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序号</w:t>
            </w:r>
          </w:p>
        </w:tc>
        <w:tc>
          <w:tcPr>
            <w:tcW w:w="2355"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采购计划编号</w:t>
            </w:r>
          </w:p>
        </w:tc>
        <w:tc>
          <w:tcPr>
            <w:tcW w:w="3260"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采购项目名称</w:t>
            </w:r>
          </w:p>
        </w:tc>
        <w:tc>
          <w:tcPr>
            <w:tcW w:w="2432"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w:t>
            </w:r>
          </w:p>
        </w:tc>
        <w:tc>
          <w:tcPr>
            <w:tcW w:w="2355"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LGZXYYZBB20231113-2</w:t>
            </w:r>
          </w:p>
        </w:tc>
        <w:tc>
          <w:tcPr>
            <w:tcW w:w="3260"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深圳市龙岗中心医院服务器安全管理系统升级维保项目</w:t>
            </w:r>
          </w:p>
        </w:tc>
        <w:tc>
          <w:tcPr>
            <w:tcW w:w="2432"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198000.00</w:t>
            </w:r>
          </w:p>
        </w:tc>
      </w:tr>
    </w:tbl>
    <w:p>
      <w:pPr>
        <w:ind w:firstLine="211" w:firstLineChars="100"/>
        <w:rPr>
          <w:rFonts w:ascii="宋体" w:hAnsi="宋体"/>
          <w:b/>
          <w:color w:val="auto"/>
          <w:szCs w:val="21"/>
        </w:rPr>
      </w:pPr>
    </w:p>
    <w:p>
      <w:pPr>
        <w:pStyle w:val="2"/>
        <w:spacing w:before="120" w:beforeLines="50" w:after="120" w:afterLines="50"/>
        <w:jc w:val="both"/>
        <w:rPr>
          <w:rFonts w:hint="eastAsia"/>
          <w:color w:val="auto"/>
          <w:szCs w:val="24"/>
        </w:rPr>
      </w:pPr>
    </w:p>
    <w:p>
      <w:pPr>
        <w:numPr>
          <w:ilvl w:val="0"/>
          <w:numId w:val="6"/>
        </w:numPr>
        <w:spacing w:line="360" w:lineRule="auto"/>
        <w:jc w:val="center"/>
        <w:rPr>
          <w:rFonts w:hint="eastAsia"/>
          <w:color w:val="auto"/>
        </w:rPr>
      </w:pPr>
      <w:r>
        <w:rPr>
          <w:rFonts w:hint="eastAsia" w:ascii="仿宋" w:hAnsi="仿宋" w:eastAsia="仿宋"/>
          <w:b/>
          <w:color w:val="auto"/>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院现有一套网神虚拟化安全管理系统，80个CPU授权，包括防病毒、防火墙、入侵防御、防暴力破解、webshell检测、安全基线、虚拟化加固、网卡流量统计功能，现授权即将到期。现拟将原虚拟化安全管理系统升级到云锁服务器安全管理系统，包括云锁服务器安全管理系统的管理控制中心和原系统对应到新系统的授权功能一年维保服务，授权模式由80个CPU授权转换为5</w:t>
      </w:r>
      <w:r>
        <w:rPr>
          <w:rFonts w:hint="default" w:ascii="仿宋" w:hAnsi="仿宋" w:eastAsia="仿宋" w:cs="仿宋"/>
          <w:color w:val="auto"/>
          <w:kern w:val="2"/>
          <w:sz w:val="24"/>
          <w:szCs w:val="24"/>
          <w:lang w:eastAsia="zh-CN" w:bidi="ar-SA"/>
        </w:rPr>
        <w:t>5</w:t>
      </w:r>
      <w:r>
        <w:rPr>
          <w:rFonts w:hint="eastAsia" w:ascii="仿宋" w:hAnsi="仿宋" w:eastAsia="仿宋" w:cs="仿宋"/>
          <w:color w:val="auto"/>
          <w:kern w:val="2"/>
          <w:sz w:val="24"/>
          <w:szCs w:val="24"/>
          <w:lang w:val="en-US" w:eastAsia="zh-CN" w:bidi="ar-SA"/>
        </w:rPr>
        <w:t>0台服务器授权。</w:t>
      </w:r>
    </w:p>
    <w:p>
      <w:pPr>
        <w:pStyle w:val="6"/>
        <w:rPr>
          <w:rFonts w:hint="eastAsia"/>
          <w:color w:val="auto"/>
          <w:lang w:val="en-US" w:eastAsia="zh-CN"/>
        </w:rPr>
      </w:pPr>
    </w:p>
    <w:p>
      <w:pPr>
        <w:numPr>
          <w:ilvl w:val="0"/>
          <w:numId w:val="6"/>
        </w:numPr>
        <w:spacing w:line="360" w:lineRule="auto"/>
        <w:jc w:val="center"/>
        <w:rPr>
          <w:rFonts w:hint="eastAsia" w:ascii="仿宋" w:hAnsi="仿宋" w:eastAsia="仿宋"/>
          <w:b/>
          <w:color w:val="auto"/>
          <w:sz w:val="24"/>
          <w:szCs w:val="24"/>
        </w:rPr>
      </w:pPr>
      <w:bookmarkStart w:id="3" w:name="_Hlk72073432"/>
      <w:r>
        <w:rPr>
          <w:rFonts w:hint="eastAsia" w:ascii="仿宋" w:hAnsi="仿宋" w:eastAsia="仿宋"/>
          <w:b/>
          <w:color w:val="auto"/>
          <w:sz w:val="24"/>
          <w:szCs w:val="24"/>
        </w:rPr>
        <w:t>服务需求明细</w:t>
      </w:r>
      <w:bookmarkEnd w:id="3"/>
    </w:p>
    <w:tbl>
      <w:tblPr>
        <w:tblStyle w:val="19"/>
        <w:tblpPr w:leftFromText="180" w:rightFromText="180" w:vertAnchor="text" w:horzAnchor="margin" w:tblpY="173"/>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45"/>
        <w:gridCol w:w="1984"/>
        <w:gridCol w:w="1083"/>
        <w:gridCol w:w="950"/>
        <w:gridCol w:w="138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序号</w:t>
            </w:r>
          </w:p>
        </w:tc>
        <w:tc>
          <w:tcPr>
            <w:tcW w:w="1345"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采购计划编号</w:t>
            </w:r>
          </w:p>
        </w:tc>
        <w:tc>
          <w:tcPr>
            <w:tcW w:w="1984"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服务需求名称（标的名称）</w:t>
            </w:r>
          </w:p>
        </w:tc>
        <w:tc>
          <w:tcPr>
            <w:tcW w:w="1083"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数量</w:t>
            </w:r>
          </w:p>
        </w:tc>
        <w:tc>
          <w:tcPr>
            <w:tcW w:w="950"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单位</w:t>
            </w:r>
          </w:p>
        </w:tc>
        <w:tc>
          <w:tcPr>
            <w:tcW w:w="1383"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最高单项限价（元）</w:t>
            </w:r>
          </w:p>
        </w:tc>
        <w:tc>
          <w:tcPr>
            <w:tcW w:w="1417"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4"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w:t>
            </w:r>
          </w:p>
        </w:tc>
        <w:tc>
          <w:tcPr>
            <w:tcW w:w="1345"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LGZXYYZBB20231113-2</w:t>
            </w:r>
          </w:p>
        </w:tc>
        <w:tc>
          <w:tcPr>
            <w:tcW w:w="1984"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深圳市龙岗中心医院服务器安全管理系统升级维保项目</w:t>
            </w:r>
          </w:p>
        </w:tc>
        <w:tc>
          <w:tcPr>
            <w:tcW w:w="1083"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w:t>
            </w:r>
          </w:p>
        </w:tc>
        <w:tc>
          <w:tcPr>
            <w:tcW w:w="950"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项</w:t>
            </w:r>
          </w:p>
        </w:tc>
        <w:tc>
          <w:tcPr>
            <w:tcW w:w="1383"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198000.00</w:t>
            </w:r>
          </w:p>
        </w:tc>
        <w:tc>
          <w:tcPr>
            <w:tcW w:w="1417"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198000.00</w:t>
            </w:r>
          </w:p>
        </w:tc>
      </w:tr>
    </w:tbl>
    <w:p>
      <w:pPr>
        <w:jc w:val="center"/>
        <w:rPr>
          <w:rFonts w:hint="eastAsia" w:ascii="仿宋" w:hAnsi="仿宋" w:eastAsia="仿宋" w:cs="Calibri"/>
          <w:color w:val="auto"/>
          <w:kern w:val="2"/>
          <w:sz w:val="24"/>
          <w:szCs w:val="24"/>
          <w:lang w:val="en-US" w:eastAsia="zh-CN" w:bidi="ar-SA"/>
        </w:rPr>
      </w:pPr>
    </w:p>
    <w:p>
      <w:pPr>
        <w:pStyle w:val="6"/>
        <w:rPr>
          <w:rFonts w:hint="eastAsia"/>
          <w:color w:val="auto"/>
          <w:lang w:eastAsia="zh-CN"/>
        </w:rPr>
      </w:pPr>
    </w:p>
    <w:p>
      <w:pPr>
        <w:rPr>
          <w:rFonts w:hint="eastAsia"/>
          <w:color w:val="auto"/>
          <w:lang w:eastAsia="zh-CN"/>
        </w:rPr>
      </w:pPr>
    </w:p>
    <w:p>
      <w:pPr>
        <w:numPr>
          <w:ilvl w:val="0"/>
          <w:numId w:val="6"/>
        </w:numPr>
        <w:spacing w:line="360" w:lineRule="auto"/>
        <w:jc w:val="center"/>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采购项目内容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lang w:val="en-US" w:eastAsia="zh-CN"/>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服务</w:t>
      </w:r>
      <w:r>
        <w:rPr>
          <w:rFonts w:hint="eastAsia" w:ascii="仿宋" w:hAnsi="仿宋" w:eastAsia="仿宋" w:cs="仿宋"/>
          <w:b/>
          <w:color w:val="auto"/>
          <w:sz w:val="24"/>
          <w:szCs w:val="24"/>
          <w:lang w:val="en-US" w:eastAsia="zh-CN"/>
        </w:rPr>
        <w:t>要求：</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1、服务器安全系统升级：供应商指派专业的工程师针对采购人指定的服务器安全系统进行版本升级与替换，并提供专业的服务器安全管理系统。为保障软件升级工作的平滑、稳定，供应商需采用与采购人现有服务器安全软件同品牌的系统进行升级。</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2、服务器账号风险监测：提供针对服务器账号的风险检测功能，利用服务器安全管理系统对服务器的风险账户进行检测，发现可能存在风险的账号，对服务器的弱口令进行检测并发现复用的弱口令。</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3、服务器防病毒：提供服务器层面的防病毒功能，能够利用服务器安全管理系统的控制中心进行查杀，可实现本地查杀。</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4、入侵监测与防护：提供服务器的入侵监测与防护功能，能够完成对恶意扫描、暴力破解、异常</w:t>
      </w:r>
      <w:r>
        <w:rPr>
          <w:rFonts w:hint="eastAsia" w:ascii="仿宋" w:hAnsi="仿宋" w:eastAsia="仿宋" w:cs="仿宋"/>
          <w:color w:val="auto"/>
          <w:kern w:val="2"/>
          <w:sz w:val="24"/>
          <w:szCs w:val="24"/>
          <w:lang w:val="en-US" w:eastAsia="zh-CN" w:bidi="ar"/>
        </w:rPr>
        <w:t>登录</w:t>
      </w:r>
      <w:r>
        <w:rPr>
          <w:rFonts w:hint="default" w:ascii="仿宋" w:hAnsi="仿宋" w:eastAsia="仿宋" w:cs="仿宋"/>
          <w:color w:val="auto"/>
          <w:kern w:val="2"/>
          <w:sz w:val="24"/>
          <w:szCs w:val="24"/>
          <w:lang w:val="en-US" w:eastAsia="zh-CN" w:bidi="ar"/>
        </w:rPr>
        <w:t>等威胁的监测与防护。</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5、风险服务器微隔离：针对存在安全风险的服务器提供微隔离防护功能，包括防火墙、端口白名单、外连白名单能力，能够对端口进行白名单学习与控制，以及对外连进程的监控与控制。</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6、网络防护：提供针对服务器的网络防护功能，针对IP黑白名单进行控制，并且针对端口扫描行为进行防护。</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7、安全基线检查：提供针对服务器的安全基线检查功能，利用服务器安全管理系统对服务器进行等保二级、三级、CIS、系统服务的基线检查，以及账户安全核查、系统配置、应用配置等检查。</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8、服务器漏洞扫描：提供针对服务器的漏洞扫描及防护功能，利用服务器安全管理系统对服务器的操作系统、应用、中间件等进行漏洞扫描，并对漏洞进行复扫验证，并提供虚拟补丁防护功能。</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仿宋" w:hAnsi="仿宋" w:eastAsia="仿宋" w:cs="仿宋"/>
          <w:color w:val="auto"/>
          <w:kern w:val="2"/>
          <w:sz w:val="24"/>
          <w:szCs w:val="24"/>
        </w:rPr>
      </w:pPr>
      <w:r>
        <w:rPr>
          <w:rFonts w:hint="default" w:ascii="仿宋" w:hAnsi="仿宋" w:eastAsia="仿宋" w:cs="仿宋"/>
          <w:color w:val="auto"/>
          <w:kern w:val="2"/>
          <w:sz w:val="24"/>
          <w:szCs w:val="24"/>
          <w:lang w:val="en-US" w:eastAsia="zh-CN" w:bidi="ar"/>
        </w:rPr>
        <w:t>9、Webshell防护：提供针对服务器的Webshell防护功能，利用服务器安全管理系统发现Web网站中存在的后门文件，同时针对服务器内存Webshell检测。</w:t>
      </w:r>
    </w:p>
    <w:p>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default" w:ascii="仿宋" w:hAnsi="仿宋" w:eastAsia="仿宋" w:cs="仿宋"/>
          <w:color w:val="auto"/>
          <w:kern w:val="2"/>
          <w:sz w:val="24"/>
          <w:szCs w:val="24"/>
        </w:rPr>
      </w:pPr>
      <w:r>
        <w:rPr>
          <w:rFonts w:hint="default" w:ascii="仿宋" w:hAnsi="仿宋" w:eastAsia="仿宋" w:cs="仿宋"/>
          <w:b/>
          <w:bCs w:val="0"/>
          <w:color w:val="auto"/>
          <w:kern w:val="2"/>
          <w:sz w:val="24"/>
          <w:szCs w:val="24"/>
          <w:lang w:val="en-US" w:eastAsia="zh-CN" w:bidi="ar"/>
        </w:rPr>
        <w:t>★</w:t>
      </w:r>
      <w:r>
        <w:rPr>
          <w:rFonts w:hint="default" w:ascii="仿宋" w:hAnsi="仿宋" w:eastAsia="仿宋" w:cs="仿宋"/>
          <w:color w:val="auto"/>
          <w:kern w:val="2"/>
          <w:sz w:val="24"/>
          <w:szCs w:val="24"/>
          <w:lang w:val="en-US" w:eastAsia="zh-CN" w:bidi="ar"/>
        </w:rPr>
        <w:t>上述每项功能授权数量不少于550个，授权期限不少于一年。授权期内提供软件升级、规则库更新、技术支持和免费维保等服务。</w:t>
      </w:r>
    </w:p>
    <w:p>
      <w:pPr>
        <w:pStyle w:val="6"/>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lang w:val="en-US" w:eastAsia="zh-CN"/>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二）技术</w:t>
      </w:r>
      <w:r>
        <w:rPr>
          <w:rFonts w:hint="eastAsia" w:ascii="仿宋" w:hAnsi="仿宋" w:eastAsia="仿宋" w:cs="仿宋"/>
          <w:b/>
          <w:color w:val="auto"/>
          <w:sz w:val="24"/>
          <w:szCs w:val="24"/>
        </w:rPr>
        <w:t>服务</w:t>
      </w:r>
      <w:r>
        <w:rPr>
          <w:rFonts w:hint="eastAsia" w:ascii="仿宋" w:hAnsi="仿宋" w:eastAsia="仿宋" w:cs="仿宋"/>
          <w:b/>
          <w:color w:val="auto"/>
          <w:sz w:val="24"/>
          <w:szCs w:val="24"/>
          <w:lang w:val="en-US" w:eastAsia="zh-CN"/>
        </w:rPr>
        <w:t>要求：</w:t>
      </w:r>
    </w:p>
    <w:tbl>
      <w:tblPr>
        <w:tblStyle w:val="19"/>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6638"/>
        <w:gridCol w:w="665"/>
        <w:gridCol w:w="1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2" w:type="dxa"/>
            <w:shd w:val="clear" w:color="auto" w:fill="BEBEBE"/>
            <w:vAlign w:val="center"/>
          </w:tcPr>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6638" w:type="dxa"/>
            <w:shd w:val="clear" w:color="auto" w:fill="BEBEBE"/>
            <w:vAlign w:val="center"/>
          </w:tcPr>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技术要求</w:t>
            </w:r>
          </w:p>
        </w:tc>
        <w:tc>
          <w:tcPr>
            <w:tcW w:w="665" w:type="dxa"/>
            <w:shd w:val="clear" w:color="auto" w:fill="BEBEBE"/>
            <w:vAlign w:val="center"/>
          </w:tcPr>
          <w:p>
            <w:pPr>
              <w:tabs>
                <w:tab w:val="left" w:pos="210"/>
                <w:tab w:val="left" w:pos="420"/>
              </w:tabs>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标注</w:t>
            </w:r>
          </w:p>
        </w:tc>
        <w:tc>
          <w:tcPr>
            <w:tcW w:w="1202" w:type="dxa"/>
            <w:shd w:val="clear" w:color="auto" w:fill="BEBEBE"/>
            <w:vAlign w:val="center"/>
          </w:tcPr>
          <w:p>
            <w:pPr>
              <w:spacing w:line="240" w:lineRule="auto"/>
              <w:ind w:left="0" w:leftChars="0" w:right="-73" w:rightChars="-35"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2" w:type="dxa"/>
            <w:vAlign w:val="center"/>
          </w:tcPr>
          <w:p>
            <w:pPr>
              <w:spacing w:line="240" w:lineRule="auto"/>
              <w:ind w:left="0" w:leftChars="0" w:right="218" w:rightChars="104" w:firstLine="210" w:firstLineChars="10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p>
            <w:pPr>
              <w:spacing w:line="240" w:lineRule="auto"/>
              <w:ind w:left="0" w:leftChars="0" w:right="218" w:rightChars="104" w:firstLine="0" w:firstLineChars="0"/>
              <w:rPr>
                <w:rFonts w:hint="eastAsia" w:ascii="仿宋" w:hAnsi="仿宋" w:eastAsia="仿宋" w:cs="仿宋"/>
                <w:color w:val="auto"/>
                <w:sz w:val="21"/>
                <w:szCs w:val="21"/>
              </w:rPr>
            </w:pP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操作系统兼容性：</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Windows Server 2003 sp2/R2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Windows Server 2008 sp1及以上/R2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Windows Server 2012~2019 sp1及以上/R2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CentOs 5.0及以上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RHEL 5.5及以上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Ubuntu 14.04及以上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SUSE 11及以上版本 x86/x64</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Kylin Linux 4.18.0-147</w:t>
            </w:r>
          </w:p>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Deepin-4.19.0-arm64-server_1707/1813</w:t>
            </w:r>
          </w:p>
        </w:tc>
        <w:tc>
          <w:tcPr>
            <w:tcW w:w="665" w:type="dxa"/>
            <w:vAlign w:val="center"/>
          </w:tcPr>
          <w:p>
            <w:pPr>
              <w:spacing w:line="240" w:lineRule="auto"/>
              <w:ind w:left="0" w:leftChars="0" w:right="218" w:rightChars="104" w:firstLine="0" w:firstLineChars="0"/>
              <w:rPr>
                <w:rFonts w:hint="eastAsia" w:ascii="仿宋" w:hAnsi="仿宋" w:eastAsia="仿宋" w:cs="仿宋"/>
                <w:color w:val="auto"/>
                <w:sz w:val="21"/>
                <w:szCs w:val="21"/>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tabs>
                <w:tab w:val="center" w:pos="420"/>
              </w:tabs>
              <w:spacing w:line="240" w:lineRule="auto"/>
              <w:ind w:left="0" w:leftChars="0" w:right="218" w:rightChars="104" w:firstLine="0" w:firstLineChars="0"/>
              <w:jc w:val="center"/>
              <w:rPr>
                <w:rFonts w:hint="eastAsia" w:ascii="仿宋" w:hAnsi="仿宋" w:eastAsia="仿宋" w:cs="仿宋"/>
                <w:color w:val="auto"/>
                <w:sz w:val="21"/>
                <w:szCs w:val="21"/>
                <w:highlight w:val="white"/>
                <w:lang w:val="en-US" w:eastAsia="zh-CN"/>
              </w:rPr>
            </w:pPr>
            <w:r>
              <w:rPr>
                <w:rFonts w:hint="eastAsia" w:ascii="仿宋" w:hAnsi="仿宋" w:eastAsia="仿宋" w:cs="仿宋"/>
                <w:color w:val="auto"/>
                <w:sz w:val="21"/>
                <w:szCs w:val="21"/>
                <w:highlight w:val="white"/>
                <w:lang w:val="en-US" w:eastAsia="zh-CN"/>
              </w:rPr>
              <w:t xml:space="preserve"> 2</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软件应具有自身安全保护措施，防止被非授权用户强行卸载、删除或修改。（除提供软件功能截图材料外，还需提供国家级测评中心出具的对应功能测试报告，不提供不得分）</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r>
              <w:rPr>
                <w:rFonts w:hint="eastAsia" w:ascii="仿宋" w:hAnsi="仿宋" w:eastAsia="仿宋" w:cs="仿宋"/>
                <w:color w:val="auto"/>
                <w:kern w:val="0"/>
                <w:szCs w:val="21"/>
              </w:rPr>
              <w:t>▲</w:t>
            </w: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3</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kern w:val="0"/>
                <w:sz w:val="21"/>
                <w:szCs w:val="21"/>
                <w:lang w:bidi="ar"/>
              </w:rPr>
              <w:t>服务采用软件需支持自我防护技术，即使客户端被意外关闭，防护依然有效</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支持五元组的主机防火墙，支持以IP/端口/协议/方向/域名/进程服务等条件实现对服务器的经典访问控制（提供软件功能截图）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5</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支持设置端口的暴露控制规则，包括但不限于：禁止/允许外网暴露、禁止/允许内网暴露等策略，并支持例外端口的添加（提供软件功能截图）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支持对服务器进程、端口的网络连接情况进行学习，通过学习生成白名单实现对非白名单内的IP流量进行监控阻断（提供软件功能截图）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支持对服务器中复用的相同密码进行检测，可识别出某个密码被哪些服务器、哪个账户、在什么操作系统上进行了复用；（提供软件功能截图）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r>
              <w:rPr>
                <w:rFonts w:hint="eastAsia" w:ascii="仿宋" w:hAnsi="仿宋" w:eastAsia="仿宋" w:cs="仿宋"/>
                <w:color w:val="auto"/>
                <w:kern w:val="0"/>
                <w:szCs w:val="21"/>
              </w:rPr>
              <w:t>▲</w:t>
            </w: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8</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内置等保二级、三级、CIS、系统服务核查、账户安全核查、系统配置安全检查、应用配置安全检</w:t>
            </w:r>
            <w:r>
              <w:rPr>
                <w:rFonts w:hint="eastAsia" w:ascii="仿宋" w:hAnsi="仿宋" w:eastAsia="仿宋" w:cs="仿宋"/>
                <w:color w:val="auto"/>
                <w:sz w:val="21"/>
                <w:szCs w:val="21"/>
                <w:lang w:val="en-US" w:eastAsia="zh-CN"/>
              </w:rPr>
              <w:t>查</w:t>
            </w:r>
            <w:r>
              <w:rPr>
                <w:rFonts w:hint="eastAsia" w:ascii="仿宋" w:hAnsi="仿宋" w:eastAsia="仿宋" w:cs="仿宋"/>
                <w:color w:val="auto"/>
                <w:sz w:val="21"/>
                <w:szCs w:val="21"/>
              </w:rPr>
              <w:t>项，并以图表的形式展示检查项的合规率、TOP5、风险服务器TOP5，并对检查出的问题给出修改意见。</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92" w:type="dxa"/>
            <w:vAlign w:val="center"/>
          </w:tcPr>
          <w:p>
            <w:pPr>
              <w:ind w:left="0" w:leftChars="0" w:right="218" w:rightChars="104" w:firstLine="218" w:firstLineChars="104"/>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9</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病毒实时防护功能，提供自主研发的病毒引擎，并支持用户在本地查杀、控制中心查杀、云查杀三种查杀模式灵活切换。服务采用工具软件需支持Bitdefender、Clamav等开源杀毒引擎；服务采用工具软件需支持通过连接互联网，利用最新的病毒库进行病毒扫描和查杀；服务采用工具软件自研引擎需具有丰富的格式识别和解析能力、支持PE和非PE病毒查杀，可完美修复被感染文件、能检测近十年的高危漏洞；（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r>
              <w:rPr>
                <w:rFonts w:hint="eastAsia" w:ascii="仿宋" w:hAnsi="仿宋" w:eastAsia="仿宋" w:cs="仿宋"/>
                <w:color w:val="auto"/>
                <w:kern w:val="0"/>
                <w:szCs w:val="21"/>
              </w:rPr>
              <w:t>▲</w:t>
            </w: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left="0" w:leftChars="0" w:right="218" w:rightChars="104" w:firstLine="218" w:firstLineChars="104"/>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对压缩包文件进行监控，且可设置跳过压缩包大小，最大支持100MB；可支持最多监控10层压缩包以及支持最多提取9999个压缩文件；需支持同时对Linux和Windows系统下的压缩包文件类型进行扫描；（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11</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支持对服务器的软件漏洞进行综合扫描，并可对扫描方式、扫描周期进行设置，并以报告的形式展示软件漏洞扫描结果，包括：问题机器TOP5、影响最多漏洞TOP5、漏洞发现趋势等；</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12</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支持提供在漏洞检测功能基础上，开启虚拟补丁防护功能。虚拟补丁需与漏洞CVE编号关联，虚拟补丁防护可支持操作系统、web服务器、中间件、数据库、应用等类型漏洞防护；</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13</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以攻击者视角、受害者视角展示恶意扫描的事件，包括：服务器名称、负责人、所属部门、操作地址、最近发生时间、受害IP、攻击IP等信息，并可将事件加入黑名单或白名单，还可对受害的IP进行防端口扫描、屏蔽扫描器等设置。（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r>
              <w:rPr>
                <w:rFonts w:hint="eastAsia" w:ascii="仿宋" w:hAnsi="仿宋" w:eastAsia="仿宋" w:cs="仿宋"/>
                <w:color w:val="auto"/>
                <w:kern w:val="0"/>
                <w:szCs w:val="21"/>
              </w:rPr>
              <w:t>▲</w:t>
            </w: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14</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服务采用工具软件应支持以多种检测方式（RASP、内核监控、沙箱、内存Webshell等）检测webshell攻击；（提供工具软件功能截图）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r>
              <w:rPr>
                <w:rFonts w:hint="eastAsia" w:ascii="仿宋" w:hAnsi="仿宋" w:eastAsia="仿宋" w:cs="仿宋"/>
                <w:color w:val="auto"/>
                <w:kern w:val="0"/>
                <w:szCs w:val="21"/>
              </w:rPr>
              <w:t>▲</w:t>
            </w: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15</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服务采用工具软件需支持防端口扫描功能，且可设置单个IP请求时间范围、最大扫描端口数量、IP锁定事件等信息；服务采用工具软件需支持微蜜罐功能，且可设置返回文本信息以及监听端口；（提供软件功能截图）</w:t>
            </w:r>
          </w:p>
        </w:tc>
        <w:tc>
          <w:tcPr>
            <w:tcW w:w="665" w:type="dxa"/>
            <w:vAlign w:val="center"/>
          </w:tcPr>
          <w:p>
            <w:pPr>
              <w:tabs>
                <w:tab w:val="left" w:pos="420"/>
                <w:tab w:val="left" w:pos="640"/>
              </w:tabs>
              <w:spacing w:line="240" w:lineRule="auto"/>
              <w:ind w:left="0" w:leftChars="0" w:right="218" w:rightChars="104" w:firstLine="0" w:firstLineChars="0"/>
              <w:jc w:val="center"/>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16</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服务采用工具软件需支持对服务器的软件漏洞进行综合扫描，并可对扫描方式、扫描周期进行设置，并以报告的形式展示软件漏洞扫描结果，包括：问题机器TOP5、影响最多漏洞TOP5、漏洞发现趋势等；</w:t>
            </w:r>
          </w:p>
        </w:tc>
        <w:tc>
          <w:tcPr>
            <w:tcW w:w="665" w:type="dxa"/>
            <w:vAlign w:val="center"/>
          </w:tcPr>
          <w:p>
            <w:pPr>
              <w:spacing w:line="240" w:lineRule="auto"/>
              <w:ind w:left="0" w:leftChars="0" w:right="218" w:rightChars="104" w:firstLine="0" w:firstLineChars="0"/>
              <w:jc w:val="center"/>
              <w:rPr>
                <w:rFonts w:hint="eastAsia" w:ascii="仿宋" w:hAnsi="仿宋" w:eastAsia="仿宋" w:cs="仿宋"/>
                <w:color w:val="auto"/>
                <w:kern w:val="0"/>
                <w:szCs w:val="21"/>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17</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服务采用工具软件需支持以柱状图的形式展示某段时间内的日志数量，并在柱状图下方展示具体的日志事件，并在日志上方以标签</w:t>
            </w:r>
          </w:p>
        </w:tc>
        <w:tc>
          <w:tcPr>
            <w:tcW w:w="665" w:type="dxa"/>
            <w:vAlign w:val="center"/>
          </w:tcPr>
          <w:p>
            <w:pPr>
              <w:spacing w:line="240" w:lineRule="auto"/>
              <w:ind w:left="0" w:leftChars="0" w:right="218" w:rightChars="104" w:firstLine="0" w:firstLineChars="0"/>
              <w:jc w:val="center"/>
              <w:rPr>
                <w:rFonts w:hint="eastAsia" w:ascii="仿宋" w:hAnsi="仿宋" w:eastAsia="仿宋" w:cs="仿宋"/>
                <w:color w:val="auto"/>
                <w:kern w:val="0"/>
                <w:szCs w:val="21"/>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dxa"/>
            <w:vAlign w:val="center"/>
          </w:tcPr>
          <w:p>
            <w:pPr>
              <w:ind w:right="218" w:rightChars="104"/>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18</w:t>
            </w:r>
          </w:p>
        </w:tc>
        <w:tc>
          <w:tcPr>
            <w:tcW w:w="6638"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r>
              <w:rPr>
                <w:rFonts w:hint="eastAsia" w:ascii="仿宋" w:hAnsi="仿宋" w:eastAsia="仿宋" w:cs="仿宋"/>
                <w:color w:val="auto"/>
                <w:sz w:val="21"/>
                <w:szCs w:val="21"/>
              </w:rPr>
              <w:t>支持记录当前所有服务器产生的事件日志，并支持全量日志的关键字及语法搜索，支持检索的语法包括但不限于：服务器相关参数、访问主体相关参数、网络相关参数、操作相关参数、客体相关参数、登陆日志相关参数等进行检索，并支持返回上次筛选的关键词（至少可返回不少于5个）；（提供软件功能截图）</w:t>
            </w:r>
          </w:p>
        </w:tc>
        <w:tc>
          <w:tcPr>
            <w:tcW w:w="665"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c>
          <w:tcPr>
            <w:tcW w:w="1202" w:type="dxa"/>
            <w:vAlign w:val="center"/>
          </w:tcPr>
          <w:p>
            <w:pPr>
              <w:spacing w:line="240" w:lineRule="auto"/>
              <w:ind w:left="0" w:leftChars="0" w:right="218" w:rightChars="104" w:firstLine="0" w:firstLineChars="0"/>
              <w:rPr>
                <w:rFonts w:hint="eastAsia" w:ascii="仿宋" w:hAnsi="仿宋" w:eastAsia="仿宋" w:cs="仿宋"/>
                <w:color w:val="auto"/>
                <w:sz w:val="21"/>
                <w:szCs w:val="21"/>
                <w:highlight w:val="white"/>
              </w:rPr>
            </w:pPr>
          </w:p>
        </w:tc>
      </w:tr>
    </w:tbl>
    <w:p>
      <w:pPr>
        <w:pStyle w:val="24"/>
        <w:rPr>
          <w:rFonts w:hint="eastAsia" w:ascii="仿宋" w:hAnsi="仿宋" w:eastAsia="仿宋" w:cs="仿宋"/>
          <w:color w:val="auto"/>
          <w:spacing w:val="0"/>
          <w:kern w:val="2"/>
          <w:sz w:val="24"/>
          <w:szCs w:val="24"/>
          <w:lang w:val="en-US" w:eastAsia="zh-CN" w:bidi="ar-SA"/>
        </w:rPr>
      </w:pPr>
    </w:p>
    <w:p>
      <w:pPr>
        <w:pStyle w:val="24"/>
        <w:rPr>
          <w:rFonts w:hint="eastAsia" w:ascii="仿宋" w:hAnsi="仿宋" w:eastAsia="仿宋" w:cs="仿宋"/>
          <w:color w:val="auto"/>
          <w:spacing w:val="0"/>
          <w:kern w:val="2"/>
          <w:sz w:val="24"/>
          <w:szCs w:val="24"/>
          <w:lang w:val="en-US" w:eastAsia="zh-CN" w:bidi="ar-SA"/>
        </w:rPr>
      </w:pPr>
    </w:p>
    <w:p>
      <w:pPr>
        <w:pStyle w:val="6"/>
        <w:rPr>
          <w:rFonts w:hint="eastAsia"/>
          <w:color w:val="auto"/>
          <w:lang w:val="en-US" w:eastAsia="zh-CN"/>
        </w:rPr>
      </w:pPr>
    </w:p>
    <w:p>
      <w:pPr>
        <w:numPr>
          <w:ilvl w:val="0"/>
          <w:numId w:val="6"/>
        </w:numPr>
        <w:spacing w:line="360" w:lineRule="auto"/>
        <w:jc w:val="center"/>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商务要求</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bookmarkStart w:id="4" w:name="_Toc184635261"/>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履约地点</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lang w:eastAsia="zh-CN"/>
        </w:rPr>
        <w:t>深圳市龙岗中心医院指定地点。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二）</w:t>
      </w:r>
      <w:r>
        <w:rPr>
          <w:rFonts w:hint="eastAsia" w:ascii="仿宋" w:hAnsi="仿宋" w:eastAsia="仿宋" w:cs="仿宋"/>
          <w:b/>
          <w:color w:val="auto"/>
          <w:sz w:val="24"/>
          <w:szCs w:val="24"/>
        </w:rPr>
        <w:t>服务期限</w:t>
      </w:r>
      <w:r>
        <w:rPr>
          <w:rFonts w:hint="eastAsia" w:ascii="仿宋" w:hAnsi="仿宋" w:eastAsia="仿宋" w:cs="仿宋"/>
          <w:b/>
          <w:color w:val="auto"/>
          <w:sz w:val="24"/>
          <w:szCs w:val="24"/>
          <w:lang w:eastAsia="zh-CN"/>
        </w:rPr>
        <w:t>：</w:t>
      </w:r>
      <w:bookmarkEnd w:id="4"/>
      <w:r>
        <w:rPr>
          <w:rFonts w:hint="eastAsia" w:ascii="仿宋" w:hAnsi="仿宋" w:eastAsia="仿宋" w:cs="仿宋"/>
          <w:color w:val="auto"/>
          <w:sz w:val="24"/>
          <w:szCs w:val="24"/>
          <w:lang w:val="en-US" w:eastAsia="zh-CN"/>
        </w:rPr>
        <w:t>本项目服务期限为一年。</w:t>
      </w:r>
    </w:p>
    <w:p>
      <w:pPr>
        <w:pageBreakBefore w:val="0"/>
        <w:kinsoku/>
        <w:wordWrap/>
        <w:overflowPunct/>
        <w:topLinePunct w:val="0"/>
        <w:autoSpaceDE/>
        <w:autoSpaceDN/>
        <w:bidi w:val="0"/>
        <w:spacing w:line="440" w:lineRule="exact"/>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付款方式：</w:t>
      </w:r>
      <w:bookmarkStart w:id="5" w:name="_Toc184635265"/>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1.合同签订后，甲方向乙方支付合同总价40%的款项。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2.项目验收完毕后，甲方向乙方支付合同总价 60 %的款项。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w:t>
      </w:r>
      <w:r>
        <w:rPr>
          <w:rFonts w:hint="eastAsia" w:ascii="仿宋" w:hAnsi="仿宋" w:eastAsia="仿宋" w:cs="仿宋"/>
          <w:b/>
          <w:color w:val="auto"/>
          <w:kern w:val="2"/>
          <w:sz w:val="24"/>
          <w:szCs w:val="24"/>
          <w:lang w:val="en-US" w:eastAsia="zh-CN" w:bidi="ar-SA"/>
        </w:rPr>
        <w:t>（四）</w:t>
      </w:r>
      <w:bookmarkEnd w:id="5"/>
      <w:r>
        <w:rPr>
          <w:rFonts w:hint="eastAsia" w:ascii="仿宋" w:hAnsi="仿宋" w:eastAsia="仿宋" w:cs="仿宋"/>
          <w:b/>
          <w:color w:val="auto"/>
          <w:sz w:val="24"/>
          <w:szCs w:val="24"/>
          <w:lang w:val="en-US" w:eastAsia="zh-CN"/>
        </w:rPr>
        <w:t>关于验收</w:t>
      </w:r>
      <w:r>
        <w:rPr>
          <w:rFonts w:hint="eastAsia" w:ascii="仿宋" w:hAnsi="仿宋" w:eastAsia="仿宋" w:cs="仿宋"/>
          <w:b/>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1、服务经过双方检验认可后，签署验收报告。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2、当满足以下条件时，使用部门向投标人签发验收报告:</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a、投标人已按照合同规定提供了全部技术资料。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b、服务项目符合招标文件的服务要求。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（五）报价要求：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服务费采用包干制，应包括服务成本、法定税费和企业的利润。由企业根据采购文件所提供的资料自行测算投标报价；一经中标，投标报价总价作为中标单位与采购人签订的合同金额，合同期限内不做调整。</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3、投标人的投标报价，应是本项目招标范围和采购文件及合同条款上所列的各项内容中所述的全部，不得以任何理由予以重复，并以投标人在投标文件中提出的综合单价或总价为依据。</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除非采购机构通过修改采购文件予以更正，否则，投标人应毫无例外地按采购文件所列的清单中项目和数量填报综合单价或总价。投标人未填综合单价或总价的项目，在实施后，将不得以支付，并视作该项费用已包括在其他有价款的综合单价或总价内。</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5、投标人应充分了解项目的位置、情况、道路及任何其他足以影响投标报价的情况，任何因忽视或误解项目情况而导致的索赔或服务期限延长申请将不获批准。</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6、投标人不得期望通过索赔等方式获取补偿，否则，除可能遭到拒绝外，还可能将被作为不良行为记录在案，并可能影响其以后参加政府采购的项目投标。各投标人在投标报价时，应充分考虑投标报价的风险。  </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p>
    <w:p>
      <w:pPr>
        <w:pStyle w:val="6"/>
        <w:rPr>
          <w:rFonts w:hint="eastAsia" w:ascii="仿宋" w:hAnsi="仿宋" w:eastAsia="仿宋" w:cs="仿宋"/>
          <w:color w:val="auto"/>
          <w:sz w:val="24"/>
          <w:szCs w:val="24"/>
        </w:rPr>
      </w:pPr>
    </w:p>
    <w:p>
      <w:pPr>
        <w:pStyle w:val="6"/>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spacing w:before="0" w:after="0" w:afterAutospacing="0" w:line="400" w:lineRule="exact"/>
        <w:jc w:val="center"/>
        <w:rPr>
          <w:rFonts w:hint="default" w:ascii="宋体" w:hAnsi="宋体" w:eastAsia="宋体" w:cs="Times New Roman"/>
          <w:b/>
          <w:bCs w:val="0"/>
          <w:color w:val="auto"/>
          <w:kern w:val="0"/>
          <w:sz w:val="28"/>
          <w:szCs w:val="28"/>
          <w:lang w:val="en-US" w:eastAsia="zh-CN" w:bidi="ar-SA"/>
        </w:rPr>
      </w:pPr>
      <w:r>
        <w:rPr>
          <w:rFonts w:hint="eastAsia" w:ascii="宋体" w:hAnsi="宋体" w:eastAsia="宋体" w:cs="Times New Roman"/>
          <w:b/>
          <w:bCs w:val="0"/>
          <w:color w:val="auto"/>
          <w:kern w:val="0"/>
          <w:sz w:val="28"/>
          <w:szCs w:val="28"/>
          <w:lang w:val="en-US" w:eastAsia="zh-CN" w:bidi="ar-SA"/>
        </w:rPr>
        <w:t>第三章 投标文件的组成、格式</w:t>
      </w:r>
    </w:p>
    <w:p>
      <w:pPr>
        <w:rPr>
          <w:rStyle w:val="31"/>
          <w:rFonts w:ascii="宋体" w:hAnsi="宋体" w:eastAsia="宋体" w:cs="宋体"/>
          <w:b/>
          <w:bCs w:val="0"/>
          <w:color w:val="auto"/>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outlineLvl w:val="2"/>
        <w:rPr>
          <w:rStyle w:val="31"/>
          <w:rFonts w:hint="eastAsia" w:ascii="仿宋" w:hAnsi="仿宋" w:eastAsia="仿宋" w:cs="仿宋"/>
          <w:b/>
          <w:bCs w:val="0"/>
          <w:color w:val="auto"/>
          <w:sz w:val="24"/>
          <w:szCs w:val="24"/>
          <w:highlight w:val="none"/>
        </w:rPr>
      </w:pPr>
      <w:r>
        <w:rPr>
          <w:rStyle w:val="31"/>
          <w:rFonts w:hint="eastAsia" w:ascii="仿宋" w:hAnsi="仿宋" w:eastAsia="仿宋" w:cs="仿宋"/>
          <w:b/>
          <w:bCs w:val="0"/>
          <w:color w:val="auto"/>
          <w:sz w:val="24"/>
          <w:szCs w:val="24"/>
          <w:highlight w:val="none"/>
        </w:rPr>
        <w:t>投标文件组成</w:t>
      </w:r>
    </w:p>
    <w:p>
      <w:pPr>
        <w:pStyle w:val="6"/>
        <w:keepNext w:val="0"/>
        <w:keepLines w:val="0"/>
        <w:pageBreakBefore w:val="0"/>
        <w:widowControl w:val="0"/>
        <w:kinsoku/>
        <w:wordWrap/>
        <w:overflowPunct/>
        <w:topLinePunct w:val="0"/>
        <w:autoSpaceDE/>
        <w:autoSpaceDN/>
        <w:bidi w:val="0"/>
        <w:adjustRightInd/>
        <w:spacing w:line="360" w:lineRule="auto"/>
        <w:textAlignment w:val="auto"/>
        <w:rPr>
          <w:rFonts w:hint="eastAsia"/>
          <w:color w:val="auto"/>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评标指引表及目录</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投标函</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3.报价明细表</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投标人基本情况</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投标人基本情况一览表</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具有统一社会信用代码的营业执照（或事业单位法人证书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或社会团体法人登记证书或执业许可证等证明文件）</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法定代表人授权书（投标人代表为法定代表人的无须提供本格式）</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法定代表人证明书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5）参与本项目无重大违法记录声明函、政府采购活动时不存在被有关部门禁止参与政府采购活动且在有效期内的情况（由供应商作出声明）</w:t>
      </w:r>
      <w:r>
        <w:rPr>
          <w:rFonts w:hint="eastAsia" w:ascii="仿宋" w:hAnsi="仿宋" w:eastAsia="仿宋" w:cs="仿宋"/>
          <w:color w:val="auto"/>
          <w:sz w:val="24"/>
          <w:szCs w:val="24"/>
          <w:highlight w:val="none"/>
        </w:rPr>
        <w:t>（格式自拟）</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6）投标人资格自查表</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相关承诺函格式</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投标及履约承诺函</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诚信承诺函</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投标人资格条件中所需的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资格条件相关证明文件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DOCVARIABLE  商务条款响应表开始  \* MERGEFORMAT </w:instrTex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DOCVARIABLE  商务条款响应表开始  \* MERGEFORMAT </w:instrTex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商务条款响应表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8.服务需求响应表</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9.投标人认为需要加以说明的其他内容</w:t>
      </w:r>
    </w:p>
    <w:p>
      <w:pPr>
        <w:keepNext w:val="0"/>
        <w:keepLines w:val="0"/>
        <w:pageBreakBefore w:val="0"/>
        <w:widowControl w:val="0"/>
        <w:kinsoku/>
        <w:wordWrap/>
        <w:overflowPunct/>
        <w:topLinePunct w:val="0"/>
        <w:autoSpaceDE/>
        <w:autoSpaceDN/>
        <w:bidi w:val="0"/>
        <w:adjustRightInd/>
        <w:spacing w:before="0" w:after="0" w:afterAutospacing="0" w:line="360" w:lineRule="auto"/>
        <w:ind w:firstLine="240" w:firstLineChars="100"/>
        <w:textAlignment w:val="auto"/>
        <w:rPr>
          <w:rFonts w:hint="eastAsia" w:ascii="宋体" w:hAnsi="宋体" w:cs="宋体"/>
          <w:b/>
          <w:bCs/>
          <w:color w:val="auto"/>
          <w:szCs w:val="21"/>
        </w:rPr>
      </w:pPr>
      <w:r>
        <w:rPr>
          <w:rFonts w:hint="eastAsia" w:ascii="仿宋" w:hAnsi="仿宋" w:eastAsia="仿宋" w:cs="仿宋"/>
          <w:b w:val="0"/>
          <w:color w:val="auto"/>
          <w:spacing w:val="0"/>
          <w:w w:val="100"/>
          <w:sz w:val="24"/>
          <w:szCs w:val="24"/>
          <w:highlight w:val="none"/>
        </w:rPr>
        <w:t>注：投标人将所有投标文件一起包装在一个密封袋里，并在袋上注明项目名称以及投标人名称、地址，封口处应贴封条并骑缝加盖投标人公章。投标文件由以</w:t>
      </w:r>
      <w:r>
        <w:rPr>
          <w:rFonts w:hint="eastAsia" w:ascii="仿宋" w:hAnsi="仿宋" w:eastAsia="仿宋" w:cs="仿宋"/>
          <w:b w:val="0"/>
          <w:color w:val="auto"/>
          <w:spacing w:val="0"/>
          <w:w w:val="100"/>
          <w:sz w:val="24"/>
          <w:szCs w:val="24"/>
          <w:highlight w:val="none"/>
          <w:lang w:val="en-US" w:eastAsia="zh-CN"/>
        </w:rPr>
        <w:t>上</w:t>
      </w:r>
      <w:r>
        <w:rPr>
          <w:rFonts w:hint="eastAsia" w:ascii="仿宋" w:hAnsi="仿宋" w:eastAsia="仿宋" w:cs="仿宋"/>
          <w:b w:val="0"/>
          <w:color w:val="auto"/>
          <w:spacing w:val="0"/>
          <w:w w:val="100"/>
          <w:sz w:val="24"/>
          <w:szCs w:val="24"/>
          <w:highlight w:val="none"/>
        </w:rPr>
        <w:t>组成，按如</w:t>
      </w:r>
      <w:r>
        <w:rPr>
          <w:rFonts w:hint="eastAsia" w:ascii="仿宋" w:hAnsi="仿宋" w:eastAsia="仿宋" w:cs="仿宋"/>
          <w:b w:val="0"/>
          <w:color w:val="auto"/>
          <w:spacing w:val="0"/>
          <w:w w:val="100"/>
          <w:sz w:val="24"/>
          <w:szCs w:val="24"/>
          <w:highlight w:val="none"/>
          <w:lang w:val="en-US" w:eastAsia="zh-CN"/>
        </w:rPr>
        <w:t>上</w:t>
      </w:r>
      <w:r>
        <w:rPr>
          <w:rFonts w:hint="eastAsia" w:ascii="仿宋" w:hAnsi="仿宋" w:eastAsia="仿宋" w:cs="仿宋"/>
          <w:b w:val="0"/>
          <w:color w:val="auto"/>
          <w:spacing w:val="0"/>
          <w:w w:val="100"/>
          <w:sz w:val="24"/>
          <w:szCs w:val="24"/>
          <w:highlight w:val="none"/>
        </w:rPr>
        <w:t>顺序分别装订成本（不少于</w:t>
      </w:r>
      <w:r>
        <w:rPr>
          <w:rFonts w:hint="eastAsia" w:ascii="仿宋" w:hAnsi="仿宋" w:eastAsia="仿宋" w:cs="仿宋"/>
          <w:b w:val="0"/>
          <w:color w:val="auto"/>
          <w:spacing w:val="0"/>
          <w:w w:val="100"/>
          <w:sz w:val="24"/>
          <w:szCs w:val="24"/>
          <w:highlight w:val="none"/>
          <w:lang w:val="en-US" w:eastAsia="zh-CN"/>
        </w:rPr>
        <w:t>3</w:t>
      </w:r>
      <w:r>
        <w:rPr>
          <w:rFonts w:hint="eastAsia" w:ascii="仿宋" w:hAnsi="仿宋" w:eastAsia="仿宋" w:cs="仿宋"/>
          <w:b w:val="0"/>
          <w:color w:val="auto"/>
          <w:spacing w:val="0"/>
          <w:w w:val="100"/>
          <w:sz w:val="24"/>
          <w:szCs w:val="24"/>
          <w:highlight w:val="none"/>
        </w:rPr>
        <w:t>份）：</w:t>
      </w:r>
    </w:p>
    <w:p>
      <w:pPr>
        <w:pStyle w:val="24"/>
        <w:rPr>
          <w:rFonts w:hint="eastAsia" w:ascii="宋体" w:hAnsi="宋体" w:cs="宋体"/>
          <w:b/>
          <w:bCs/>
          <w:color w:val="auto"/>
          <w:szCs w:val="21"/>
        </w:rPr>
      </w:pPr>
    </w:p>
    <w:p>
      <w:pPr>
        <w:outlineLvl w:val="2"/>
        <w:rPr>
          <w:rFonts w:hint="eastAsia" w:ascii="仿宋" w:hAnsi="仿宋" w:eastAsia="仿宋" w:cs="仿宋"/>
          <w:b/>
          <w:bCs/>
          <w:color w:val="auto"/>
          <w:sz w:val="24"/>
          <w:szCs w:val="24"/>
        </w:rPr>
      </w:pPr>
    </w:p>
    <w:p>
      <w:pPr>
        <w:outlineLvl w:val="2"/>
        <w:rPr>
          <w:rFonts w:hint="eastAsia" w:ascii="仿宋" w:hAnsi="仿宋" w:eastAsia="仿宋" w:cs="仿宋"/>
          <w:b/>
          <w:bCs/>
          <w:color w:val="auto"/>
          <w:sz w:val="24"/>
          <w:szCs w:val="24"/>
        </w:rPr>
      </w:pPr>
    </w:p>
    <w:p>
      <w:pPr>
        <w:outlineLvl w:val="2"/>
        <w:rPr>
          <w:rFonts w:hint="eastAsia" w:ascii="仿宋" w:hAnsi="仿宋" w:eastAsia="仿宋" w:cs="仿宋"/>
          <w:b/>
          <w:bCs/>
          <w:color w:val="auto"/>
          <w:sz w:val="24"/>
          <w:szCs w:val="24"/>
        </w:rPr>
      </w:pPr>
    </w:p>
    <w:p>
      <w:pPr>
        <w:outlineLvl w:val="2"/>
        <w:rPr>
          <w:rFonts w:hint="eastAsia" w:ascii="仿宋" w:hAnsi="仿宋" w:eastAsia="仿宋" w:cs="仿宋"/>
          <w:b/>
          <w:bCs/>
          <w:color w:val="auto"/>
          <w:sz w:val="24"/>
          <w:szCs w:val="24"/>
        </w:rPr>
      </w:pPr>
    </w:p>
    <w:p>
      <w:pPr>
        <w:outlineLvl w:val="2"/>
        <w:rPr>
          <w:rFonts w:hint="eastAsia" w:ascii="仿宋" w:hAnsi="仿宋" w:eastAsia="仿宋" w:cs="仿宋"/>
          <w:b/>
          <w:bCs/>
          <w:color w:val="auto"/>
          <w:sz w:val="24"/>
          <w:szCs w:val="24"/>
        </w:rPr>
      </w:pPr>
    </w:p>
    <w:p>
      <w:pPr>
        <w:outlineLvl w:val="2"/>
        <w:rPr>
          <w:rFonts w:hint="eastAsia" w:ascii="仿宋" w:hAnsi="仿宋" w:eastAsia="仿宋" w:cs="仿宋"/>
          <w:b/>
          <w:color w:val="auto"/>
          <w:sz w:val="24"/>
          <w:szCs w:val="24"/>
        </w:rPr>
      </w:pPr>
      <w:r>
        <w:rPr>
          <w:rFonts w:hint="eastAsia" w:ascii="仿宋" w:hAnsi="仿宋" w:eastAsia="仿宋" w:cs="仿宋"/>
          <w:b/>
          <w:bCs/>
          <w:color w:val="auto"/>
          <w:sz w:val="24"/>
          <w:szCs w:val="24"/>
        </w:rPr>
        <w:t>投标</w:t>
      </w:r>
      <w:r>
        <w:rPr>
          <w:rStyle w:val="31"/>
          <w:rFonts w:hint="eastAsia" w:ascii="仿宋" w:hAnsi="仿宋" w:eastAsia="仿宋" w:cs="仿宋"/>
          <w:b/>
          <w:bCs w:val="0"/>
          <w:color w:val="auto"/>
          <w:sz w:val="24"/>
          <w:szCs w:val="24"/>
        </w:rPr>
        <w:t>文件</w:t>
      </w:r>
      <w:r>
        <w:rPr>
          <w:rFonts w:hint="eastAsia" w:ascii="仿宋" w:hAnsi="仿宋" w:eastAsia="仿宋" w:cs="仿宋"/>
          <w:b/>
          <w:color w:val="auto"/>
          <w:sz w:val="24"/>
          <w:szCs w:val="24"/>
        </w:rPr>
        <w:t>格式</w:t>
      </w:r>
    </w:p>
    <w:p>
      <w:pPr>
        <w:rPr>
          <w:color w:val="auto"/>
        </w:rPr>
      </w:pPr>
    </w:p>
    <w:p>
      <w:pPr>
        <w:keepNext/>
        <w:keepLines/>
        <w:spacing w:line="360" w:lineRule="auto"/>
        <w:outlineLvl w:val="3"/>
        <w:rPr>
          <w:rFonts w:hint="eastAsia" w:ascii="仿宋" w:hAnsi="仿宋" w:eastAsia="仿宋" w:cs="仿宋"/>
          <w:b/>
          <w:bCs/>
          <w:color w:val="auto"/>
          <w:sz w:val="24"/>
          <w:szCs w:val="24"/>
        </w:rPr>
      </w:pPr>
      <w:bookmarkStart w:id="6" w:name="_Toc24698"/>
      <w:bookmarkStart w:id="7" w:name="_Toc18075"/>
      <w:bookmarkStart w:id="8" w:name="_Toc24797"/>
      <w:bookmarkStart w:id="9" w:name="_Toc5828"/>
      <w:r>
        <w:rPr>
          <w:rFonts w:hint="eastAsia" w:ascii="仿宋" w:hAnsi="仿宋" w:eastAsia="仿宋" w:cs="仿宋"/>
          <w:b/>
          <w:bCs/>
          <w:color w:val="auto"/>
          <w:sz w:val="24"/>
          <w:szCs w:val="24"/>
        </w:rPr>
        <w:t>一、评标指引表</w:t>
      </w:r>
      <w:bookmarkEnd w:id="6"/>
      <w:bookmarkEnd w:id="7"/>
      <w:bookmarkEnd w:id="8"/>
      <w:bookmarkEnd w:id="9"/>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rPr>
              <w:t>项目名称：深圳市龙岗中心医院服务器安全管理系统升级维保项目</w:t>
            </w:r>
          </w:p>
        </w:tc>
        <w:tc>
          <w:tcPr>
            <w:tcW w:w="4353"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项目编号：LGZXYYZBB20231113-2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spacing w:line="360" w:lineRule="auto"/>
              <w:ind w:firstLine="2409" w:firstLineChars="1000"/>
              <w:rPr>
                <w:rFonts w:hint="eastAsia" w:ascii="仿宋" w:hAnsi="仿宋" w:eastAsia="仿宋" w:cs="仿宋"/>
                <w:b/>
                <w:color w:val="auto"/>
                <w:sz w:val="24"/>
                <w:szCs w:val="24"/>
              </w:rPr>
            </w:pPr>
            <w:r>
              <w:rPr>
                <w:rFonts w:hint="eastAsia" w:ascii="仿宋" w:hAnsi="仿宋" w:eastAsia="仿宋" w:cs="仿宋"/>
                <w:b/>
                <w:color w:val="auto"/>
                <w:sz w:val="24"/>
                <w:szCs w:val="24"/>
              </w:rPr>
              <w:t>指引内容</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指引部分名称及代号</w:t>
            </w:r>
          </w:p>
        </w:tc>
        <w:tc>
          <w:tcPr>
            <w:tcW w:w="4353" w:type="dxa"/>
            <w:tcBorders>
              <w:top w:val="single" w:color="auto" w:sz="4" w:space="0"/>
            </w:tcBorders>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资格性及符合性检查</w:t>
            </w:r>
          </w:p>
        </w:tc>
        <w:tc>
          <w:tcPr>
            <w:tcW w:w="1255"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资格性</w:t>
            </w: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3</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符合性</w:t>
            </w: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3</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综合评分</w:t>
            </w:r>
          </w:p>
        </w:tc>
        <w:tc>
          <w:tcPr>
            <w:tcW w:w="1255"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商务部分</w:t>
            </w: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restart"/>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技术部分</w:t>
            </w: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2</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color w:val="auto"/>
                <w:sz w:val="24"/>
                <w:szCs w:val="24"/>
              </w:rPr>
            </w:pPr>
          </w:p>
        </w:tc>
        <w:tc>
          <w:tcPr>
            <w:tcW w:w="1255" w:type="dxa"/>
            <w:vMerge w:val="continue"/>
          </w:tcPr>
          <w:p>
            <w:pPr>
              <w:spacing w:line="360" w:lineRule="auto"/>
              <w:rPr>
                <w:rFonts w:hint="eastAsia" w:ascii="仿宋" w:hAnsi="仿宋" w:eastAsia="仿宋" w:cs="仿宋"/>
                <w:b/>
                <w:color w:val="auto"/>
                <w:sz w:val="24"/>
                <w:szCs w:val="24"/>
              </w:rPr>
            </w:pPr>
          </w:p>
        </w:tc>
        <w:tc>
          <w:tcPr>
            <w:tcW w:w="1927" w:type="dxa"/>
            <w:vAlign w:val="center"/>
          </w:tcPr>
          <w:p>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w:t>
            </w:r>
          </w:p>
        </w:tc>
        <w:tc>
          <w:tcPr>
            <w:tcW w:w="435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w:t>
            </w:r>
          </w:p>
        </w:tc>
      </w:tr>
    </w:tbl>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注：1.</w:t>
      </w:r>
      <w:r>
        <w:rPr>
          <w:rFonts w:hint="eastAsia" w:ascii="仿宋" w:hAnsi="仿宋" w:eastAsia="仿宋" w:cs="仿宋"/>
          <w:b/>
          <w:bCs/>
          <w:color w:val="auto"/>
          <w:sz w:val="24"/>
          <w:szCs w:val="24"/>
        </w:rPr>
        <w:t>资格性及符合性检查</w:t>
      </w:r>
      <w:r>
        <w:rPr>
          <w:rFonts w:hint="eastAsia" w:ascii="仿宋" w:hAnsi="仿宋" w:eastAsia="仿宋" w:cs="仿宋"/>
          <w:color w:val="auto"/>
          <w:sz w:val="24"/>
          <w:szCs w:val="24"/>
        </w:rPr>
        <w:t>详见招标文件</w:t>
      </w:r>
      <w:r>
        <w:rPr>
          <w:rFonts w:hint="eastAsia" w:ascii="仿宋" w:hAnsi="仿宋" w:eastAsia="仿宋" w:cs="仿宋"/>
          <w:b/>
          <w:bCs/>
          <w:color w:val="auto"/>
          <w:sz w:val="24"/>
          <w:szCs w:val="24"/>
        </w:rPr>
        <w:t>“关键信息”“投标文件初审表”</w:t>
      </w:r>
      <w:r>
        <w:rPr>
          <w:rFonts w:hint="eastAsia" w:ascii="仿宋" w:hAnsi="仿宋" w:eastAsia="仿宋" w:cs="仿宋"/>
          <w:color w:val="auto"/>
          <w:sz w:val="24"/>
          <w:szCs w:val="24"/>
        </w:rPr>
        <w:t>，请在本表写明投标文件中的响应位置。</w:t>
      </w:r>
    </w:p>
    <w:p>
      <w:pPr>
        <w:numPr>
          <w:ilvl w:val="0"/>
          <w:numId w:val="7"/>
        </w:numPr>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综合评分部分</w:t>
      </w:r>
      <w:r>
        <w:rPr>
          <w:rFonts w:hint="eastAsia" w:ascii="仿宋" w:hAnsi="仿宋" w:eastAsia="仿宋" w:cs="仿宋"/>
          <w:color w:val="auto"/>
          <w:sz w:val="24"/>
          <w:szCs w:val="24"/>
        </w:rPr>
        <w:t>分为商务部分和技术部分详见招标文件</w:t>
      </w:r>
      <w:r>
        <w:rPr>
          <w:rFonts w:hint="eastAsia" w:ascii="仿宋" w:hAnsi="仿宋" w:eastAsia="仿宋" w:cs="仿宋"/>
          <w:b/>
          <w:bCs/>
          <w:color w:val="auto"/>
          <w:sz w:val="24"/>
          <w:szCs w:val="24"/>
        </w:rPr>
        <w:t>“关键信息”“评标方法”</w:t>
      </w:r>
      <w:r>
        <w:rPr>
          <w:rFonts w:hint="eastAsia" w:ascii="仿宋" w:hAnsi="仿宋" w:eastAsia="仿宋" w:cs="仿宋"/>
          <w:color w:val="auto"/>
          <w:sz w:val="24"/>
          <w:szCs w:val="24"/>
        </w:rPr>
        <w:t>，请在本表写明投标文件中的响应位置。</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4"/>
        <w:rPr>
          <w:rFonts w:hint="eastAsia"/>
          <w:color w:val="auto"/>
        </w:rPr>
      </w:pPr>
    </w:p>
    <w:p>
      <w:pPr>
        <w:outlineLvl w:val="3"/>
        <w:rPr>
          <w:rFonts w:hint="eastAsia" w:ascii="仿宋" w:hAnsi="仿宋" w:eastAsia="仿宋" w:cs="仿宋"/>
          <w:b/>
          <w:bCs/>
          <w:color w:val="auto"/>
          <w:sz w:val="24"/>
          <w:szCs w:val="24"/>
        </w:rPr>
      </w:pPr>
      <w:bookmarkStart w:id="10" w:name="_Toc13843"/>
      <w:r>
        <w:rPr>
          <w:rFonts w:hint="eastAsia" w:ascii="仿宋" w:hAnsi="仿宋" w:eastAsia="仿宋" w:cs="仿宋"/>
          <w:b/>
          <w:bCs/>
          <w:color w:val="auto"/>
          <w:szCs w:val="21"/>
        </w:rPr>
        <w:t>二、投标函格式</w:t>
      </w:r>
      <w:bookmarkEnd w:id="10"/>
    </w:p>
    <w:p>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投标函</w:t>
      </w:r>
    </w:p>
    <w:p>
      <w:pPr>
        <w:pStyle w:val="6"/>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深圳市龙岗中心医院</w:t>
      </w:r>
      <w:r>
        <w:rPr>
          <w:rFonts w:hint="eastAsia" w:ascii="仿宋" w:hAnsi="仿宋" w:eastAsia="仿宋" w:cs="仿宋"/>
          <w:color w:val="auto"/>
          <w:sz w:val="24"/>
          <w:szCs w:val="24"/>
          <w:u w:val="single"/>
        </w:rPr>
        <w:t xml:space="preserve">  </w:t>
      </w:r>
    </w:p>
    <w:p>
      <w:pPr>
        <w:spacing w:after="120" w:afterLines="5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1、根据已收到贵方项目编号为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LGZXYYZBB20231113-2  </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龙岗中心医院</w:t>
      </w:r>
      <w:r>
        <w:rPr>
          <w:rFonts w:hint="eastAsia" w:ascii="仿宋" w:hAnsi="仿宋" w:eastAsia="仿宋" w:cs="仿宋"/>
          <w:color w:val="auto"/>
          <w:sz w:val="24"/>
          <w:szCs w:val="24"/>
          <w:u w:val="single"/>
          <w:lang w:val="en-US" w:eastAsia="zh-CN"/>
        </w:rPr>
        <w:t xml:space="preserve"> 服务器安全管理系统升级维保项目  </w:t>
      </w:r>
      <w:r>
        <w:rPr>
          <w:rFonts w:hint="eastAsia" w:ascii="仿宋" w:hAnsi="仿宋" w:eastAsia="仿宋" w:cs="仿宋"/>
          <w:color w:val="auto"/>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6、我方理解最低报价不作为中标的唯一条件，采购人及采购代理机构将不受投标文件的</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任何条款约束。</w:t>
      </w:r>
    </w:p>
    <w:p>
      <w:pPr>
        <w:ind w:left="540" w:leftChars="257"/>
        <w:rPr>
          <w:rFonts w:hint="eastAsia" w:ascii="仿宋" w:hAnsi="仿宋" w:eastAsia="仿宋" w:cs="仿宋"/>
          <w:color w:val="auto"/>
          <w:sz w:val="24"/>
          <w:szCs w:val="24"/>
        </w:rPr>
      </w:pP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投标人（公章）：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单位地址：</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法定代表人或其委托代理人（签字或签章）：</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rPr>
      </w:pPr>
      <w:r>
        <w:rPr>
          <w:rFonts w:hint="eastAsia" w:ascii="仿宋" w:hAnsi="仿宋" w:eastAsia="仿宋" w:cs="仿宋"/>
          <w:color w:val="auto"/>
          <w:sz w:val="24"/>
          <w:szCs w:val="24"/>
        </w:rPr>
        <w:t>开户银行名称：</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ab/>
      </w:r>
      <w:r>
        <w:rPr>
          <w:rFonts w:hint="eastAsia" w:ascii="仿宋" w:hAnsi="仿宋" w:eastAsia="仿宋" w:cs="仿宋"/>
          <w:color w:val="auto"/>
          <w:sz w:val="24"/>
          <w:szCs w:val="24"/>
        </w:rPr>
        <w:t>开户银行</w:t>
      </w:r>
      <w:r>
        <w:rPr>
          <w:rFonts w:hint="eastAsia" w:ascii="仿宋" w:hAnsi="仿宋" w:eastAsia="仿宋" w:cs="仿宋"/>
          <w:color w:val="auto"/>
          <w:sz w:val="24"/>
          <w:szCs w:val="24"/>
          <w:lang w:val="en-US" w:eastAsia="zh-CN"/>
        </w:rPr>
        <w:t>账</w:t>
      </w:r>
      <w:r>
        <w:rPr>
          <w:rFonts w:hint="eastAsia" w:ascii="仿宋" w:hAnsi="仿宋" w:eastAsia="仿宋" w:cs="仿宋"/>
          <w:color w:val="auto"/>
          <w:sz w:val="24"/>
          <w:szCs w:val="24"/>
        </w:rPr>
        <w:t>号：</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ind w:left="540" w:leftChars="257"/>
        <w:rPr>
          <w:rFonts w:hint="eastAsia" w:ascii="仿宋" w:hAnsi="仿宋" w:eastAsia="仿宋" w:cs="仿宋"/>
          <w:color w:val="auto"/>
          <w:sz w:val="24"/>
          <w:szCs w:val="24"/>
        </w:rPr>
      </w:pPr>
      <w:r>
        <w:rPr>
          <w:rFonts w:hint="eastAsia" w:ascii="仿宋" w:hAnsi="仿宋" w:eastAsia="仿宋" w:cs="仿宋"/>
          <w:color w:val="auto"/>
          <w:sz w:val="24"/>
          <w:szCs w:val="24"/>
        </w:rPr>
        <w:t>开户银行地址：</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ab/>
      </w:r>
      <w:r>
        <w:rPr>
          <w:rFonts w:hint="eastAsia" w:ascii="仿宋" w:hAnsi="仿宋" w:eastAsia="仿宋" w:cs="仿宋"/>
          <w:color w:val="auto"/>
          <w:sz w:val="24"/>
          <w:szCs w:val="24"/>
        </w:rPr>
        <w:t>开户银行电话：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ind w:firstLine="616" w:firstLineChars="257"/>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pStyle w:val="24"/>
        <w:rPr>
          <w:rFonts w:hint="eastAsia" w:ascii="仿宋" w:hAnsi="仿宋" w:eastAsia="仿宋" w:cs="仿宋"/>
          <w:color w:val="auto"/>
          <w:sz w:val="24"/>
          <w:szCs w:val="24"/>
        </w:rPr>
      </w:pPr>
    </w:p>
    <w:p>
      <w:pPr>
        <w:numPr>
          <w:ilvl w:val="0"/>
          <w:numId w:val="8"/>
        </w:numPr>
        <w:jc w:val="both"/>
        <w:rPr>
          <w:rFonts w:hint="eastAsia" w:ascii="仿宋" w:hAnsi="仿宋" w:eastAsia="仿宋" w:cs="仿宋"/>
          <w:b/>
          <w:bCs w:val="0"/>
          <w:color w:val="auto"/>
          <w:kern w:val="2"/>
          <w:sz w:val="24"/>
          <w:szCs w:val="24"/>
          <w:lang w:val="en-US" w:eastAsia="zh-CN"/>
        </w:rPr>
      </w:pPr>
      <w:r>
        <w:rPr>
          <w:rFonts w:hint="eastAsia" w:ascii="仿宋" w:hAnsi="仿宋" w:eastAsia="仿宋" w:cs="仿宋"/>
          <w:b/>
          <w:bCs w:val="0"/>
          <w:color w:val="auto"/>
          <w:kern w:val="2"/>
          <w:sz w:val="24"/>
          <w:szCs w:val="24"/>
          <w:lang w:val="en-US" w:eastAsia="zh-CN"/>
        </w:rPr>
        <w:t>、报价明细表</w:t>
      </w:r>
    </w:p>
    <w:p>
      <w:pPr>
        <w:pStyle w:val="6"/>
        <w:widowControl w:val="0"/>
        <w:numPr>
          <w:ilvl w:val="0"/>
          <w:numId w:val="0"/>
        </w:numPr>
        <w:jc w:val="both"/>
        <w:rPr>
          <w:rFonts w:hint="eastAsia"/>
          <w:color w:val="auto"/>
        </w:rPr>
      </w:pPr>
    </w:p>
    <w:tbl>
      <w:tblPr>
        <w:tblStyle w:val="1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88"/>
        <w:gridCol w:w="1364"/>
        <w:gridCol w:w="1517"/>
        <w:gridCol w:w="190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6" w:type="dxa"/>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2588" w:type="dxa"/>
            <w:vAlign w:val="center"/>
          </w:tcPr>
          <w:p>
            <w:pPr>
              <w:ind w:firstLine="480" w:firstLineChars="200"/>
              <w:jc w:val="center"/>
              <w:rPr>
                <w:rFonts w:hint="eastAsia" w:ascii="仿宋" w:hAnsi="仿宋" w:eastAsia="仿宋" w:cs="仿宋"/>
                <w:bCs/>
                <w:color w:val="auto"/>
                <w:sz w:val="24"/>
                <w:szCs w:val="24"/>
              </w:rPr>
            </w:pPr>
            <w:r>
              <w:rPr>
                <w:rFonts w:hint="eastAsia" w:ascii="仿宋" w:hAnsi="仿宋" w:eastAsia="仿宋" w:cs="仿宋"/>
                <w:color w:val="auto"/>
                <w:kern w:val="0"/>
                <w:sz w:val="24"/>
                <w:szCs w:val="24"/>
              </w:rPr>
              <w:t>项目名称</w:t>
            </w:r>
          </w:p>
        </w:tc>
        <w:tc>
          <w:tcPr>
            <w:tcW w:w="1364" w:type="dxa"/>
            <w:vAlign w:val="center"/>
          </w:tcPr>
          <w:p>
            <w:pPr>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lang w:val="en-US" w:eastAsia="zh-CN"/>
              </w:rPr>
              <w:t>数量</w:t>
            </w:r>
          </w:p>
        </w:tc>
        <w:tc>
          <w:tcPr>
            <w:tcW w:w="1517" w:type="dxa"/>
            <w:vAlign w:val="center"/>
          </w:tcPr>
          <w:p>
            <w:pPr>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单项限价（元）</w:t>
            </w:r>
          </w:p>
        </w:tc>
        <w:tc>
          <w:tcPr>
            <w:tcW w:w="1907" w:type="dxa"/>
            <w:vAlign w:val="center"/>
          </w:tcPr>
          <w:p>
            <w:pPr>
              <w:jc w:val="center"/>
              <w:rPr>
                <w:rFonts w:hint="eastAsia" w:ascii="仿宋" w:hAnsi="仿宋" w:eastAsia="仿宋" w:cs="仿宋"/>
                <w:bCs/>
                <w:color w:val="auto"/>
                <w:sz w:val="24"/>
                <w:szCs w:val="24"/>
              </w:rPr>
            </w:pPr>
            <w:r>
              <w:rPr>
                <w:rFonts w:hint="eastAsia" w:ascii="仿宋" w:hAnsi="仿宋" w:eastAsia="仿宋" w:cs="仿宋"/>
                <w:color w:val="auto"/>
                <w:kern w:val="0"/>
                <w:sz w:val="24"/>
                <w:szCs w:val="24"/>
                <w:lang w:val="en-US" w:eastAsia="zh-CN"/>
              </w:rPr>
              <w:t>报价</w:t>
            </w:r>
            <w:r>
              <w:rPr>
                <w:rFonts w:hint="eastAsia" w:ascii="仿宋" w:hAnsi="仿宋" w:eastAsia="仿宋" w:cs="仿宋"/>
                <w:color w:val="auto"/>
                <w:kern w:val="0"/>
                <w:sz w:val="24"/>
                <w:szCs w:val="24"/>
              </w:rPr>
              <w:t>（元）</w:t>
            </w:r>
          </w:p>
        </w:tc>
        <w:tc>
          <w:tcPr>
            <w:tcW w:w="1907" w:type="dxa"/>
            <w:vAlign w:val="center"/>
          </w:tcPr>
          <w:p>
            <w:pPr>
              <w:ind w:firstLine="480" w:firstLineChars="20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2588" w:type="dxa"/>
            <w:vAlign w:val="center"/>
          </w:tcPr>
          <w:p>
            <w:pPr>
              <w:jc w:val="center"/>
              <w:rPr>
                <w:rFonts w:hint="eastAsia"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深圳市龙岗中心医院服务器安全管理系统升级维保项目</w:t>
            </w:r>
          </w:p>
        </w:tc>
        <w:tc>
          <w:tcPr>
            <w:tcW w:w="1364" w:type="dxa"/>
            <w:vAlign w:val="center"/>
          </w:tcPr>
          <w:p>
            <w:pPr>
              <w:jc w:val="center"/>
              <w:rPr>
                <w:rFonts w:hint="default" w:ascii="仿宋" w:hAnsi="仿宋" w:eastAsia="仿宋" w:cs="Calibri"/>
                <w:color w:val="auto"/>
                <w:kern w:val="2"/>
                <w:sz w:val="24"/>
                <w:szCs w:val="24"/>
                <w:lang w:val="en-US" w:eastAsia="zh-CN" w:bidi="ar-SA"/>
              </w:rPr>
            </w:pPr>
            <w:r>
              <w:rPr>
                <w:rFonts w:hint="eastAsia" w:ascii="仿宋" w:hAnsi="仿宋" w:eastAsia="仿宋" w:cs="Calibri"/>
                <w:color w:val="auto"/>
                <w:kern w:val="2"/>
                <w:sz w:val="24"/>
                <w:szCs w:val="24"/>
                <w:lang w:val="en-US" w:eastAsia="zh-CN" w:bidi="ar-SA"/>
              </w:rPr>
              <w:t>1项</w:t>
            </w:r>
          </w:p>
        </w:tc>
        <w:tc>
          <w:tcPr>
            <w:tcW w:w="1517" w:type="dxa"/>
            <w:vAlign w:val="center"/>
          </w:tcPr>
          <w:p>
            <w:pPr>
              <w:jc w:val="center"/>
              <w:rPr>
                <w:rFonts w:hint="default" w:ascii="仿宋" w:hAnsi="仿宋" w:eastAsia="仿宋" w:cs="Calibri"/>
                <w:color w:val="auto"/>
                <w:kern w:val="2"/>
                <w:sz w:val="24"/>
                <w:szCs w:val="24"/>
                <w:lang w:val="en-US" w:eastAsia="zh-CN" w:bidi="ar-SA"/>
              </w:rPr>
            </w:pPr>
            <w:r>
              <w:rPr>
                <w:rFonts w:hint="default" w:ascii="仿宋" w:hAnsi="仿宋" w:eastAsia="仿宋" w:cs="Calibri"/>
                <w:color w:val="auto"/>
                <w:kern w:val="2"/>
                <w:sz w:val="24"/>
                <w:szCs w:val="24"/>
                <w:lang w:val="en-US" w:eastAsia="zh-CN" w:bidi="ar-SA"/>
              </w:rPr>
              <w:t>198000.00</w:t>
            </w:r>
          </w:p>
        </w:tc>
        <w:tc>
          <w:tcPr>
            <w:tcW w:w="1907" w:type="dxa"/>
            <w:vAlign w:val="center"/>
          </w:tcPr>
          <w:p>
            <w:pPr>
              <w:jc w:val="center"/>
              <w:rPr>
                <w:rFonts w:hint="eastAsia" w:ascii="仿宋" w:hAnsi="仿宋" w:eastAsia="仿宋" w:cs="Calibri"/>
                <w:color w:val="auto"/>
                <w:kern w:val="2"/>
                <w:sz w:val="24"/>
                <w:szCs w:val="24"/>
                <w:lang w:val="en-US" w:eastAsia="zh-CN" w:bidi="ar-SA"/>
              </w:rPr>
            </w:pPr>
          </w:p>
        </w:tc>
        <w:tc>
          <w:tcPr>
            <w:tcW w:w="1907" w:type="dxa"/>
            <w:vAlign w:val="center"/>
          </w:tcPr>
          <w:p>
            <w:pPr>
              <w:jc w:val="center"/>
              <w:rPr>
                <w:rFonts w:hint="eastAsia" w:ascii="仿宋" w:hAnsi="仿宋" w:eastAsia="仿宋" w:cs="Calibri"/>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top"/>
          </w:tcPr>
          <w:p>
            <w:pPr>
              <w:jc w:val="center"/>
              <w:rPr>
                <w:rFonts w:hint="eastAsia" w:ascii="仿宋" w:hAnsi="仿宋" w:eastAsia="仿宋" w:cs="仿宋"/>
                <w:bCs/>
                <w:color w:val="auto"/>
                <w:sz w:val="24"/>
                <w:szCs w:val="24"/>
                <w:lang w:val="en-US" w:eastAsia="zh-CN"/>
              </w:rPr>
            </w:pPr>
            <w:r>
              <w:rPr>
                <w:rFonts w:hint="eastAsia" w:ascii="仿宋" w:hAnsi="仿宋" w:eastAsia="仿宋" w:cs="仿宋"/>
                <w:color w:val="auto"/>
                <w:kern w:val="0"/>
                <w:sz w:val="24"/>
                <w:szCs w:val="24"/>
                <w:lang w:val="en-US" w:eastAsia="zh-CN"/>
              </w:rPr>
              <w:t>合计</w:t>
            </w:r>
          </w:p>
        </w:tc>
        <w:tc>
          <w:tcPr>
            <w:tcW w:w="9283" w:type="dxa"/>
            <w:gridSpan w:val="5"/>
            <w:vAlign w:val="top"/>
          </w:tcPr>
          <w:p>
            <w:pPr>
              <w:jc w:val="both"/>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人民币（大写：   小写：     ）</w:t>
            </w:r>
          </w:p>
        </w:tc>
      </w:tr>
    </w:tbl>
    <w:p>
      <w:pPr>
        <w:pStyle w:val="5"/>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投标人法定代表人（或法定代表人授权代表）签字：</w:t>
      </w:r>
      <w:r>
        <w:rPr>
          <w:rFonts w:hint="eastAsia" w:ascii="仿宋" w:hAnsi="仿宋" w:eastAsia="仿宋" w:cs="仿宋"/>
          <w:color w:val="auto"/>
          <w:sz w:val="24"/>
          <w:szCs w:val="24"/>
          <w:u w:val="single"/>
        </w:rPr>
        <w:t xml:space="preserve">                   </w:t>
      </w:r>
    </w:p>
    <w:p>
      <w:pPr>
        <w:adjustRightInd w:val="0"/>
        <w:snapToGrid w:val="0"/>
        <w:spacing w:line="300" w:lineRule="auto"/>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投标人名称（签章）：</w:t>
      </w:r>
      <w:r>
        <w:rPr>
          <w:rFonts w:hint="eastAsia" w:ascii="仿宋" w:hAnsi="仿宋" w:eastAsia="仿宋" w:cs="仿宋"/>
          <w:color w:val="auto"/>
          <w:sz w:val="24"/>
          <w:szCs w:val="24"/>
          <w:u w:val="single"/>
        </w:rPr>
        <w:t xml:space="preserve">                        </w:t>
      </w:r>
    </w:p>
    <w:p>
      <w:pPr>
        <w:pStyle w:val="10"/>
        <w:spacing w:line="36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pStyle w:val="12"/>
        <w:numPr>
          <w:ilvl w:val="0"/>
          <w:numId w:val="8"/>
        </w:numPr>
        <w:spacing w:line="360" w:lineRule="auto"/>
        <w:ind w:left="0" w:leftChars="0" w:firstLine="0" w:firstLineChars="0"/>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投标人基本情况格式</w:t>
      </w:r>
    </w:p>
    <w:p>
      <w:pPr>
        <w:pStyle w:val="12"/>
        <w:numPr>
          <w:ilvl w:val="0"/>
          <w:numId w:val="0"/>
        </w:numPr>
        <w:spacing w:line="360" w:lineRule="auto"/>
        <w:ind w:leftChars="0"/>
        <w:rPr>
          <w:rFonts w:hint="eastAsia" w:ascii="仿宋" w:hAnsi="仿宋" w:eastAsia="仿宋" w:cs="仿宋"/>
          <w:b/>
          <w:bCs w:val="0"/>
          <w:color w:val="auto"/>
          <w:kern w:val="2"/>
          <w:sz w:val="24"/>
          <w:szCs w:val="24"/>
          <w:lang w:val="en-US" w:eastAsia="zh-CN" w:bidi="ar-SA"/>
        </w:rPr>
      </w:pPr>
    </w:p>
    <w:p>
      <w:pPr>
        <w:keepNext/>
        <w:keepLines/>
        <w:numPr>
          <w:ilvl w:val="0"/>
          <w:numId w:val="0"/>
        </w:numPr>
        <w:spacing w:line="360" w:lineRule="auto"/>
        <w:ind w:left="960" w:leftChars="0"/>
        <w:outlineLvl w:val="4"/>
        <w:rPr>
          <w:rFonts w:hint="eastAsia" w:ascii="仿宋" w:hAnsi="仿宋" w:eastAsia="仿宋" w:cs="仿宋"/>
          <w:b/>
          <w:bCs/>
          <w:color w:val="auto"/>
          <w:sz w:val="21"/>
          <w:szCs w:val="21"/>
        </w:rPr>
      </w:pPr>
      <w:bookmarkStart w:id="11" w:name="_Toc26688"/>
      <w:bookmarkStart w:id="12" w:name="_Toc4217"/>
      <w:r>
        <w:rPr>
          <w:rFonts w:hint="eastAsia" w:ascii="仿宋" w:hAnsi="仿宋" w:eastAsia="仿宋" w:cs="仿宋"/>
          <w:b/>
          <w:bCs/>
          <w:color w:val="auto"/>
          <w:kern w:val="2"/>
          <w:sz w:val="21"/>
          <w:szCs w:val="21"/>
          <w:lang w:val="en-US" w:eastAsia="zh-CN" w:bidi="ar-SA"/>
        </w:rPr>
        <w:t>（一）</w:t>
      </w:r>
      <w:r>
        <w:rPr>
          <w:rFonts w:hint="eastAsia" w:ascii="仿宋" w:hAnsi="仿宋" w:eastAsia="仿宋" w:cs="仿宋"/>
          <w:b/>
          <w:bCs/>
          <w:color w:val="auto"/>
          <w:sz w:val="21"/>
          <w:szCs w:val="21"/>
        </w:rPr>
        <w:t>投标人基本情况一览表格式</w:t>
      </w:r>
      <w:bookmarkEnd w:id="11"/>
      <w:bookmarkEnd w:id="12"/>
    </w:p>
    <w:p>
      <w:pPr>
        <w:pStyle w:val="12"/>
        <w:jc w:val="center"/>
        <w:rPr>
          <w:rFonts w:hint="eastAsia" w:ascii="仿宋" w:hAnsi="仿宋" w:eastAsia="仿宋" w:cs="仿宋"/>
          <w:color w:val="auto"/>
          <w:szCs w:val="21"/>
        </w:rPr>
      </w:pPr>
      <w:r>
        <w:rPr>
          <w:rFonts w:hint="eastAsia" w:ascii="仿宋" w:hAnsi="仿宋" w:eastAsia="仿宋" w:cs="仿宋"/>
          <w:b/>
          <w:bCs/>
          <w:color w:val="auto"/>
          <w:szCs w:val="21"/>
        </w:rPr>
        <w:t>投标人基本情况一览表</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1．名称及概况：</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（1）投标人名称：________________________________________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（2）注册地址：__________________________________________</w:t>
      </w:r>
    </w:p>
    <w:p>
      <w:pPr>
        <w:pStyle w:val="12"/>
        <w:spacing w:line="300" w:lineRule="auto"/>
        <w:ind w:firstLine="577" w:firstLineChars="275"/>
        <w:rPr>
          <w:rFonts w:hint="eastAsia" w:ascii="仿宋" w:hAnsi="仿宋" w:eastAsia="仿宋" w:cs="仿宋"/>
          <w:color w:val="auto"/>
          <w:szCs w:val="21"/>
        </w:rPr>
      </w:pPr>
      <w:r>
        <w:rPr>
          <w:rFonts w:hint="eastAsia" w:ascii="仿宋" w:hAnsi="仿宋" w:eastAsia="仿宋" w:cs="仿宋"/>
          <w:color w:val="auto"/>
          <w:szCs w:val="21"/>
        </w:rPr>
        <w:t xml:space="preserve">   邮政编码：___________________________________________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电话号码：___________________________________________ </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传真号码：___________________________________________ </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（3）成立或注册日期：____________________________________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（4）法定代表人：___________________________________________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（5）基本存款账户开户银行：___________________________________________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（6）基本存款账户开户账号：___________________________________________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（7）注册资金：___________________________________________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（8）注册经营范围：_______________________________________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（9）近两年财务基本情况（成立年限不足的，提供最近一期财务报表信息）</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①货币资金期末数：_____________________________________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②年营业总额（值）：___________________________________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③资产负债率：_________________________________________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④销售利润率：_________________________________________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⑤资本收益率：_________________________________________</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（以上内容应与财务报表信息一致，如不一致以财务报表为准）</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（10）项目负责人及主要联系人（姓名、职务、通讯方式）：</w:t>
      </w:r>
    </w:p>
    <w:p>
      <w:pPr>
        <w:pStyle w:val="12"/>
        <w:spacing w:line="300" w:lineRule="auto"/>
        <w:rPr>
          <w:rFonts w:hint="eastAsia" w:ascii="仿宋" w:hAnsi="仿宋" w:eastAsia="仿宋" w:cs="仿宋"/>
          <w:color w:val="auto"/>
          <w:szCs w:val="21"/>
        </w:rPr>
      </w:pPr>
      <w:r>
        <w:rPr>
          <w:rFonts w:hint="eastAsia" w:ascii="仿宋" w:hAnsi="仿宋" w:eastAsia="仿宋" w:cs="仿宋"/>
          <w:color w:val="auto"/>
          <w:szCs w:val="21"/>
        </w:rPr>
        <w:t>_____________________________________________________________________</w:t>
      </w:r>
    </w:p>
    <w:p>
      <w:pPr>
        <w:adjustRightInd w:val="0"/>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（11）主要股东或出资人信息（必须填写）</w:t>
      </w:r>
    </w:p>
    <w:tbl>
      <w:tblPr>
        <w:tblStyle w:val="19"/>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141"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名称</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（姓名）</w:t>
            </w:r>
          </w:p>
        </w:tc>
        <w:tc>
          <w:tcPr>
            <w:tcW w:w="2075"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统一社会信用代码</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（身份证号）</w:t>
            </w:r>
          </w:p>
        </w:tc>
        <w:tc>
          <w:tcPr>
            <w:tcW w:w="1245"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出资方式</w:t>
            </w:r>
          </w:p>
        </w:tc>
        <w:tc>
          <w:tcPr>
            <w:tcW w:w="1324"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出资金额</w:t>
            </w:r>
          </w:p>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（万元）</w:t>
            </w:r>
          </w:p>
        </w:tc>
        <w:tc>
          <w:tcPr>
            <w:tcW w:w="1166"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占全部股份比例</w:t>
            </w:r>
          </w:p>
        </w:tc>
        <w:tc>
          <w:tcPr>
            <w:tcW w:w="848"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color w:val="auto"/>
                <w:sz w:val="21"/>
                <w:szCs w:val="21"/>
              </w:rPr>
            </w:pPr>
          </w:p>
        </w:tc>
        <w:tc>
          <w:tcPr>
            <w:tcW w:w="1141" w:type="dxa"/>
            <w:vAlign w:val="center"/>
          </w:tcPr>
          <w:p>
            <w:pPr>
              <w:jc w:val="center"/>
              <w:rPr>
                <w:rFonts w:hint="eastAsia" w:ascii="仿宋" w:hAnsi="仿宋" w:eastAsia="仿宋" w:cs="仿宋"/>
                <w:b/>
                <w:color w:val="auto"/>
                <w:sz w:val="21"/>
                <w:szCs w:val="21"/>
              </w:rPr>
            </w:pPr>
          </w:p>
        </w:tc>
        <w:tc>
          <w:tcPr>
            <w:tcW w:w="2075" w:type="dxa"/>
            <w:vAlign w:val="center"/>
          </w:tcPr>
          <w:p>
            <w:pPr>
              <w:jc w:val="center"/>
              <w:rPr>
                <w:rFonts w:hint="eastAsia" w:ascii="仿宋" w:hAnsi="仿宋" w:eastAsia="仿宋" w:cs="仿宋"/>
                <w:b/>
                <w:color w:val="auto"/>
                <w:sz w:val="21"/>
                <w:szCs w:val="21"/>
              </w:rPr>
            </w:pPr>
          </w:p>
        </w:tc>
        <w:tc>
          <w:tcPr>
            <w:tcW w:w="1245" w:type="dxa"/>
            <w:vAlign w:val="center"/>
          </w:tcPr>
          <w:p>
            <w:pPr>
              <w:jc w:val="center"/>
              <w:rPr>
                <w:rFonts w:hint="eastAsia" w:ascii="仿宋" w:hAnsi="仿宋" w:eastAsia="仿宋" w:cs="仿宋"/>
                <w:b/>
                <w:color w:val="auto"/>
                <w:sz w:val="21"/>
                <w:szCs w:val="21"/>
              </w:rPr>
            </w:pPr>
          </w:p>
        </w:tc>
        <w:tc>
          <w:tcPr>
            <w:tcW w:w="1324" w:type="dxa"/>
            <w:vAlign w:val="center"/>
          </w:tcPr>
          <w:p>
            <w:pPr>
              <w:jc w:val="center"/>
              <w:rPr>
                <w:rFonts w:hint="eastAsia" w:ascii="仿宋" w:hAnsi="仿宋" w:eastAsia="仿宋" w:cs="仿宋"/>
                <w:b/>
                <w:color w:val="auto"/>
                <w:sz w:val="21"/>
                <w:szCs w:val="21"/>
              </w:rPr>
            </w:pPr>
          </w:p>
        </w:tc>
        <w:tc>
          <w:tcPr>
            <w:tcW w:w="1166" w:type="dxa"/>
            <w:vAlign w:val="center"/>
          </w:tcPr>
          <w:p>
            <w:pPr>
              <w:jc w:val="center"/>
              <w:rPr>
                <w:rFonts w:hint="eastAsia" w:ascii="仿宋" w:hAnsi="仿宋" w:eastAsia="仿宋" w:cs="仿宋"/>
                <w:b/>
                <w:color w:val="auto"/>
                <w:sz w:val="21"/>
                <w:szCs w:val="21"/>
              </w:rPr>
            </w:pPr>
          </w:p>
        </w:tc>
        <w:tc>
          <w:tcPr>
            <w:tcW w:w="848" w:type="dxa"/>
            <w:vAlign w:val="center"/>
          </w:tcPr>
          <w:p>
            <w:pPr>
              <w:jc w:val="center"/>
              <w:rPr>
                <w:rFonts w:hint="eastAsia" w:ascii="仿宋" w:hAnsi="仿宋" w:eastAsia="仿宋" w:cs="仿宋"/>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color w:val="auto"/>
                <w:sz w:val="21"/>
                <w:szCs w:val="21"/>
              </w:rPr>
            </w:pPr>
          </w:p>
        </w:tc>
        <w:tc>
          <w:tcPr>
            <w:tcW w:w="1141" w:type="dxa"/>
            <w:vAlign w:val="center"/>
          </w:tcPr>
          <w:p>
            <w:pPr>
              <w:jc w:val="center"/>
              <w:rPr>
                <w:rFonts w:hint="eastAsia" w:ascii="仿宋" w:hAnsi="仿宋" w:eastAsia="仿宋" w:cs="仿宋"/>
                <w:b/>
                <w:color w:val="auto"/>
                <w:sz w:val="21"/>
                <w:szCs w:val="21"/>
              </w:rPr>
            </w:pPr>
          </w:p>
        </w:tc>
        <w:tc>
          <w:tcPr>
            <w:tcW w:w="2075" w:type="dxa"/>
            <w:vAlign w:val="center"/>
          </w:tcPr>
          <w:p>
            <w:pPr>
              <w:jc w:val="center"/>
              <w:rPr>
                <w:rFonts w:hint="eastAsia" w:ascii="仿宋" w:hAnsi="仿宋" w:eastAsia="仿宋" w:cs="仿宋"/>
                <w:b/>
                <w:color w:val="auto"/>
                <w:sz w:val="21"/>
                <w:szCs w:val="21"/>
              </w:rPr>
            </w:pPr>
          </w:p>
        </w:tc>
        <w:tc>
          <w:tcPr>
            <w:tcW w:w="1245" w:type="dxa"/>
            <w:vAlign w:val="center"/>
          </w:tcPr>
          <w:p>
            <w:pPr>
              <w:jc w:val="center"/>
              <w:rPr>
                <w:rFonts w:hint="eastAsia" w:ascii="仿宋" w:hAnsi="仿宋" w:eastAsia="仿宋" w:cs="仿宋"/>
                <w:b/>
                <w:color w:val="auto"/>
                <w:sz w:val="21"/>
                <w:szCs w:val="21"/>
              </w:rPr>
            </w:pPr>
          </w:p>
        </w:tc>
        <w:tc>
          <w:tcPr>
            <w:tcW w:w="1324" w:type="dxa"/>
            <w:vAlign w:val="center"/>
          </w:tcPr>
          <w:p>
            <w:pPr>
              <w:jc w:val="center"/>
              <w:rPr>
                <w:rFonts w:hint="eastAsia" w:ascii="仿宋" w:hAnsi="仿宋" w:eastAsia="仿宋" w:cs="仿宋"/>
                <w:b/>
                <w:color w:val="auto"/>
                <w:sz w:val="21"/>
                <w:szCs w:val="21"/>
              </w:rPr>
            </w:pPr>
          </w:p>
        </w:tc>
        <w:tc>
          <w:tcPr>
            <w:tcW w:w="1166" w:type="dxa"/>
            <w:vAlign w:val="center"/>
          </w:tcPr>
          <w:p>
            <w:pPr>
              <w:jc w:val="center"/>
              <w:rPr>
                <w:rFonts w:hint="eastAsia" w:ascii="仿宋" w:hAnsi="仿宋" w:eastAsia="仿宋" w:cs="仿宋"/>
                <w:b/>
                <w:color w:val="auto"/>
                <w:sz w:val="21"/>
                <w:szCs w:val="21"/>
              </w:rPr>
            </w:pPr>
          </w:p>
        </w:tc>
        <w:tc>
          <w:tcPr>
            <w:tcW w:w="848" w:type="dxa"/>
            <w:vAlign w:val="center"/>
          </w:tcPr>
          <w:p>
            <w:pPr>
              <w:jc w:val="center"/>
              <w:rPr>
                <w:rFonts w:hint="eastAsia" w:ascii="仿宋" w:hAnsi="仿宋" w:eastAsia="仿宋" w:cs="仿宋"/>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color w:val="auto"/>
                <w:sz w:val="21"/>
                <w:szCs w:val="21"/>
              </w:rPr>
            </w:pPr>
          </w:p>
        </w:tc>
        <w:tc>
          <w:tcPr>
            <w:tcW w:w="1141" w:type="dxa"/>
            <w:vAlign w:val="center"/>
          </w:tcPr>
          <w:p>
            <w:pPr>
              <w:jc w:val="center"/>
              <w:rPr>
                <w:rFonts w:hint="eastAsia" w:ascii="仿宋" w:hAnsi="仿宋" w:eastAsia="仿宋" w:cs="仿宋"/>
                <w:b/>
                <w:color w:val="auto"/>
                <w:sz w:val="21"/>
                <w:szCs w:val="21"/>
              </w:rPr>
            </w:pPr>
          </w:p>
        </w:tc>
        <w:tc>
          <w:tcPr>
            <w:tcW w:w="2075" w:type="dxa"/>
            <w:vAlign w:val="center"/>
          </w:tcPr>
          <w:p>
            <w:pPr>
              <w:jc w:val="center"/>
              <w:rPr>
                <w:rFonts w:hint="eastAsia" w:ascii="仿宋" w:hAnsi="仿宋" w:eastAsia="仿宋" w:cs="仿宋"/>
                <w:b/>
                <w:color w:val="auto"/>
                <w:sz w:val="21"/>
                <w:szCs w:val="21"/>
              </w:rPr>
            </w:pPr>
          </w:p>
        </w:tc>
        <w:tc>
          <w:tcPr>
            <w:tcW w:w="1245" w:type="dxa"/>
            <w:vAlign w:val="center"/>
          </w:tcPr>
          <w:p>
            <w:pPr>
              <w:jc w:val="center"/>
              <w:rPr>
                <w:rFonts w:hint="eastAsia" w:ascii="仿宋" w:hAnsi="仿宋" w:eastAsia="仿宋" w:cs="仿宋"/>
                <w:b/>
                <w:color w:val="auto"/>
                <w:sz w:val="21"/>
                <w:szCs w:val="21"/>
              </w:rPr>
            </w:pPr>
          </w:p>
        </w:tc>
        <w:tc>
          <w:tcPr>
            <w:tcW w:w="1324" w:type="dxa"/>
            <w:vAlign w:val="center"/>
          </w:tcPr>
          <w:p>
            <w:pPr>
              <w:jc w:val="center"/>
              <w:rPr>
                <w:rFonts w:hint="eastAsia" w:ascii="仿宋" w:hAnsi="仿宋" w:eastAsia="仿宋" w:cs="仿宋"/>
                <w:b/>
                <w:color w:val="auto"/>
                <w:sz w:val="21"/>
                <w:szCs w:val="21"/>
              </w:rPr>
            </w:pPr>
          </w:p>
        </w:tc>
        <w:tc>
          <w:tcPr>
            <w:tcW w:w="1166" w:type="dxa"/>
            <w:vAlign w:val="center"/>
          </w:tcPr>
          <w:p>
            <w:pPr>
              <w:jc w:val="center"/>
              <w:rPr>
                <w:rFonts w:hint="eastAsia" w:ascii="仿宋" w:hAnsi="仿宋" w:eastAsia="仿宋" w:cs="仿宋"/>
                <w:b/>
                <w:color w:val="auto"/>
                <w:sz w:val="21"/>
                <w:szCs w:val="21"/>
              </w:rPr>
            </w:pPr>
          </w:p>
        </w:tc>
        <w:tc>
          <w:tcPr>
            <w:tcW w:w="848" w:type="dxa"/>
            <w:vAlign w:val="center"/>
          </w:tcPr>
          <w:p>
            <w:pPr>
              <w:jc w:val="center"/>
              <w:rPr>
                <w:rFonts w:hint="eastAsia" w:ascii="仿宋" w:hAnsi="仿宋" w:eastAsia="仿宋" w:cs="仿宋"/>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color w:val="auto"/>
                <w:sz w:val="21"/>
                <w:szCs w:val="21"/>
              </w:rPr>
            </w:pPr>
          </w:p>
        </w:tc>
        <w:tc>
          <w:tcPr>
            <w:tcW w:w="1141" w:type="dxa"/>
            <w:vAlign w:val="center"/>
          </w:tcPr>
          <w:p>
            <w:pPr>
              <w:jc w:val="center"/>
              <w:rPr>
                <w:rFonts w:hint="eastAsia" w:ascii="仿宋" w:hAnsi="仿宋" w:eastAsia="仿宋" w:cs="仿宋"/>
                <w:b/>
                <w:color w:val="auto"/>
                <w:sz w:val="21"/>
                <w:szCs w:val="21"/>
              </w:rPr>
            </w:pPr>
          </w:p>
        </w:tc>
        <w:tc>
          <w:tcPr>
            <w:tcW w:w="2075" w:type="dxa"/>
            <w:vAlign w:val="center"/>
          </w:tcPr>
          <w:p>
            <w:pPr>
              <w:jc w:val="center"/>
              <w:rPr>
                <w:rFonts w:hint="eastAsia" w:ascii="仿宋" w:hAnsi="仿宋" w:eastAsia="仿宋" w:cs="仿宋"/>
                <w:b/>
                <w:color w:val="auto"/>
                <w:sz w:val="21"/>
                <w:szCs w:val="21"/>
              </w:rPr>
            </w:pPr>
          </w:p>
        </w:tc>
        <w:tc>
          <w:tcPr>
            <w:tcW w:w="1245" w:type="dxa"/>
            <w:vAlign w:val="center"/>
          </w:tcPr>
          <w:p>
            <w:pPr>
              <w:jc w:val="center"/>
              <w:rPr>
                <w:rFonts w:hint="eastAsia" w:ascii="仿宋" w:hAnsi="仿宋" w:eastAsia="仿宋" w:cs="仿宋"/>
                <w:b/>
                <w:color w:val="auto"/>
                <w:sz w:val="21"/>
                <w:szCs w:val="21"/>
              </w:rPr>
            </w:pPr>
          </w:p>
        </w:tc>
        <w:tc>
          <w:tcPr>
            <w:tcW w:w="1324" w:type="dxa"/>
            <w:vAlign w:val="center"/>
          </w:tcPr>
          <w:p>
            <w:pPr>
              <w:jc w:val="center"/>
              <w:rPr>
                <w:rFonts w:hint="eastAsia" w:ascii="仿宋" w:hAnsi="仿宋" w:eastAsia="仿宋" w:cs="仿宋"/>
                <w:b/>
                <w:color w:val="auto"/>
                <w:sz w:val="21"/>
                <w:szCs w:val="21"/>
              </w:rPr>
            </w:pPr>
          </w:p>
        </w:tc>
        <w:tc>
          <w:tcPr>
            <w:tcW w:w="1166" w:type="dxa"/>
            <w:vAlign w:val="center"/>
          </w:tcPr>
          <w:p>
            <w:pPr>
              <w:jc w:val="center"/>
              <w:rPr>
                <w:rFonts w:hint="eastAsia" w:ascii="仿宋" w:hAnsi="仿宋" w:eastAsia="仿宋" w:cs="仿宋"/>
                <w:b/>
                <w:color w:val="auto"/>
                <w:sz w:val="21"/>
                <w:szCs w:val="21"/>
              </w:rPr>
            </w:pPr>
          </w:p>
        </w:tc>
        <w:tc>
          <w:tcPr>
            <w:tcW w:w="848" w:type="dxa"/>
            <w:vAlign w:val="center"/>
          </w:tcPr>
          <w:p>
            <w:pPr>
              <w:jc w:val="center"/>
              <w:rPr>
                <w:rFonts w:hint="eastAsia" w:ascii="仿宋" w:hAnsi="仿宋" w:eastAsia="仿宋" w:cs="仿宋"/>
                <w:b/>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jc w:val="center"/>
              <w:rPr>
                <w:rFonts w:hint="eastAsia" w:ascii="仿宋" w:hAnsi="仿宋" w:eastAsia="仿宋" w:cs="仿宋"/>
                <w:b/>
                <w:color w:val="auto"/>
                <w:sz w:val="21"/>
                <w:szCs w:val="21"/>
              </w:rPr>
            </w:pPr>
          </w:p>
        </w:tc>
        <w:tc>
          <w:tcPr>
            <w:tcW w:w="1141" w:type="dxa"/>
            <w:vAlign w:val="center"/>
          </w:tcPr>
          <w:p>
            <w:pPr>
              <w:jc w:val="center"/>
              <w:rPr>
                <w:rFonts w:hint="eastAsia" w:ascii="仿宋" w:hAnsi="仿宋" w:eastAsia="仿宋" w:cs="仿宋"/>
                <w:b/>
                <w:color w:val="auto"/>
                <w:sz w:val="21"/>
                <w:szCs w:val="21"/>
              </w:rPr>
            </w:pPr>
          </w:p>
        </w:tc>
        <w:tc>
          <w:tcPr>
            <w:tcW w:w="2075" w:type="dxa"/>
            <w:vAlign w:val="center"/>
          </w:tcPr>
          <w:p>
            <w:pPr>
              <w:jc w:val="center"/>
              <w:rPr>
                <w:rFonts w:hint="eastAsia" w:ascii="仿宋" w:hAnsi="仿宋" w:eastAsia="仿宋" w:cs="仿宋"/>
                <w:b/>
                <w:color w:val="auto"/>
                <w:sz w:val="21"/>
                <w:szCs w:val="21"/>
              </w:rPr>
            </w:pPr>
          </w:p>
        </w:tc>
        <w:tc>
          <w:tcPr>
            <w:tcW w:w="1245" w:type="dxa"/>
            <w:vAlign w:val="center"/>
          </w:tcPr>
          <w:p>
            <w:pPr>
              <w:jc w:val="center"/>
              <w:rPr>
                <w:rFonts w:hint="eastAsia" w:ascii="仿宋" w:hAnsi="仿宋" w:eastAsia="仿宋" w:cs="仿宋"/>
                <w:b/>
                <w:color w:val="auto"/>
                <w:sz w:val="21"/>
                <w:szCs w:val="21"/>
              </w:rPr>
            </w:pPr>
          </w:p>
        </w:tc>
        <w:tc>
          <w:tcPr>
            <w:tcW w:w="1324" w:type="dxa"/>
            <w:vAlign w:val="center"/>
          </w:tcPr>
          <w:p>
            <w:pPr>
              <w:jc w:val="center"/>
              <w:rPr>
                <w:rFonts w:hint="eastAsia" w:ascii="仿宋" w:hAnsi="仿宋" w:eastAsia="仿宋" w:cs="仿宋"/>
                <w:b/>
                <w:color w:val="auto"/>
                <w:sz w:val="21"/>
                <w:szCs w:val="21"/>
              </w:rPr>
            </w:pPr>
          </w:p>
        </w:tc>
        <w:tc>
          <w:tcPr>
            <w:tcW w:w="1166" w:type="dxa"/>
            <w:vAlign w:val="center"/>
          </w:tcPr>
          <w:p>
            <w:pPr>
              <w:jc w:val="center"/>
              <w:rPr>
                <w:rFonts w:hint="eastAsia" w:ascii="仿宋" w:hAnsi="仿宋" w:eastAsia="仿宋" w:cs="仿宋"/>
                <w:b/>
                <w:color w:val="auto"/>
                <w:sz w:val="21"/>
                <w:szCs w:val="21"/>
              </w:rPr>
            </w:pPr>
          </w:p>
        </w:tc>
        <w:tc>
          <w:tcPr>
            <w:tcW w:w="848" w:type="dxa"/>
            <w:vAlign w:val="center"/>
          </w:tcPr>
          <w:p>
            <w:pPr>
              <w:jc w:val="center"/>
              <w:rPr>
                <w:rFonts w:hint="eastAsia" w:ascii="仿宋" w:hAnsi="仿宋" w:eastAsia="仿宋" w:cs="仿宋"/>
                <w:b/>
                <w:color w:val="auto"/>
                <w:sz w:val="21"/>
                <w:szCs w:val="21"/>
              </w:rPr>
            </w:pPr>
          </w:p>
        </w:tc>
      </w:tr>
    </w:tbl>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我方承诺，以上信息真实可靠；如填报的股东出资额、出资比例等与实际不符，视为放弃中标资格。</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注：1）主要股东或出资人为法人的，填写法人全称及统一社会信用代码；为自然人的，填写自然人姓名和身份证号。</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2）出资方式填写货币、实物、工艺产权和非专利技术、土地使用权等。</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3）投标人应按照占全部股份比例从大到小依次逐个股东填写，股东数量多于10个的，填写前10名，不足10个的全部填写。</w:t>
      </w:r>
    </w:p>
    <w:p>
      <w:pPr>
        <w:spacing w:line="360" w:lineRule="auto"/>
        <w:ind w:left="5250" w:leftChars="2200" w:hanging="630" w:hangingChars="300"/>
        <w:rPr>
          <w:rFonts w:hint="eastAsia" w:ascii="仿宋" w:hAnsi="仿宋" w:eastAsia="仿宋" w:cs="仿宋"/>
          <w:color w:val="auto"/>
          <w:sz w:val="21"/>
          <w:szCs w:val="21"/>
        </w:rPr>
      </w:pPr>
      <w:r>
        <w:rPr>
          <w:rFonts w:hint="eastAsia" w:ascii="仿宋" w:hAnsi="仿宋" w:eastAsia="仿宋" w:cs="仿宋"/>
          <w:color w:val="auto"/>
          <w:sz w:val="21"/>
          <w:szCs w:val="21"/>
        </w:rPr>
        <w:t xml:space="preserve">                                        投标人（公章）：</w:t>
      </w:r>
    </w:p>
    <w:p>
      <w:pPr>
        <w:spacing w:line="360" w:lineRule="auto"/>
        <w:ind w:firstLine="4620" w:firstLineChars="2200"/>
        <w:rPr>
          <w:rFonts w:hint="eastAsia" w:ascii="仿宋" w:hAnsi="仿宋" w:eastAsia="仿宋" w:cs="仿宋"/>
          <w:color w:val="auto"/>
          <w:sz w:val="21"/>
          <w:szCs w:val="21"/>
        </w:rPr>
      </w:pPr>
      <w:r>
        <w:rPr>
          <w:rFonts w:hint="eastAsia" w:ascii="仿宋" w:hAnsi="仿宋" w:eastAsia="仿宋" w:cs="仿宋"/>
          <w:color w:val="auto"/>
          <w:sz w:val="21"/>
          <w:szCs w:val="21"/>
        </w:rPr>
        <w:t xml:space="preserve">法定代表人或其授权代表签名： </w:t>
      </w:r>
    </w:p>
    <w:p>
      <w:pPr>
        <w:spacing w:line="360" w:lineRule="auto"/>
        <w:ind w:firstLine="4620" w:firstLineChars="2200"/>
        <w:rPr>
          <w:rFonts w:hint="eastAsia" w:ascii="仿宋" w:hAnsi="仿宋" w:eastAsia="仿宋" w:cs="仿宋"/>
          <w:color w:val="auto"/>
          <w:sz w:val="21"/>
          <w:szCs w:val="21"/>
        </w:rPr>
      </w:pPr>
      <w:r>
        <w:rPr>
          <w:rFonts w:hint="eastAsia" w:ascii="仿宋" w:hAnsi="仿宋" w:eastAsia="仿宋" w:cs="仿宋"/>
          <w:color w:val="auto"/>
          <w:sz w:val="21"/>
          <w:szCs w:val="21"/>
        </w:rPr>
        <w:t>日期：      年    月    日</w:t>
      </w:r>
    </w:p>
    <w:p>
      <w:pPr>
        <w:pStyle w:val="12"/>
        <w:spacing w:line="300" w:lineRule="auto"/>
        <w:ind w:firstLine="420"/>
        <w:rPr>
          <w:rFonts w:hint="eastAsia" w:ascii="仿宋" w:hAnsi="仿宋" w:eastAsia="仿宋" w:cs="仿宋"/>
          <w:color w:val="auto"/>
          <w:szCs w:val="21"/>
        </w:rPr>
      </w:pP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2.提交资料（包括但不限于财务报告表、组织机构、公司概况等）：</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b/>
          <w:bCs/>
          <w:color w:val="auto"/>
          <w:sz w:val="21"/>
          <w:szCs w:val="21"/>
        </w:rPr>
        <w:t>“国家企业信用信息公示系统”网页报告</w:t>
      </w:r>
      <w:r>
        <w:rPr>
          <w:rFonts w:hint="eastAsia" w:ascii="仿宋" w:hAnsi="仿宋" w:eastAsia="仿宋" w:cs="仿宋"/>
          <w:color w:val="auto"/>
          <w:sz w:val="21"/>
          <w:szCs w:val="21"/>
        </w:rPr>
        <w:t>。</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（2）公司概况及公司组织机构；</w:t>
      </w:r>
    </w:p>
    <w:p>
      <w:pPr>
        <w:pStyle w:val="12"/>
        <w:spacing w:line="300" w:lineRule="auto"/>
        <w:ind w:firstLine="420"/>
        <w:rPr>
          <w:rFonts w:hint="eastAsia" w:ascii="仿宋" w:hAnsi="仿宋" w:eastAsia="仿宋" w:cs="仿宋"/>
          <w:color w:val="auto"/>
          <w:szCs w:val="21"/>
        </w:rPr>
      </w:pPr>
      <w:r>
        <w:rPr>
          <w:rFonts w:hint="eastAsia" w:ascii="仿宋" w:hAnsi="仿宋" w:eastAsia="仿宋" w:cs="仿宋"/>
          <w:color w:val="auto"/>
          <w:szCs w:val="21"/>
        </w:rPr>
        <w:t>（3）近两年财务报表包括资产负债表、损益表、现金流量表、纳税情况表等（加盖投标人公章）</w:t>
      </w:r>
    </w:p>
    <w:p>
      <w:pPr>
        <w:pStyle w:val="12"/>
        <w:spacing w:line="300" w:lineRule="auto"/>
        <w:ind w:firstLine="315" w:firstLineChars="150"/>
        <w:rPr>
          <w:rFonts w:hint="eastAsia" w:ascii="仿宋" w:hAnsi="仿宋" w:eastAsia="仿宋" w:cs="仿宋"/>
          <w:color w:val="auto"/>
          <w:szCs w:val="21"/>
        </w:rPr>
      </w:pPr>
      <w:r>
        <w:rPr>
          <w:rFonts w:hint="eastAsia" w:ascii="仿宋" w:hAnsi="仿宋" w:eastAsia="仿宋" w:cs="仿宋"/>
          <w:color w:val="auto"/>
          <w:szCs w:val="21"/>
        </w:rPr>
        <w:t>（4）投标产品如被纳入中华人民共和国已实施的强制性产品认证产品目录的，应获得国家强制性产品认证证书和加施中国强制性认证标志；并附相关证明资料。</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兹证明，上述说明属实，并已提供相应资料和数据，我方同意遵照贵方要求出示有关证明文件。</w:t>
      </w:r>
    </w:p>
    <w:p>
      <w:pPr>
        <w:spacing w:line="360" w:lineRule="auto"/>
        <w:ind w:firstLine="5760" w:firstLineChars="2400"/>
        <w:jc w:val="left"/>
        <w:rPr>
          <w:rFonts w:hint="eastAsia" w:ascii="仿宋" w:hAnsi="仿宋" w:eastAsia="仿宋" w:cs="仿宋"/>
          <w:color w:val="auto"/>
          <w:sz w:val="24"/>
          <w:szCs w:val="24"/>
        </w:rPr>
      </w:pPr>
    </w:p>
    <w:p>
      <w:pPr>
        <w:keepNext/>
        <w:keepLines/>
        <w:numPr>
          <w:ilvl w:val="0"/>
          <w:numId w:val="0"/>
        </w:numPr>
        <w:spacing w:line="360" w:lineRule="auto"/>
        <w:outlineLvl w:val="4"/>
        <w:rPr>
          <w:rFonts w:hint="eastAsia" w:ascii="仿宋" w:hAnsi="仿宋" w:eastAsia="仿宋" w:cs="仿宋"/>
          <w:b/>
          <w:bCs/>
          <w:color w:val="auto"/>
          <w:sz w:val="24"/>
          <w:szCs w:val="24"/>
        </w:rPr>
      </w:pPr>
      <w:bookmarkStart w:id="13" w:name="_Toc20560"/>
      <w:bookmarkStart w:id="14" w:name="_Toc29194"/>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提供具有统一社会信用代码的营业执照或事业单位法人证书等证明文件</w:t>
      </w:r>
      <w:r>
        <w:rPr>
          <w:rFonts w:hint="eastAsia" w:ascii="仿宋" w:hAnsi="仿宋" w:eastAsia="仿宋" w:cs="仿宋"/>
          <w:b/>
          <w:bCs/>
          <w:color w:val="auto"/>
          <w:sz w:val="24"/>
          <w:szCs w:val="24"/>
          <w:lang w:eastAsia="zh-CN"/>
        </w:rPr>
        <w:t>复印件</w:t>
      </w:r>
      <w:r>
        <w:rPr>
          <w:rFonts w:hint="eastAsia" w:ascii="仿宋" w:hAnsi="仿宋" w:eastAsia="仿宋" w:cs="仿宋"/>
          <w:b/>
          <w:bCs/>
          <w:color w:val="auto"/>
          <w:sz w:val="24"/>
          <w:szCs w:val="24"/>
        </w:rPr>
        <w:t>加盖投标人公章</w:t>
      </w:r>
      <w:bookmarkEnd w:id="13"/>
      <w:bookmarkEnd w:id="14"/>
      <w:r>
        <w:rPr>
          <w:rFonts w:hint="eastAsia" w:ascii="仿宋" w:hAnsi="仿宋" w:eastAsia="仿宋" w:cs="仿宋"/>
          <w:b/>
          <w:bCs/>
          <w:color w:val="auto"/>
          <w:sz w:val="24"/>
          <w:szCs w:val="24"/>
        </w:rPr>
        <w:t>）</w:t>
      </w:r>
    </w:p>
    <w:p>
      <w:pPr>
        <w:pStyle w:val="18"/>
        <w:spacing w:after="60"/>
        <w:ind w:left="0" w:leftChars="0" w:firstLine="0" w:firstLineChars="0"/>
        <w:rPr>
          <w:rFonts w:hint="eastAsia" w:ascii="仿宋" w:hAnsi="仿宋" w:eastAsia="仿宋" w:cs="仿宋"/>
          <w:b/>
          <w:bCs/>
          <w:color w:val="auto"/>
          <w:sz w:val="24"/>
          <w:szCs w:val="24"/>
        </w:rPr>
      </w:pPr>
    </w:p>
    <w:p>
      <w:pPr>
        <w:pStyle w:val="18"/>
        <w:spacing w:after="60"/>
        <w:ind w:firstLine="422"/>
        <w:rPr>
          <w:rFonts w:hint="eastAsia" w:ascii="仿宋" w:hAnsi="仿宋" w:eastAsia="仿宋" w:cs="仿宋"/>
          <w:b/>
          <w:bCs/>
          <w:color w:val="auto"/>
          <w:sz w:val="24"/>
          <w:szCs w:val="24"/>
        </w:rPr>
      </w:pPr>
    </w:p>
    <w:p>
      <w:pPr>
        <w:pStyle w:val="18"/>
        <w:spacing w:after="60"/>
        <w:ind w:firstLine="422"/>
        <w:rPr>
          <w:rFonts w:hint="eastAsia" w:ascii="仿宋" w:hAnsi="仿宋" w:eastAsia="仿宋" w:cs="仿宋"/>
          <w:b/>
          <w:bCs/>
          <w:color w:val="auto"/>
          <w:sz w:val="24"/>
          <w:szCs w:val="24"/>
        </w:rPr>
      </w:pPr>
    </w:p>
    <w:p>
      <w:pPr>
        <w:pStyle w:val="18"/>
        <w:spacing w:after="60"/>
        <w:ind w:firstLine="422"/>
        <w:rPr>
          <w:rFonts w:hint="eastAsia" w:ascii="仿宋" w:hAnsi="仿宋" w:eastAsia="仿宋" w:cs="仿宋"/>
          <w:b/>
          <w:bCs/>
          <w:color w:val="auto"/>
          <w:sz w:val="24"/>
          <w:szCs w:val="24"/>
        </w:rPr>
      </w:pPr>
    </w:p>
    <w:p>
      <w:pPr>
        <w:pStyle w:val="18"/>
        <w:spacing w:after="60"/>
        <w:ind w:firstLine="422"/>
        <w:rPr>
          <w:rFonts w:hint="eastAsia" w:ascii="仿宋" w:hAnsi="仿宋" w:eastAsia="仿宋" w:cs="仿宋"/>
          <w:b/>
          <w:bCs/>
          <w:color w:val="auto"/>
          <w:sz w:val="24"/>
          <w:szCs w:val="24"/>
        </w:rPr>
      </w:pPr>
    </w:p>
    <w:p>
      <w:pPr>
        <w:pStyle w:val="18"/>
        <w:spacing w:after="60"/>
        <w:ind w:firstLine="422"/>
        <w:rPr>
          <w:rFonts w:hint="eastAsia" w:ascii="仿宋" w:hAnsi="仿宋" w:eastAsia="仿宋" w:cs="仿宋"/>
          <w:b/>
          <w:bCs/>
          <w:color w:val="auto"/>
          <w:sz w:val="24"/>
          <w:szCs w:val="24"/>
        </w:rPr>
      </w:pPr>
    </w:p>
    <w:p>
      <w:pPr>
        <w:pStyle w:val="5"/>
        <w:rPr>
          <w:rFonts w:hint="eastAsia" w:ascii="仿宋" w:hAnsi="仿宋" w:eastAsia="仿宋" w:cs="仿宋"/>
          <w:color w:val="auto"/>
          <w:sz w:val="24"/>
          <w:szCs w:val="24"/>
        </w:rPr>
      </w:pPr>
    </w:p>
    <w:p>
      <w:pPr>
        <w:keepNext/>
        <w:keepLines/>
        <w:numPr>
          <w:ilvl w:val="0"/>
          <w:numId w:val="9"/>
        </w:numPr>
        <w:spacing w:line="360" w:lineRule="auto"/>
        <w:outlineLvl w:val="4"/>
        <w:rPr>
          <w:rFonts w:hint="eastAsia" w:ascii="仿宋" w:hAnsi="仿宋" w:eastAsia="仿宋" w:cs="仿宋"/>
          <w:b/>
          <w:bCs/>
          <w:color w:val="auto"/>
          <w:sz w:val="24"/>
          <w:szCs w:val="24"/>
        </w:rPr>
      </w:pPr>
      <w:bookmarkStart w:id="15" w:name="_Toc3077"/>
      <w:bookmarkStart w:id="16" w:name="_Toc15877"/>
      <w:r>
        <w:rPr>
          <w:rFonts w:hint="eastAsia" w:ascii="仿宋" w:hAnsi="仿宋" w:eastAsia="仿宋" w:cs="仿宋"/>
          <w:b/>
          <w:bCs/>
          <w:color w:val="auto"/>
          <w:sz w:val="24"/>
          <w:szCs w:val="24"/>
        </w:rPr>
        <w:t>法定代表人授权书格式</w:t>
      </w:r>
      <w:bookmarkEnd w:id="15"/>
      <w:bookmarkEnd w:id="16"/>
      <w:r>
        <w:rPr>
          <w:rFonts w:hint="eastAsia" w:ascii="仿宋" w:hAnsi="仿宋" w:eastAsia="仿宋" w:cs="仿宋"/>
          <w:b/>
          <w:bCs/>
          <w:color w:val="auto"/>
          <w:sz w:val="24"/>
          <w:szCs w:val="24"/>
        </w:rPr>
        <w:t>（投标人代表为法定代表人的无须提供本格式）</w:t>
      </w:r>
    </w:p>
    <w:p>
      <w:pPr>
        <w:pStyle w:val="24"/>
        <w:numPr>
          <w:ilvl w:val="0"/>
          <w:numId w:val="0"/>
        </w:numPr>
        <w:rPr>
          <w:rFonts w:hint="eastAsia"/>
          <w:color w:val="auto"/>
        </w:rPr>
      </w:pPr>
    </w:p>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法定代表人授权书</w:t>
      </w:r>
    </w:p>
    <w:p>
      <w:pPr>
        <w:spacing w:line="360" w:lineRule="auto"/>
        <w:jc w:val="center"/>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致：深圳市</w:t>
      </w:r>
      <w:r>
        <w:rPr>
          <w:rFonts w:hint="eastAsia" w:ascii="仿宋" w:hAnsi="仿宋" w:eastAsia="仿宋" w:cs="仿宋"/>
          <w:color w:val="auto"/>
          <w:sz w:val="24"/>
          <w:szCs w:val="24"/>
          <w:lang w:val="en-US" w:eastAsia="zh-CN"/>
        </w:rPr>
        <w:t>龙岗中心医院</w:t>
      </w:r>
    </w:p>
    <w:p>
      <w:pPr>
        <w:spacing w:line="360" w:lineRule="auto"/>
        <w:ind w:firstLine="480" w:firstLineChars="200"/>
        <w:rPr>
          <w:rFonts w:hint="eastAsia" w:ascii="仿宋" w:hAnsi="仿宋" w:eastAsia="仿宋" w:cs="仿宋"/>
          <w:color w:val="auto"/>
          <w:sz w:val="24"/>
          <w:szCs w:val="24"/>
        </w:rPr>
      </w:pPr>
    </w:p>
    <w:p>
      <w:pPr>
        <w:pStyle w:val="12"/>
        <w:ind w:left="660" w:leftChars="200" w:right="420" w:hanging="240" w:hanging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本授权书声明：注册于中华人民共和国的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（投标人名称）在下面签字</w:t>
      </w:r>
    </w:p>
    <w:p>
      <w:pPr>
        <w:pStyle w:val="12"/>
        <w:ind w:right="420"/>
        <w:jc w:val="left"/>
        <w:rPr>
          <w:rFonts w:hint="eastAsia" w:ascii="仿宋" w:hAnsi="仿宋" w:eastAsia="仿宋" w:cs="仿宋"/>
          <w:color w:val="auto"/>
          <w:sz w:val="24"/>
          <w:szCs w:val="24"/>
        </w:rPr>
      </w:pP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（法定代表人姓名、职务）代表我方授权在下面签字的　　　　　　（被授权人的姓名、职务）为本公司的合法代表人，就为深圳</w:t>
      </w:r>
      <w:r>
        <w:rPr>
          <w:rFonts w:hint="eastAsia" w:ascii="仿宋" w:hAnsi="仿宋" w:eastAsia="仿宋" w:cs="仿宋"/>
          <w:color w:val="auto"/>
          <w:sz w:val="24"/>
          <w:szCs w:val="24"/>
          <w:lang w:val="en-US" w:eastAsia="zh-CN"/>
        </w:rPr>
        <w:t xml:space="preserve">龙岗中心医院       </w:t>
      </w:r>
      <w:r>
        <w:rPr>
          <w:rFonts w:hint="eastAsia" w:ascii="仿宋" w:hAnsi="仿宋" w:eastAsia="仿宋" w:cs="仿宋"/>
          <w:color w:val="auto"/>
          <w:sz w:val="24"/>
          <w:szCs w:val="24"/>
        </w:rPr>
        <w:t>采购（项目编号：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的投标和合同执行，以我方的名义处理一切与之有关的事宜。</w:t>
      </w:r>
    </w:p>
    <w:p>
      <w:pPr>
        <w:pStyle w:val="12"/>
        <w:ind w:right="420"/>
        <w:jc w:val="left"/>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pPr>
        <w:adjustRightInd w:val="0"/>
        <w:snapToGrid w:val="0"/>
        <w:spacing w:before="100" w:beforeAutospacing="1"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被授权人（签字）：</w:t>
      </w: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0" w:firstLine="480" w:firstLineChars="200"/>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附：被授权人身份证</w:t>
      </w:r>
      <w:r>
        <w:rPr>
          <w:rFonts w:hint="eastAsia" w:ascii="仿宋" w:hAnsi="仿宋" w:eastAsia="仿宋" w:cs="仿宋"/>
          <w:color w:val="auto"/>
          <w:sz w:val="24"/>
          <w:szCs w:val="24"/>
          <w:lang w:eastAsia="zh-CN"/>
        </w:rPr>
        <w:t>复印件</w:t>
      </w:r>
    </w:p>
    <w:p>
      <w:pPr>
        <w:keepNext/>
        <w:keepLines/>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dI8A2NsAAAAKAQAADwAAAAAAAAAB&#10;ACAAAAAiAAAAZHJzL2Rvd25yZXYueG1sUEsBAhQAFAAAAAgAh07iQO8A60e4AgAA/QcAAA4AAAAA&#10;AAAAAQAgAAAAKgEAAGRycy9lMm9Eb2MueG1sUEsFBgAAAAAGAAYAWQEAAFQ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color w:val="auto"/>
          <w:sz w:val="24"/>
          <w:szCs w:val="24"/>
        </w:rPr>
      </w:pPr>
    </w:p>
    <w:p>
      <w:pPr>
        <w:keepNext/>
        <w:keepLines/>
        <w:spacing w:line="360" w:lineRule="auto"/>
        <w:rPr>
          <w:rFonts w:hint="eastAsia" w:ascii="仿宋" w:hAnsi="仿宋" w:eastAsia="仿宋" w:cs="仿宋"/>
          <w:b/>
          <w:color w:val="auto"/>
          <w:sz w:val="24"/>
          <w:szCs w:val="24"/>
        </w:rPr>
      </w:pPr>
    </w:p>
    <w:p>
      <w:pPr>
        <w:keepNext/>
        <w:keepLines/>
        <w:spacing w:line="360" w:lineRule="auto"/>
        <w:rPr>
          <w:rFonts w:hint="eastAsia" w:ascii="仿宋" w:hAnsi="仿宋" w:eastAsia="仿宋" w:cs="仿宋"/>
          <w:b/>
          <w:color w:val="auto"/>
          <w:sz w:val="24"/>
          <w:szCs w:val="24"/>
        </w:rPr>
      </w:pPr>
    </w:p>
    <w:p>
      <w:pPr>
        <w:keepNext/>
        <w:keepLines/>
        <w:spacing w:line="360" w:lineRule="auto"/>
        <w:rPr>
          <w:rFonts w:hint="eastAsia" w:ascii="仿宋" w:hAnsi="仿宋" w:eastAsia="仿宋" w:cs="仿宋"/>
          <w:b/>
          <w:color w:val="auto"/>
          <w:sz w:val="24"/>
          <w:szCs w:val="24"/>
        </w:rPr>
      </w:pPr>
    </w:p>
    <w:p>
      <w:pPr>
        <w:keepNext/>
        <w:keepLines/>
        <w:spacing w:line="360" w:lineRule="auto"/>
        <w:rPr>
          <w:rFonts w:hint="eastAsia" w:ascii="仿宋" w:hAnsi="仿宋" w:eastAsia="仿宋" w:cs="仿宋"/>
          <w:b/>
          <w:color w:val="auto"/>
          <w:sz w:val="24"/>
          <w:szCs w:val="24"/>
        </w:rPr>
      </w:pPr>
    </w:p>
    <w:p>
      <w:pPr>
        <w:keepNext/>
        <w:keepLines/>
        <w:spacing w:line="360" w:lineRule="auto"/>
        <w:rPr>
          <w:rFonts w:hint="eastAsia" w:ascii="仿宋" w:hAnsi="仿宋" w:eastAsia="仿宋" w:cs="仿宋"/>
          <w:b/>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keepNext/>
        <w:keepLines/>
        <w:numPr>
          <w:ilvl w:val="0"/>
          <w:numId w:val="0"/>
        </w:numPr>
        <w:spacing w:line="360" w:lineRule="auto"/>
        <w:outlineLvl w:val="4"/>
        <w:rPr>
          <w:rFonts w:hint="eastAsia" w:ascii="仿宋" w:hAnsi="仿宋" w:eastAsia="仿宋" w:cs="仿宋"/>
          <w:b/>
          <w:bCs/>
          <w:color w:val="auto"/>
          <w:sz w:val="24"/>
          <w:szCs w:val="24"/>
        </w:rPr>
      </w:pPr>
      <w:bookmarkStart w:id="17" w:name="_Toc29757"/>
      <w:bookmarkStart w:id="18" w:name="_Toc743"/>
      <w:r>
        <w:rPr>
          <w:rFonts w:hint="eastAsia" w:ascii="仿宋" w:hAnsi="仿宋" w:eastAsia="仿宋" w:cs="仿宋"/>
          <w:b/>
          <w:bCs/>
          <w:color w:val="auto"/>
          <w:kern w:val="2"/>
          <w:sz w:val="24"/>
          <w:szCs w:val="24"/>
          <w:lang w:val="en-US" w:eastAsia="zh-CN" w:bidi="ar-SA"/>
        </w:rPr>
        <w:t>（四）</w:t>
      </w:r>
      <w:r>
        <w:rPr>
          <w:rFonts w:hint="eastAsia" w:ascii="仿宋" w:hAnsi="仿宋" w:eastAsia="仿宋" w:cs="仿宋"/>
          <w:b/>
          <w:bCs/>
          <w:color w:val="auto"/>
          <w:sz w:val="24"/>
          <w:szCs w:val="24"/>
        </w:rPr>
        <w:t>法定代表人证明书格式</w:t>
      </w:r>
      <w:bookmarkEnd w:id="17"/>
      <w:bookmarkEnd w:id="18"/>
    </w:p>
    <w:p>
      <w:pPr>
        <w:pStyle w:val="12"/>
        <w:spacing w:line="360" w:lineRule="auto"/>
        <w:jc w:val="center"/>
        <w:rPr>
          <w:rFonts w:hint="eastAsia" w:ascii="仿宋" w:hAnsi="仿宋" w:eastAsia="仿宋" w:cs="仿宋"/>
          <w:b/>
          <w:bCs/>
          <w:color w:val="auto"/>
          <w:sz w:val="24"/>
          <w:szCs w:val="24"/>
        </w:rPr>
      </w:pPr>
    </w:p>
    <w:p>
      <w:pPr>
        <w:pStyle w:val="12"/>
        <w:spacing w:line="360" w:lineRule="auto"/>
        <w:jc w:val="center"/>
        <w:rPr>
          <w:rFonts w:hint="eastAsia" w:ascii="仿宋" w:hAnsi="仿宋" w:eastAsia="仿宋" w:cs="仿宋"/>
          <w:b/>
          <w:bCs/>
          <w:color w:val="auto"/>
          <w:sz w:val="24"/>
          <w:szCs w:val="24"/>
        </w:rPr>
      </w:pPr>
    </w:p>
    <w:p>
      <w:pPr>
        <w:pStyle w:val="12"/>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法定代表人证明书</w:t>
      </w:r>
    </w:p>
    <w:p>
      <w:pPr>
        <w:widowControl/>
        <w:autoSpaceDE w:val="0"/>
        <w:autoSpaceDN w:val="0"/>
        <w:ind w:right="893"/>
        <w:jc w:val="center"/>
        <w:textAlignment w:val="bottom"/>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（法定代表人姓名）</w:t>
      </w:r>
      <w:r>
        <w:rPr>
          <w:rFonts w:hint="eastAsia" w:ascii="仿宋" w:hAnsi="仿宋" w:eastAsia="仿宋" w:cs="仿宋"/>
          <w:bCs/>
          <w:color w:val="auto"/>
          <w:kern w:val="2"/>
          <w:sz w:val="24"/>
          <w:szCs w:val="24"/>
          <w:lang w:val="en-US" w:eastAsia="zh-CN" w:bidi="ar-SA"/>
        </w:rPr>
        <w:t xml:space="preserve"> 现任我方</w:t>
      </w:r>
      <w:r>
        <w:rPr>
          <w:rFonts w:hint="eastAsia" w:ascii="仿宋" w:hAnsi="仿宋" w:eastAsia="仿宋" w:cs="仿宋"/>
          <w:bCs/>
          <w:color w:val="auto"/>
          <w:kern w:val="2"/>
          <w:sz w:val="24"/>
          <w:szCs w:val="24"/>
          <w:u w:val="single"/>
          <w:lang w:val="en-US" w:eastAsia="zh-CN" w:bidi="ar-SA"/>
        </w:rPr>
        <w:t xml:space="preserve">     </w:t>
      </w:r>
      <w:r>
        <w:rPr>
          <w:rFonts w:hint="eastAsia" w:ascii="仿宋" w:hAnsi="仿宋" w:eastAsia="仿宋" w:cs="仿宋"/>
          <w:bCs/>
          <w:color w:val="auto"/>
          <w:kern w:val="2"/>
          <w:sz w:val="24"/>
          <w:szCs w:val="24"/>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lang w:val="en-US" w:eastAsia="zh-CN" w:bidi="ar-SA"/>
        </w:rPr>
      </w:pPr>
    </w:p>
    <w:p>
      <w:pPr>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 xml:space="preserve">签发日期： 年  月  日      </w:t>
      </w:r>
    </w:p>
    <w:p>
      <w:pPr>
        <w:pStyle w:val="12"/>
        <w:ind w:right="420"/>
        <w:jc w:val="left"/>
        <w:rPr>
          <w:rFonts w:hint="eastAsia" w:ascii="仿宋" w:hAnsi="仿宋" w:eastAsia="仿宋" w:cs="仿宋"/>
          <w:color w:val="auto"/>
          <w:sz w:val="24"/>
          <w:szCs w:val="24"/>
        </w:rPr>
      </w:pPr>
      <w:r>
        <w:rPr>
          <w:rFonts w:hint="eastAsia" w:ascii="仿宋" w:hAnsi="仿宋" w:eastAsia="仿宋" w:cs="仿宋"/>
          <w:bCs/>
          <w:color w:val="auto"/>
          <w:kern w:val="2"/>
          <w:sz w:val="24"/>
          <w:szCs w:val="24"/>
          <w:lang w:val="en-US" w:eastAsia="zh-CN" w:bidi="ar-SA"/>
        </w:rPr>
        <w:t>有效期：与我方</w:t>
      </w:r>
      <w:r>
        <w:rPr>
          <w:rFonts w:hint="eastAsia" w:ascii="仿宋" w:hAnsi="仿宋" w:eastAsia="仿宋" w:cs="仿宋"/>
          <w:bCs/>
          <w:color w:val="auto"/>
          <w:sz w:val="24"/>
          <w:szCs w:val="24"/>
        </w:rPr>
        <w:t>在深圳市</w:t>
      </w:r>
      <w:r>
        <w:rPr>
          <w:rFonts w:hint="eastAsia" w:ascii="仿宋" w:hAnsi="仿宋" w:eastAsia="仿宋" w:cs="仿宋"/>
          <w:bCs/>
          <w:color w:val="auto"/>
          <w:sz w:val="24"/>
          <w:szCs w:val="24"/>
          <w:lang w:eastAsia="zh-CN"/>
        </w:rPr>
        <w:t>龙岗中心医院</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采购（项目编号：</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）中投标有效期一致  </w:t>
      </w:r>
      <w:r>
        <w:rPr>
          <w:rFonts w:hint="eastAsia" w:ascii="仿宋" w:hAnsi="仿宋" w:eastAsia="仿宋" w:cs="仿宋"/>
          <w:color w:val="auto"/>
          <w:sz w:val="24"/>
          <w:szCs w:val="24"/>
        </w:rPr>
        <w:t xml:space="preserve">  </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（盖章）</w:t>
      </w: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附：代表人性别：         年龄：            身份证号码：</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                             经济性质：</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0" w:firstLine="480" w:firstLineChars="200"/>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附：法定代表人身份证</w:t>
      </w:r>
      <w:r>
        <w:rPr>
          <w:rFonts w:hint="eastAsia" w:ascii="仿宋" w:hAnsi="仿宋" w:eastAsia="仿宋" w:cs="仿宋"/>
          <w:color w:val="auto"/>
          <w:sz w:val="24"/>
          <w:szCs w:val="24"/>
          <w:lang w:eastAsia="zh-CN"/>
        </w:rPr>
        <w:t>复印件</w:t>
      </w: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5" name="组合 5"/>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6"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（人像面）</w:t>
                              </w:r>
                            </w:p>
                            <w:p/>
                          </w:txbxContent>
                        </wps:txbx>
                        <wps:bodyPr vert="horz" anchor="t" upright="1"/>
                      </wps:wsp>
                      <wps:wsp>
                        <wps:cNvPr id="7"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m4FSHbUCAAD9BwAADgAAAGRycy9lMm9Eb2MueG1s&#10;7VXNbhMxEL4j8Q6W73Q36W6brLrpgbS9IKhUeADH69215D/ZTjbhzIEjb4DEjWdAPE7FazD2btI0&#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JuBUh2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w:t>
                        </w:r>
                        <w:r>
                          <w:rPr>
                            <w:rFonts w:hint="eastAsia"/>
                            <w:lang w:eastAsia="zh-CN"/>
                          </w:rPr>
                          <w:t>复印件</w:t>
                        </w:r>
                        <w:r>
                          <w:rPr>
                            <w:rFonts w:hint="eastAsia"/>
                          </w:rPr>
                          <w:t>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注：投标人须额外开具《法定代表人证明书》原件，投标人代表递交投标文件并出席开标环节时应携带身份证、《法定代表人授权书》及《法定代表人证明书》原件供采购代理机构工作人员核对身份信息。</w:t>
      </w:r>
    </w:p>
    <w:p>
      <w:pPr>
        <w:keepNext/>
        <w:keepLines/>
        <w:spacing w:line="360" w:lineRule="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en-US" w:eastAsia="zh-CN"/>
        </w:rPr>
        <w:t>参与本项目无重大违法记录声明函、政府采购活动时不存在被有关部门禁止参与政府采购活动且在有效期内的情况（由供应商作出声明）</w:t>
      </w:r>
      <w:r>
        <w:rPr>
          <w:rFonts w:hint="eastAsia" w:ascii="仿宋" w:hAnsi="仿宋" w:eastAsia="仿宋" w:cs="仿宋"/>
          <w:b/>
          <w:bCs/>
          <w:color w:val="auto"/>
          <w:kern w:val="2"/>
          <w:sz w:val="24"/>
          <w:szCs w:val="24"/>
          <w:highlight w:val="none"/>
        </w:rPr>
        <w:t>（格式自拟）</w:t>
      </w:r>
    </w:p>
    <w:p>
      <w:pPr>
        <w:keepNext w:val="0"/>
        <w:keepLines w:val="0"/>
        <w:pageBreakBefore w:val="0"/>
        <w:widowControl/>
        <w:numPr>
          <w:ilvl w:val="0"/>
          <w:numId w:val="0"/>
        </w:numPr>
        <w:spacing w:line="480" w:lineRule="exact"/>
        <w:jc w:val="left"/>
        <w:rPr>
          <w:rFonts w:hint="eastAsia" w:ascii="仿宋" w:hAnsi="仿宋" w:eastAsia="仿宋" w:cs="仿宋"/>
          <w:b/>
          <w:color w:val="auto"/>
          <w:kern w:val="0"/>
          <w:sz w:val="24"/>
          <w:szCs w:val="24"/>
          <w:lang w:val="en-US" w:eastAsia="zh-CN"/>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color w:val="auto"/>
          <w:sz w:val="24"/>
          <w:szCs w:val="24"/>
          <w:lang w:val="en-US" w:eastAsia="zh-CN"/>
        </w:rPr>
        <w:t xml:space="preserve">                      </w:t>
      </w:r>
      <w:r>
        <w:rPr>
          <w:rFonts w:hint="eastAsia" w:ascii="仿宋" w:hAnsi="仿宋" w:eastAsia="仿宋" w:cs="仿宋"/>
          <w:b/>
          <w:color w:val="auto"/>
          <w:kern w:val="0"/>
          <w:sz w:val="24"/>
          <w:szCs w:val="24"/>
          <w:lang w:val="en-US" w:eastAsia="zh-CN"/>
        </w:rPr>
        <w:t>投标人资格自查表</w:t>
      </w:r>
    </w:p>
    <w:tbl>
      <w:tblPr>
        <w:tblStyle w:val="20"/>
        <w:tblW w:w="1012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92"/>
        <w:gridCol w:w="4095"/>
        <w:gridCol w:w="131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1"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序号</w:t>
            </w:r>
          </w:p>
        </w:tc>
        <w:tc>
          <w:tcPr>
            <w:tcW w:w="1492"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审查内容</w:t>
            </w:r>
          </w:p>
        </w:tc>
        <w:tc>
          <w:tcPr>
            <w:tcW w:w="4095"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审查方式/查询途径</w:t>
            </w:r>
          </w:p>
        </w:tc>
        <w:tc>
          <w:tcPr>
            <w:tcW w:w="1312"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审查结果</w:t>
            </w:r>
          </w:p>
        </w:tc>
        <w:tc>
          <w:tcPr>
            <w:tcW w:w="2550"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71"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1</w:t>
            </w:r>
          </w:p>
        </w:tc>
        <w:tc>
          <w:tcPr>
            <w:tcW w:w="1492" w:type="dxa"/>
            <w:vAlign w:val="center"/>
          </w:tcPr>
          <w:p>
            <w:pPr>
              <w:jc w:val="both"/>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rPr>
              <w:t>资质条件</w:t>
            </w:r>
          </w:p>
        </w:tc>
        <w:tc>
          <w:tcPr>
            <w:tcW w:w="4095" w:type="dxa"/>
            <w:vAlign w:val="center"/>
          </w:tcPr>
          <w:p>
            <w:pPr>
              <w:jc w:val="both"/>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rPr>
              <w:t>根据采购文件的规定，要求供应商提供资质证明材料或采购人自行通过公开渠道查询</w:t>
            </w:r>
          </w:p>
        </w:tc>
        <w:tc>
          <w:tcPr>
            <w:tcW w:w="1312"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口通过</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口不通过</w:t>
            </w:r>
          </w:p>
        </w:tc>
        <w:tc>
          <w:tcPr>
            <w:tcW w:w="2550"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lang w:val="en-US" w:eastAsia="zh-CN"/>
              </w:rPr>
              <w:t>按</w:t>
            </w:r>
            <w:r>
              <w:rPr>
                <w:rFonts w:hint="eastAsia" w:ascii="仿宋" w:hAnsi="仿宋" w:eastAsia="仿宋" w:cs="仿宋"/>
                <w:color w:val="auto"/>
                <w:kern w:val="2"/>
                <w:sz w:val="24"/>
                <w:szCs w:val="24"/>
              </w:rPr>
              <w:t>采购文件事先明确具体的审查方式</w:t>
            </w:r>
            <w:r>
              <w:rPr>
                <w:rFonts w:hint="eastAsia" w:ascii="仿宋" w:hAnsi="仿宋" w:eastAsia="仿宋" w:cs="仿宋"/>
                <w:color w:val="auto"/>
                <w:kern w:val="2"/>
                <w:sz w:val="24"/>
                <w:szCs w:val="24"/>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2</w:t>
            </w:r>
          </w:p>
        </w:tc>
        <w:tc>
          <w:tcPr>
            <w:tcW w:w="1492"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是否存在因违法行为而被禁止参加本市政府采购活动的情形</w:t>
            </w:r>
          </w:p>
        </w:tc>
        <w:tc>
          <w:tcPr>
            <w:tcW w:w="4095"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中国政府采购网</w:t>
            </w:r>
          </w:p>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(http://www</w:t>
            </w:r>
            <w:r>
              <w:rPr>
                <w:rFonts w:hint="eastAsia" w:ascii="仿宋" w:hAnsi="仿宋" w:eastAsia="仿宋" w:cs="仿宋"/>
                <w:color w:val="auto"/>
                <w:kern w:val="2"/>
                <w:sz w:val="24"/>
                <w:szCs w:val="24"/>
                <w:lang w:val="en-US" w:eastAsia="zh-CN"/>
              </w:rPr>
              <w:t>.</w:t>
            </w:r>
            <w:r>
              <w:rPr>
                <w:rFonts w:hint="eastAsia" w:ascii="仿宋" w:hAnsi="仿宋" w:eastAsia="仿宋" w:cs="仿宋"/>
                <w:color w:val="auto"/>
                <w:kern w:val="2"/>
                <w:sz w:val="24"/>
                <w:szCs w:val="24"/>
              </w:rPr>
              <w:t>ccgp.gov.cn/search/cr/)</w:t>
            </w:r>
          </w:p>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深圳市政府采购监管网</w:t>
            </w:r>
          </w:p>
          <w:p>
            <w:pPr>
              <w:jc w:val="both"/>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(http://zfcg.sz.gov.cn/cgjg/cxda/index.html信用中国</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https://www.creditchina.gov.cn/</w:t>
            </w:r>
            <w:r>
              <w:rPr>
                <w:rFonts w:hint="eastAsia" w:ascii="仿宋" w:hAnsi="仿宋" w:eastAsia="仿宋" w:cs="仿宋"/>
                <w:color w:val="auto"/>
                <w:kern w:val="2"/>
                <w:sz w:val="24"/>
                <w:szCs w:val="24"/>
                <w:lang w:eastAsia="zh-CN"/>
              </w:rPr>
              <w:t>）</w:t>
            </w:r>
          </w:p>
        </w:tc>
        <w:tc>
          <w:tcPr>
            <w:tcW w:w="1312"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口是</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口否</w:t>
            </w:r>
          </w:p>
        </w:tc>
        <w:tc>
          <w:tcPr>
            <w:tcW w:w="2550"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若选择“是”，则属于审查不通过。</w:t>
            </w:r>
          </w:p>
          <w:p>
            <w:pPr>
              <w:jc w:val="both"/>
              <w:rPr>
                <w:rFonts w:hint="eastAsia" w:ascii="仿宋" w:hAnsi="仿宋" w:eastAsia="仿宋" w:cs="仿宋"/>
                <w:color w:val="auto"/>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71"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3</w:t>
            </w:r>
          </w:p>
        </w:tc>
        <w:tc>
          <w:tcPr>
            <w:tcW w:w="1492"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rPr>
              <w:t>是否为同一人不同供应商的单位</w:t>
            </w:r>
            <w:r>
              <w:rPr>
                <w:rFonts w:hint="eastAsia" w:ascii="仿宋" w:hAnsi="仿宋" w:eastAsia="仿宋" w:cs="仿宋"/>
                <w:color w:val="auto"/>
                <w:kern w:val="2"/>
                <w:sz w:val="24"/>
                <w:szCs w:val="24"/>
                <w:lang w:val="en-US" w:eastAsia="zh-CN"/>
              </w:rPr>
              <w:t>负责人</w:t>
            </w:r>
          </w:p>
        </w:tc>
        <w:tc>
          <w:tcPr>
            <w:tcW w:w="4095" w:type="dxa"/>
            <w:vMerge w:val="restart"/>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lang w:val="en-US" w:eastAsia="zh-CN"/>
              </w:rPr>
              <w:t>国家企业信用信息公示系统</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（https://www.gsxt.gov.cn/ index.html）</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机关赋码和事业单位登记管理网</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lang w:val="en-US" w:eastAsia="zh-CN"/>
              </w:rPr>
              <w:t>（http://www. gjsy.gov.cn/sydwfrxxcx/）</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全国社会组织信用信息公示平台</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lang w:val="en-US" w:eastAsia="zh-CN"/>
              </w:rPr>
              <w:t>（https://xxgs.chinanpo.mca.gov.cn/gsxt/newList）等网站</w:t>
            </w:r>
          </w:p>
        </w:tc>
        <w:tc>
          <w:tcPr>
            <w:tcW w:w="1312" w:type="dxa"/>
            <w:vAlign w:val="center"/>
          </w:tcPr>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口存在</w:t>
            </w:r>
            <w:r>
              <w:rPr>
                <w:rFonts w:hint="eastAsia" w:ascii="仿宋" w:hAnsi="仿宋" w:eastAsia="仿宋" w:cs="仿宋"/>
                <w:color w:val="auto"/>
                <w:kern w:val="2"/>
                <w:sz w:val="24"/>
                <w:szCs w:val="24"/>
                <w:lang w:val="en-US" w:eastAsia="zh-CN"/>
              </w:rPr>
              <w:t>该种情形</w:t>
            </w:r>
          </w:p>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w:t>
            </w:r>
            <w:r>
              <w:rPr>
                <w:rFonts w:hint="eastAsia" w:ascii="仿宋" w:hAnsi="仿宋" w:eastAsia="仿宋" w:cs="仿宋"/>
                <w:color w:val="auto"/>
                <w:kern w:val="2"/>
                <w:sz w:val="24"/>
                <w:szCs w:val="24"/>
                <w:lang w:val="en-US" w:eastAsia="zh-CN"/>
              </w:rPr>
              <w:t>不</w:t>
            </w:r>
            <w:r>
              <w:rPr>
                <w:rFonts w:hint="eastAsia" w:ascii="仿宋" w:hAnsi="仿宋" w:eastAsia="仿宋" w:cs="仿宋"/>
                <w:color w:val="auto"/>
                <w:kern w:val="2"/>
                <w:sz w:val="24"/>
                <w:szCs w:val="24"/>
              </w:rPr>
              <w:t>存在</w:t>
            </w:r>
            <w:r>
              <w:rPr>
                <w:rFonts w:hint="eastAsia" w:ascii="仿宋" w:hAnsi="仿宋" w:eastAsia="仿宋" w:cs="仿宋"/>
                <w:color w:val="auto"/>
                <w:kern w:val="2"/>
                <w:sz w:val="24"/>
                <w:szCs w:val="24"/>
                <w:lang w:val="en-US" w:eastAsia="zh-CN"/>
              </w:rPr>
              <w:t>该种情形</w:t>
            </w:r>
          </w:p>
        </w:tc>
        <w:tc>
          <w:tcPr>
            <w:tcW w:w="2550"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rPr>
              <w:t>若为同一人，则该几家供应商不得参加同一合同项下的政府采购活动</w:t>
            </w:r>
            <w:r>
              <w:rPr>
                <w:rFonts w:hint="eastAsia" w:ascii="仿宋" w:hAnsi="仿宋" w:eastAsia="仿宋" w:cs="仿宋"/>
                <w:color w:val="auto"/>
                <w:kern w:val="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4</w:t>
            </w:r>
          </w:p>
        </w:tc>
        <w:tc>
          <w:tcPr>
            <w:tcW w:w="1492"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rPr>
              <w:t>不同供应商</w:t>
            </w:r>
            <w:r>
              <w:rPr>
                <w:rFonts w:hint="eastAsia" w:ascii="仿宋" w:hAnsi="仿宋" w:eastAsia="仿宋" w:cs="仿宋"/>
                <w:color w:val="auto"/>
                <w:kern w:val="2"/>
                <w:sz w:val="24"/>
                <w:szCs w:val="24"/>
                <w:lang w:val="en-US" w:eastAsia="zh-CN"/>
              </w:rPr>
              <w:t>之间是否存在直接控股、管理关系</w:t>
            </w:r>
          </w:p>
        </w:tc>
        <w:tc>
          <w:tcPr>
            <w:tcW w:w="4095" w:type="dxa"/>
            <w:vMerge w:val="continue"/>
            <w:vAlign w:val="center"/>
          </w:tcPr>
          <w:p>
            <w:pPr>
              <w:jc w:val="both"/>
              <w:rPr>
                <w:rFonts w:hint="eastAsia" w:ascii="仿宋" w:hAnsi="仿宋" w:eastAsia="仿宋" w:cs="仿宋"/>
                <w:b/>
                <w:bCs/>
                <w:color w:val="auto"/>
                <w:kern w:val="2"/>
                <w:sz w:val="24"/>
                <w:szCs w:val="24"/>
                <w:vertAlign w:val="baseline"/>
              </w:rPr>
            </w:pPr>
          </w:p>
        </w:tc>
        <w:tc>
          <w:tcPr>
            <w:tcW w:w="1312" w:type="dxa"/>
            <w:vAlign w:val="center"/>
          </w:tcPr>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口存在</w:t>
            </w:r>
            <w:r>
              <w:rPr>
                <w:rFonts w:hint="eastAsia" w:ascii="仿宋" w:hAnsi="仿宋" w:eastAsia="仿宋" w:cs="仿宋"/>
                <w:color w:val="auto"/>
                <w:kern w:val="2"/>
                <w:sz w:val="24"/>
                <w:szCs w:val="24"/>
                <w:lang w:val="en-US" w:eastAsia="zh-CN"/>
              </w:rPr>
              <w:t>该种情形</w:t>
            </w:r>
          </w:p>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口</w:t>
            </w:r>
            <w:r>
              <w:rPr>
                <w:rFonts w:hint="eastAsia" w:ascii="仿宋" w:hAnsi="仿宋" w:eastAsia="仿宋" w:cs="仿宋"/>
                <w:color w:val="auto"/>
                <w:kern w:val="2"/>
                <w:sz w:val="24"/>
                <w:szCs w:val="24"/>
                <w:lang w:val="en-US" w:eastAsia="zh-CN"/>
              </w:rPr>
              <w:t>不</w:t>
            </w:r>
            <w:r>
              <w:rPr>
                <w:rFonts w:hint="eastAsia" w:ascii="仿宋" w:hAnsi="仿宋" w:eastAsia="仿宋" w:cs="仿宋"/>
                <w:color w:val="auto"/>
                <w:kern w:val="2"/>
                <w:sz w:val="24"/>
                <w:szCs w:val="24"/>
              </w:rPr>
              <w:t>存在</w:t>
            </w:r>
            <w:r>
              <w:rPr>
                <w:rFonts w:hint="eastAsia" w:ascii="仿宋" w:hAnsi="仿宋" w:eastAsia="仿宋" w:cs="仿宋"/>
                <w:color w:val="auto"/>
                <w:kern w:val="2"/>
                <w:sz w:val="24"/>
                <w:szCs w:val="24"/>
                <w:lang w:val="en-US" w:eastAsia="zh-CN"/>
              </w:rPr>
              <w:t>该种情形</w:t>
            </w:r>
          </w:p>
        </w:tc>
        <w:tc>
          <w:tcPr>
            <w:tcW w:w="2550" w:type="dxa"/>
            <w:vAlign w:val="center"/>
          </w:tcPr>
          <w:p>
            <w:pPr>
              <w:jc w:val="both"/>
              <w:rPr>
                <w:rFonts w:hint="eastAsia" w:ascii="仿宋" w:hAnsi="仿宋" w:eastAsia="仿宋" w:cs="仿宋"/>
                <w:color w:val="auto"/>
                <w:kern w:val="2"/>
                <w:sz w:val="24"/>
                <w:szCs w:val="24"/>
                <w:vertAlign w:val="baseline"/>
                <w:lang w:eastAsia="zh-CN"/>
              </w:rPr>
            </w:pPr>
            <w:r>
              <w:rPr>
                <w:rFonts w:hint="eastAsia" w:ascii="仿宋" w:hAnsi="仿宋" w:eastAsia="仿宋" w:cs="仿宋"/>
                <w:color w:val="auto"/>
                <w:kern w:val="2"/>
                <w:sz w:val="24"/>
                <w:szCs w:val="24"/>
                <w:vertAlign w:val="baseline"/>
              </w:rPr>
              <w:t>若存在直接控股、管理关系，则该几家供应商不得参加同一合同项下的政府采购活动</w:t>
            </w:r>
            <w:r>
              <w:rPr>
                <w:rFonts w:hint="eastAsia" w:ascii="仿宋" w:hAnsi="仿宋" w:eastAsia="仿宋" w:cs="仿宋"/>
                <w:color w:val="auto"/>
                <w:kern w:val="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5</w:t>
            </w:r>
          </w:p>
        </w:tc>
        <w:tc>
          <w:tcPr>
            <w:tcW w:w="1492"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为采购项目提供整体设计、规范编制或者项目管理、监理、检测等服务的供应商，是否参加了该采购项目的其他采购活动</w:t>
            </w:r>
          </w:p>
        </w:tc>
        <w:tc>
          <w:tcPr>
            <w:tcW w:w="4095"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采购人内部排查设计、规范编制或者项目管理、监理、检测等服务的供应商，是否参加了该采购项目的其他采购活动</w:t>
            </w:r>
          </w:p>
          <w:p>
            <w:pPr>
              <w:jc w:val="both"/>
              <w:rPr>
                <w:rFonts w:hint="eastAsia" w:ascii="仿宋" w:hAnsi="仿宋" w:eastAsia="仿宋" w:cs="仿宋"/>
                <w:color w:val="auto"/>
                <w:kern w:val="2"/>
                <w:sz w:val="24"/>
                <w:szCs w:val="24"/>
                <w:vertAlign w:val="baseline"/>
              </w:rPr>
            </w:pPr>
          </w:p>
        </w:tc>
        <w:tc>
          <w:tcPr>
            <w:tcW w:w="1312"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口是口否</w:t>
            </w:r>
          </w:p>
        </w:tc>
        <w:tc>
          <w:tcPr>
            <w:tcW w:w="2550"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采用单一来源方式的除外。若选择“是”，则属于审查不通过。</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ind w:left="29" w:leftChars="-95" w:right="-512" w:rightChars="-244" w:hanging="228" w:hangingChars="95"/>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kern w:val="0"/>
          <w:sz w:val="24"/>
          <w:szCs w:val="24"/>
          <w:lang w:val="en-US" w:eastAsia="zh-CN" w:bidi="ar"/>
        </w:rPr>
        <w:t>备注：</w:t>
      </w:r>
      <w:r>
        <w:rPr>
          <w:rFonts w:hint="eastAsia" w:ascii="仿宋" w:hAnsi="仿宋" w:eastAsia="仿宋" w:cs="仿宋"/>
          <w:color w:val="auto"/>
          <w:kern w:val="0"/>
          <w:sz w:val="24"/>
          <w:szCs w:val="24"/>
          <w:lang w:val="en-US" w:eastAsia="zh-CN" w:bidi="ar"/>
        </w:rPr>
        <w:t xml:space="preserve">1.上述情形为日常监督检查和审计监督中发现的易发情形，在自行采购项目供应商审查时，除了上述易发情形，采购人还应核查供应商是否存在法律法规规定的其他严重违法失信行为，并在采购文件中明确供应商审查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left="29" w:leftChars="-95" w:right="-512" w:rightChars="-244" w:hanging="228" w:hangingChars="95"/>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2.上表第3项中的单位负责人，是指单位法定代表人或者法律、行政法规规定代表单位行使职权的主要负责人。 </w:t>
      </w:r>
    </w:p>
    <w:p>
      <w:pPr>
        <w:keepNext w:val="0"/>
        <w:keepLines w:val="0"/>
        <w:pageBreakBefore w:val="0"/>
        <w:widowControl/>
        <w:suppressLineNumbers w:val="0"/>
        <w:kinsoku/>
        <w:wordWrap/>
        <w:overflowPunct/>
        <w:topLinePunct w:val="0"/>
        <w:autoSpaceDE/>
        <w:autoSpaceDN/>
        <w:bidi w:val="0"/>
        <w:adjustRightInd/>
        <w:snapToGrid/>
        <w:spacing w:line="500" w:lineRule="exact"/>
        <w:ind w:left="29" w:leftChars="-95" w:right="-512" w:rightChars="-244" w:hanging="228" w:hangingChars="95"/>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上表第4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宋体" w:hAnsi="宋体" w:cs="宋体"/>
          <w:b/>
          <w:color w:val="auto"/>
          <w:szCs w:val="21"/>
        </w:rPr>
      </w:pPr>
      <w:bookmarkStart w:id="19" w:name="_Toc7602"/>
    </w:p>
    <w:p>
      <w:pPr>
        <w:pStyle w:val="6"/>
        <w:rPr>
          <w:rFonts w:hint="eastAsia"/>
          <w:color w:val="auto"/>
        </w:rPr>
      </w:pPr>
    </w:p>
    <w:p>
      <w:pPr>
        <w:pStyle w:val="12"/>
        <w:numPr>
          <w:ilvl w:val="0"/>
          <w:numId w:val="8"/>
        </w:numPr>
        <w:spacing w:line="360" w:lineRule="auto"/>
        <w:ind w:left="0" w:leftChars="0" w:firstLine="0" w:firstLineChars="0"/>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相关承诺函格式：</w:t>
      </w:r>
      <w:bookmarkEnd w:id="19"/>
    </w:p>
    <w:p>
      <w:pPr>
        <w:adjustRightInd w:val="0"/>
        <w:jc w:val="center"/>
        <w:outlineLvl w:val="4"/>
        <w:rPr>
          <w:rFonts w:hint="eastAsia" w:ascii="仿宋" w:hAnsi="仿宋" w:eastAsia="仿宋" w:cs="仿宋"/>
          <w:b/>
          <w:bCs/>
          <w:color w:val="auto"/>
          <w:sz w:val="24"/>
          <w:szCs w:val="24"/>
        </w:rPr>
      </w:pPr>
      <w:bookmarkStart w:id="20" w:name="_Toc24833"/>
      <w:r>
        <w:rPr>
          <w:rFonts w:hint="eastAsia" w:ascii="仿宋" w:hAnsi="仿宋" w:eastAsia="仿宋" w:cs="仿宋"/>
          <w:b/>
          <w:bCs/>
          <w:color w:val="auto"/>
          <w:sz w:val="24"/>
          <w:szCs w:val="24"/>
        </w:rPr>
        <w:t>（一）</w:t>
      </w:r>
      <w:bookmarkEnd w:id="20"/>
      <w:r>
        <w:rPr>
          <w:rFonts w:hint="eastAsia" w:ascii="仿宋" w:hAnsi="仿宋" w:eastAsia="仿宋" w:cs="仿宋"/>
          <w:b/>
          <w:bCs/>
          <w:color w:val="auto"/>
          <w:sz w:val="24"/>
          <w:szCs w:val="24"/>
        </w:rPr>
        <w:t>投标及履约承诺函</w:t>
      </w:r>
    </w:p>
    <w:p>
      <w:pPr>
        <w:pStyle w:val="6"/>
        <w:rPr>
          <w:rFonts w:hint="eastAsia" w:ascii="仿宋" w:hAnsi="仿宋" w:eastAsia="仿宋" w:cs="仿宋"/>
          <w:color w:val="auto"/>
          <w:sz w:val="24"/>
          <w:szCs w:val="24"/>
        </w:rPr>
      </w:pPr>
    </w:p>
    <w:p>
      <w:pPr>
        <w:pStyle w:val="12"/>
        <w:ind w:right="420"/>
        <w:jc w:val="left"/>
        <w:rPr>
          <w:rFonts w:hint="eastAsia" w:ascii="仿宋" w:hAnsi="仿宋" w:eastAsia="仿宋" w:cs="仿宋"/>
          <w:bCs/>
          <w:color w:val="auto"/>
          <w:sz w:val="24"/>
          <w:szCs w:val="24"/>
        </w:rPr>
      </w:pPr>
      <w:r>
        <w:rPr>
          <w:rFonts w:hint="eastAsia" w:ascii="仿宋" w:hAnsi="仿宋" w:eastAsia="仿宋" w:cs="仿宋"/>
          <w:color w:val="auto"/>
          <w:sz w:val="24"/>
          <w:szCs w:val="24"/>
        </w:rPr>
        <w:t>致：</w:t>
      </w:r>
      <w:r>
        <w:rPr>
          <w:rFonts w:hint="eastAsia" w:ascii="仿宋" w:hAnsi="仿宋" w:eastAsia="仿宋" w:cs="仿宋"/>
          <w:bCs/>
          <w:color w:val="auto"/>
          <w:sz w:val="24"/>
          <w:szCs w:val="24"/>
        </w:rPr>
        <w:t>深圳市龙岗中心医院</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我方承诺：</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1.我方符合《中华人民共和国政府采购法》第二十二条规定的以下要求：</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（一）具有独立承担民事责任的能力；</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（二）具有良好的商业信誉和健全的财务会计制度；</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（三）具有履行合同所必需的设备和专业技术能力；</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（四）有依法缴纳税收和社会保障资金的良好记录；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（五）参加政府采购活动前三年内，在经营活动中没有重大违法记录；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（六）法律、行政法规规定的其他条件。</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2.本项目所提供的货物或服务未侵犯知识产权。我方已清楚，提供虚假承诺或者被有关单位确认为侵犯知识产权的，三年内不得参加政府采购活动。</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3.参与本项目投标前三年内无行贿犯罪记录。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4.参与本项目政府采购活动时不存在被有关部门禁止参与政府采购活动且在有效期内的情况。</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5.我方不存在以下情况：</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（2）为采购项目提供整体设计、规范编制或者项目管理、监理、检测等服务。</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6.我方未被列入失信被执行人、重大税收违法案件当事人名单、政府采购严重违法失信行为记录名单。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12.我方保证在收到收费通知后按通知以转账或现金形式向采购代理机构指定的银行账号，一次性支付中标服务费（按招标文件“对通用条款的补充内容”“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13.我方不转包、分包。</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widowControl/>
        <w:autoSpaceDE w:val="0"/>
        <w:autoSpaceDN w:val="0"/>
        <w:spacing w:line="360" w:lineRule="auto"/>
        <w:ind w:right="893" w:firstLine="480" w:firstLineChars="200"/>
        <w:textAlignment w:val="bottom"/>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p>
    <w:p>
      <w:pPr>
        <w:spacing w:line="360" w:lineRule="auto"/>
        <w:ind w:firstLine="4080" w:firstLineChars="17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pPr>
        <w:spacing w:line="360" w:lineRule="auto"/>
        <w:ind w:firstLine="4080" w:firstLineChars="170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法定代表人或其授权代表签名：</w:t>
      </w:r>
    </w:p>
    <w:p>
      <w:pPr>
        <w:spacing w:line="360" w:lineRule="auto"/>
        <w:ind w:firstLine="4080" w:firstLineChars="1700"/>
        <w:jc w:val="left"/>
        <w:rPr>
          <w:rFonts w:hint="eastAsia" w:ascii="仿宋" w:hAnsi="仿宋" w:eastAsia="仿宋" w:cs="仿宋"/>
          <w:color w:val="auto"/>
          <w:szCs w:val="21"/>
        </w:rPr>
      </w:pPr>
      <w:r>
        <w:rPr>
          <w:rFonts w:hint="eastAsia" w:ascii="仿宋" w:hAnsi="仿宋" w:eastAsia="仿宋" w:cs="仿宋"/>
          <w:color w:val="auto"/>
          <w:sz w:val="24"/>
          <w:szCs w:val="24"/>
        </w:rPr>
        <w:t>日期：      年    月    日</w:t>
      </w:r>
    </w:p>
    <w:p>
      <w:pPr>
        <w:pStyle w:val="6"/>
        <w:rPr>
          <w:rFonts w:hint="eastAsia" w:ascii="仿宋" w:hAnsi="仿宋" w:eastAsia="仿宋" w:cs="仿宋"/>
          <w:color w:val="auto"/>
        </w:rPr>
      </w:pPr>
    </w:p>
    <w:p>
      <w:pPr>
        <w:widowControl/>
        <w:jc w:val="left"/>
        <w:rPr>
          <w:rFonts w:hint="eastAsia" w:ascii="仿宋" w:hAnsi="仿宋" w:eastAsia="仿宋" w:cs="仿宋"/>
          <w:color w:val="auto"/>
        </w:rPr>
      </w:pPr>
      <w:r>
        <w:rPr>
          <w:rFonts w:hint="eastAsia" w:ascii="仿宋" w:hAnsi="仿宋" w:eastAsia="仿宋" w:cs="仿宋"/>
          <w:color w:val="auto"/>
        </w:rPr>
        <w:br w:type="page"/>
      </w:r>
    </w:p>
    <w:p>
      <w:pPr>
        <w:rPr>
          <w:rFonts w:hint="eastAsia" w:ascii="仿宋" w:hAnsi="仿宋" w:eastAsia="仿宋" w:cs="仿宋"/>
          <w:color w:val="auto"/>
        </w:rPr>
      </w:pPr>
    </w:p>
    <w:p>
      <w:pPr>
        <w:adjustRightInd w:val="0"/>
        <w:jc w:val="center"/>
        <w:outlineLvl w:val="4"/>
        <w:rPr>
          <w:rFonts w:hint="eastAsia" w:ascii="仿宋" w:hAnsi="仿宋" w:eastAsia="仿宋" w:cs="仿宋"/>
          <w:b/>
          <w:bCs/>
          <w:color w:val="auto"/>
          <w:sz w:val="24"/>
          <w:szCs w:val="24"/>
        </w:rPr>
      </w:pPr>
      <w:bookmarkStart w:id="21" w:name="_Toc31676"/>
      <w:r>
        <w:rPr>
          <w:rFonts w:hint="eastAsia" w:ascii="仿宋" w:hAnsi="仿宋" w:eastAsia="仿宋" w:cs="仿宋"/>
          <w:b/>
          <w:bCs/>
          <w:color w:val="auto"/>
          <w:sz w:val="24"/>
          <w:szCs w:val="24"/>
        </w:rPr>
        <w:t>（二）诚信承诺函</w:t>
      </w:r>
      <w:bookmarkEnd w:id="21"/>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致 </w:t>
      </w:r>
      <w:r>
        <w:rPr>
          <w:rFonts w:hint="eastAsia" w:ascii="仿宋" w:hAnsi="仿宋" w:eastAsia="仿宋" w:cs="仿宋"/>
          <w:color w:val="auto"/>
          <w:sz w:val="24"/>
          <w:szCs w:val="24"/>
          <w:lang w:val="en-US" w:eastAsia="zh-CN"/>
        </w:rPr>
        <w:t>深圳市龙岗中心医院</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我方承诺在参与本项目采购活动中不存在以下情形：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（一）被纪检监察部门立案调查，违法违规事实成立的；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（二）未按政府采购相关规定签订、履行采购合同，造成严重后果的；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（三）隐瞒真实情况，提供虚假资料的；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（四）以非法手段排斥其他供应商参与竞争的；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（五）与其他采购参加人串通投标的；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（六）在采购活动中应当回避而未回避的；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（七）恶意投诉的；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（八）向采购项目相关人行贿或者提供其他不当利益的；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（九）向采购代理机构及相关工作人员以各类形式进行施压的；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（十）阻碍、抗拒主管部门监督检查的；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（十一）履约检查不合格或者评价为差的；</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（十二）主管部门认定的其他情形。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如我方在本项目开标日前三年内存在上述行为超出法定追诉时效未被追诉或者上述情节轻微未给予禁止参加政府采购的行政处罚，我方自愿承担一切不利的法律后果。</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spacing w:line="360" w:lineRule="auto"/>
        <w:ind w:firstLine="480" w:firstLineChars="200"/>
        <w:rPr>
          <w:rFonts w:hint="eastAsia" w:ascii="仿宋" w:hAnsi="仿宋" w:eastAsia="仿宋" w:cs="仿宋"/>
          <w:color w:val="auto"/>
          <w:sz w:val="24"/>
          <w:szCs w:val="24"/>
        </w:rPr>
      </w:pP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投标人（公章）：</w:t>
      </w:r>
    </w:p>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法定代表人或其授权代表签名： </w:t>
      </w:r>
    </w:p>
    <w:p>
      <w:pPr>
        <w:spacing w:line="360" w:lineRule="auto"/>
        <w:ind w:firstLine="5040" w:firstLineChars="2100"/>
        <w:jc w:val="lef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6"/>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6"/>
        <w:rPr>
          <w:rFonts w:ascii="宋体" w:hAnsi="宋体" w:cs="宋体"/>
          <w:color w:val="auto"/>
        </w:rPr>
      </w:pPr>
    </w:p>
    <w:p>
      <w:pPr>
        <w:rPr>
          <w:rFonts w:ascii="宋体" w:hAnsi="宋体" w:cs="宋体"/>
          <w:color w:val="auto"/>
        </w:rPr>
      </w:pPr>
    </w:p>
    <w:p>
      <w:pPr>
        <w:keepNext/>
        <w:keepLines/>
        <w:spacing w:line="360" w:lineRule="auto"/>
        <w:outlineLvl w:val="3"/>
        <w:rPr>
          <w:rFonts w:hint="eastAsia" w:ascii="仿宋" w:hAnsi="仿宋" w:eastAsia="仿宋" w:cs="仿宋"/>
          <w:b/>
          <w:bCs/>
          <w:color w:val="auto"/>
          <w:sz w:val="24"/>
          <w:szCs w:val="24"/>
        </w:rPr>
      </w:pPr>
      <w:r>
        <w:rPr>
          <w:color w:val="auto"/>
        </w:rPr>
        <w:br w:type="page"/>
      </w: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、投标人资格条件中所需的相关证明文件（均需加盖投标人公章）</w:t>
      </w:r>
      <w:r>
        <w:rPr>
          <w:rFonts w:hint="eastAsia" w:ascii="仿宋" w:hAnsi="仿宋" w:eastAsia="仿宋" w:cs="仿宋"/>
          <w:b/>
          <w:bCs/>
          <w:color w:val="auto"/>
          <w:sz w:val="24"/>
          <w:szCs w:val="24"/>
        </w:rPr>
        <w:t>如相关证明文件在其他部分已提供，则此处无需再重复提供。</w:t>
      </w:r>
    </w:p>
    <w:p>
      <w:pPr>
        <w:pStyle w:val="5"/>
        <w:rPr>
          <w:rFonts w:hint="eastAsia" w:ascii="仿宋" w:hAnsi="仿宋" w:eastAsia="仿宋" w:cs="仿宋"/>
          <w:b/>
          <w:bCs/>
          <w:color w:val="auto"/>
          <w:sz w:val="24"/>
          <w:szCs w:val="24"/>
        </w:rPr>
      </w:pPr>
    </w:p>
    <w:p>
      <w:pPr>
        <w:widowControl w:val="0"/>
        <w:jc w:val="left"/>
        <w:outlineLvl w:val="3"/>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color w:val="auto"/>
          <w:kern w:val="2"/>
          <w:sz w:val="24"/>
          <w:szCs w:val="24"/>
        </w:rPr>
      </w:pPr>
      <w:r>
        <w:rPr>
          <w:rFonts w:hint="eastAsia" w:ascii="仿宋" w:hAnsi="仿宋" w:eastAsia="仿宋" w:cs="仿宋"/>
          <w:b/>
          <w:bCs/>
          <w:color w:val="auto"/>
          <w:kern w:val="0"/>
          <w:sz w:val="24"/>
          <w:szCs w:val="24"/>
          <w:lang w:val="en-US" w:eastAsia="zh-CN" w:bidi="ar"/>
        </w:rPr>
        <w:t xml:space="preserve">（1） </w:t>
      </w:r>
      <w:r>
        <w:rPr>
          <w:rFonts w:hint="eastAsia" w:ascii="仿宋" w:hAnsi="仿宋" w:eastAsia="仿宋" w:cs="仿宋"/>
          <w:b/>
          <w:color w:val="auto"/>
          <w:kern w:val="2"/>
          <w:sz w:val="24"/>
          <w:szCs w:val="24"/>
        </w:rPr>
        <w:t>中小企业声明函（</w:t>
      </w:r>
      <w:r>
        <w:rPr>
          <w:rFonts w:hint="eastAsia" w:ascii="仿宋" w:hAnsi="仿宋" w:eastAsia="仿宋" w:cs="仿宋"/>
          <w:b/>
          <w:color w:val="auto"/>
          <w:kern w:val="2"/>
          <w:sz w:val="24"/>
          <w:szCs w:val="24"/>
          <w:lang w:val="en-US" w:eastAsia="zh-CN"/>
        </w:rPr>
        <w:t>服务</w:t>
      </w:r>
      <w:r>
        <w:rPr>
          <w:rFonts w:hint="eastAsia" w:ascii="仿宋" w:hAnsi="仿宋" w:eastAsia="仿宋" w:cs="仿宋"/>
          <w:b/>
          <w:color w:val="auto"/>
          <w:kern w:val="2"/>
          <w:sz w:val="24"/>
          <w:szCs w:val="24"/>
        </w:rPr>
        <w:t>）</w:t>
      </w:r>
    </w:p>
    <w:p>
      <w:pPr>
        <w:pStyle w:val="6"/>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本投标人郑重声明，根据《政府采购促进中小企业发展管理办法》（财库﹝2020﹞46 号）的规定，本投标人参加</w:t>
      </w:r>
      <w:r>
        <w:rPr>
          <w:rFonts w:hint="eastAsia" w:ascii="仿宋" w:hAnsi="仿宋" w:eastAsia="仿宋" w:cs="仿宋"/>
          <w:b/>
          <w:bCs/>
          <w:color w:val="auto"/>
          <w:kern w:val="2"/>
          <w:sz w:val="24"/>
          <w:szCs w:val="24"/>
          <w:u w:val="single"/>
        </w:rPr>
        <w:t>（采购人名称）</w:t>
      </w:r>
      <w:r>
        <w:rPr>
          <w:rFonts w:hint="eastAsia" w:ascii="仿宋" w:hAnsi="仿宋" w:eastAsia="仿宋" w:cs="仿宋"/>
          <w:color w:val="auto"/>
          <w:kern w:val="2"/>
          <w:sz w:val="24"/>
          <w:szCs w:val="24"/>
        </w:rPr>
        <w:t>的</w:t>
      </w:r>
      <w:r>
        <w:rPr>
          <w:rFonts w:hint="eastAsia" w:ascii="仿宋" w:hAnsi="仿宋" w:eastAsia="仿宋" w:cs="仿宋"/>
          <w:b/>
          <w:bCs/>
          <w:color w:val="auto"/>
          <w:kern w:val="2"/>
          <w:sz w:val="24"/>
          <w:szCs w:val="24"/>
          <w:u w:val="single"/>
        </w:rPr>
        <w:t>（项目名称）</w:t>
      </w:r>
      <w:r>
        <w:rPr>
          <w:rFonts w:hint="eastAsia" w:ascii="仿宋" w:hAnsi="仿宋" w:eastAsia="仿宋" w:cs="仿宋"/>
          <w:color w:val="auto"/>
          <w:kern w:val="2"/>
          <w:sz w:val="24"/>
          <w:szCs w:val="24"/>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b/>
          <w:bCs/>
          <w:color w:val="auto"/>
          <w:kern w:val="2"/>
          <w:sz w:val="24"/>
          <w:szCs w:val="24"/>
          <w:u w:val="single"/>
        </w:rPr>
        <w:t xml:space="preserve"> （标的名称）</w:t>
      </w:r>
      <w:r>
        <w:rPr>
          <w:rFonts w:hint="eastAsia" w:ascii="仿宋" w:hAnsi="仿宋" w:eastAsia="仿宋" w:cs="仿宋"/>
          <w:color w:val="auto"/>
          <w:kern w:val="2"/>
          <w:sz w:val="24"/>
          <w:szCs w:val="24"/>
        </w:rPr>
        <w:t xml:space="preserve"> ，属于</w:t>
      </w:r>
      <w:r>
        <w:rPr>
          <w:rFonts w:hint="eastAsia" w:ascii="仿宋" w:hAnsi="仿宋" w:eastAsia="仿宋" w:cs="仿宋"/>
          <w:b/>
          <w:bCs/>
          <w:color w:val="auto"/>
          <w:kern w:val="2"/>
          <w:sz w:val="24"/>
          <w:szCs w:val="24"/>
          <w:u w:val="single"/>
        </w:rPr>
        <w:t xml:space="preserve">（招标文件中明确的所属行业） </w:t>
      </w:r>
      <w:r>
        <w:rPr>
          <w:rFonts w:hint="eastAsia" w:ascii="仿宋" w:hAnsi="仿宋" w:eastAsia="仿宋" w:cs="仿宋"/>
          <w:color w:val="auto"/>
          <w:kern w:val="2"/>
          <w:sz w:val="24"/>
          <w:szCs w:val="24"/>
        </w:rPr>
        <w:t>行业；制造商为</w:t>
      </w:r>
      <w:r>
        <w:rPr>
          <w:rFonts w:hint="eastAsia" w:ascii="仿宋" w:hAnsi="仿宋" w:eastAsia="仿宋" w:cs="仿宋"/>
          <w:b/>
          <w:bCs/>
          <w:color w:val="auto"/>
          <w:kern w:val="2"/>
          <w:sz w:val="24"/>
          <w:szCs w:val="24"/>
          <w:u w:val="single"/>
        </w:rPr>
        <w:t>（企业名称）</w:t>
      </w:r>
      <w:r>
        <w:rPr>
          <w:rFonts w:hint="eastAsia" w:ascii="仿宋" w:hAnsi="仿宋" w:eastAsia="仿宋" w:cs="仿宋"/>
          <w:color w:val="auto"/>
          <w:kern w:val="2"/>
          <w:sz w:val="24"/>
          <w:szCs w:val="24"/>
        </w:rPr>
        <w:t>，从业人员</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人，营业收入为</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万元，资产总额为</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万元 ，属于</w:t>
      </w:r>
      <w:r>
        <w:rPr>
          <w:rFonts w:hint="eastAsia" w:ascii="仿宋" w:hAnsi="仿宋" w:eastAsia="仿宋" w:cs="仿宋"/>
          <w:b/>
          <w:bCs/>
          <w:color w:val="auto"/>
          <w:kern w:val="2"/>
          <w:sz w:val="24"/>
          <w:szCs w:val="24"/>
          <w:u w:val="single"/>
        </w:rPr>
        <w:t>（中型企业、小型企业、微型企业）</w:t>
      </w:r>
      <w:r>
        <w:rPr>
          <w:rFonts w:hint="eastAsia" w:ascii="仿宋" w:hAnsi="仿宋" w:eastAsia="仿宋" w:cs="仿宋"/>
          <w:color w:val="auto"/>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2.</w:t>
      </w:r>
      <w:r>
        <w:rPr>
          <w:rFonts w:hint="eastAsia" w:ascii="仿宋" w:hAnsi="仿宋" w:eastAsia="仿宋" w:cs="仿宋"/>
          <w:b/>
          <w:bCs/>
          <w:color w:val="auto"/>
          <w:kern w:val="2"/>
          <w:sz w:val="24"/>
          <w:szCs w:val="24"/>
          <w:u w:val="single"/>
        </w:rPr>
        <w:t xml:space="preserve"> （标的名称）</w:t>
      </w:r>
      <w:r>
        <w:rPr>
          <w:rFonts w:hint="eastAsia" w:ascii="仿宋" w:hAnsi="仿宋" w:eastAsia="仿宋" w:cs="仿宋"/>
          <w:color w:val="auto"/>
          <w:kern w:val="2"/>
          <w:sz w:val="24"/>
          <w:szCs w:val="24"/>
        </w:rPr>
        <w:t xml:space="preserve"> ，属于</w:t>
      </w:r>
      <w:r>
        <w:rPr>
          <w:rFonts w:hint="eastAsia" w:ascii="仿宋" w:hAnsi="仿宋" w:eastAsia="仿宋" w:cs="仿宋"/>
          <w:b/>
          <w:bCs/>
          <w:color w:val="auto"/>
          <w:kern w:val="2"/>
          <w:sz w:val="24"/>
          <w:szCs w:val="24"/>
          <w:u w:val="single"/>
        </w:rPr>
        <w:t xml:space="preserve">（招标文件中明确的所属行业） </w:t>
      </w:r>
      <w:r>
        <w:rPr>
          <w:rFonts w:hint="eastAsia" w:ascii="仿宋" w:hAnsi="仿宋" w:eastAsia="仿宋" w:cs="仿宋"/>
          <w:color w:val="auto"/>
          <w:kern w:val="2"/>
          <w:sz w:val="24"/>
          <w:szCs w:val="24"/>
        </w:rPr>
        <w:t>行业；制造商为</w:t>
      </w:r>
      <w:r>
        <w:rPr>
          <w:rFonts w:hint="eastAsia" w:ascii="仿宋" w:hAnsi="仿宋" w:eastAsia="仿宋" w:cs="仿宋"/>
          <w:b/>
          <w:bCs/>
          <w:color w:val="auto"/>
          <w:kern w:val="2"/>
          <w:sz w:val="24"/>
          <w:szCs w:val="24"/>
          <w:u w:val="single"/>
        </w:rPr>
        <w:t>（企业名称）</w:t>
      </w:r>
      <w:r>
        <w:rPr>
          <w:rFonts w:hint="eastAsia" w:ascii="仿宋" w:hAnsi="仿宋" w:eastAsia="仿宋" w:cs="仿宋"/>
          <w:color w:val="auto"/>
          <w:kern w:val="2"/>
          <w:sz w:val="24"/>
          <w:szCs w:val="24"/>
        </w:rPr>
        <w:t>，从业人员</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人，营业收入为</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万元，资产总额为</w:t>
      </w:r>
      <w:r>
        <w:rPr>
          <w:rFonts w:hint="eastAsia" w:ascii="仿宋" w:hAnsi="仿宋" w:eastAsia="仿宋" w:cs="仿宋"/>
          <w:b/>
          <w:bCs/>
          <w:color w:val="auto"/>
          <w:kern w:val="2"/>
          <w:sz w:val="24"/>
          <w:szCs w:val="24"/>
          <w:u w:val="single"/>
        </w:rPr>
        <w:t xml:space="preserve">  </w:t>
      </w:r>
      <w:r>
        <w:rPr>
          <w:rFonts w:hint="eastAsia" w:ascii="仿宋" w:hAnsi="仿宋" w:eastAsia="仿宋" w:cs="仿宋"/>
          <w:color w:val="auto"/>
          <w:kern w:val="2"/>
          <w:sz w:val="24"/>
          <w:szCs w:val="24"/>
        </w:rPr>
        <w:t>万元 ，属于</w:t>
      </w:r>
      <w:r>
        <w:rPr>
          <w:rFonts w:hint="eastAsia" w:ascii="仿宋" w:hAnsi="仿宋" w:eastAsia="仿宋" w:cs="仿宋"/>
          <w:b/>
          <w:bCs/>
          <w:color w:val="auto"/>
          <w:kern w:val="2"/>
          <w:sz w:val="24"/>
          <w:szCs w:val="24"/>
          <w:u w:val="single"/>
        </w:rPr>
        <w:t>（中型企业、小型企业、微型企业）</w:t>
      </w:r>
      <w:r>
        <w:rPr>
          <w:rFonts w:hint="eastAsia" w:ascii="仿宋" w:hAnsi="仿宋" w:eastAsia="仿宋" w:cs="仿宋"/>
          <w:color w:val="auto"/>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hint="eastAsia" w:ascii="仿宋" w:hAnsi="仿宋" w:eastAsia="仿宋" w:cs="仿宋"/>
          <w:color w:val="auto"/>
          <w:sz w:val="24"/>
          <w:szCs w:val="24"/>
        </w:rPr>
        <w:t>中华人民共和国政府采购法</w:t>
      </w:r>
      <w:r>
        <w:rPr>
          <w:rFonts w:hint="eastAsia" w:ascii="仿宋" w:hAnsi="仿宋" w:eastAsia="仿宋" w:cs="仿宋"/>
          <w:color w:val="auto"/>
          <w:kern w:val="2"/>
          <w:sz w:val="24"/>
          <w:szCs w:val="24"/>
        </w:rPr>
        <w:t>》等政府采购有关法律法规规定追究相应责任。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3"/>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说明：</w:t>
      </w:r>
      <w:r>
        <w:rPr>
          <w:rFonts w:hint="eastAsia" w:ascii="仿宋" w:hAnsi="仿宋" w:eastAsia="仿宋" w:cs="仿宋"/>
          <w:color w:val="auto"/>
          <w:kern w:val="2"/>
          <w:sz w:val="24"/>
          <w:szCs w:val="24"/>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 xml:space="preserve">（2） 残疾人福利性单位声明函（如投标人不符合条件，不需提供该函） </w:t>
      </w:r>
    </w:p>
    <w:p>
      <w:pPr>
        <w:keepNext w:val="0"/>
        <w:keepLines w:val="0"/>
        <w:widowControl/>
        <w:suppressLineNumbers w:val="0"/>
        <w:ind w:firstLine="2168" w:firstLineChars="900"/>
        <w:jc w:val="left"/>
        <w:rPr>
          <w:rFonts w:hint="eastAsia" w:ascii="仿宋" w:hAnsi="仿宋" w:eastAsia="仿宋" w:cs="仿宋"/>
          <w:b/>
          <w:bCs/>
          <w:color w:val="auto"/>
          <w:kern w:val="0"/>
          <w:sz w:val="24"/>
          <w:szCs w:val="24"/>
          <w:lang w:val="en-US" w:eastAsia="zh-CN" w:bidi="ar"/>
        </w:rPr>
      </w:pPr>
    </w:p>
    <w:p>
      <w:pPr>
        <w:keepNext w:val="0"/>
        <w:keepLines w:val="0"/>
        <w:widowControl/>
        <w:suppressLineNumbers w:val="0"/>
        <w:ind w:firstLine="2168" w:firstLineChars="90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 xml:space="preserve">残疾人福利性单位声明函（样表） </w:t>
      </w:r>
    </w:p>
    <w:p>
      <w:pPr>
        <w:keepNext w:val="0"/>
        <w:keepLines w:val="0"/>
        <w:widowControl/>
        <w:suppressLineNumbers w:val="0"/>
        <w:ind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本单位郑重声明，根据《财政部民政部中国残疾人联合会关于促进残疾人就业政 府采购政策的通知》（财库〔2017〕141 号）的规定，本单位为符合条件的残疾人福利 性单位，且本单位参加_（采购单位名称）_单位的_（采购单位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 </w:t>
      </w:r>
    </w:p>
    <w:p>
      <w:pPr>
        <w:keepNext w:val="0"/>
        <w:keepLines w:val="0"/>
        <w:widowControl/>
        <w:suppressLineNumbers w:val="0"/>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本单位对上述声明的真实性负责。如有虚假，将依法承担相应责任。 </w:t>
      </w:r>
    </w:p>
    <w:p>
      <w:pPr>
        <w:keepNext w:val="0"/>
        <w:keepLines w:val="0"/>
        <w:widowControl/>
        <w:suppressLineNumbers w:val="0"/>
        <w:ind w:firstLine="5760" w:firstLineChars="2400"/>
        <w:jc w:val="left"/>
        <w:rPr>
          <w:rFonts w:hint="eastAsia" w:ascii="仿宋" w:hAnsi="仿宋" w:eastAsia="仿宋" w:cs="仿宋"/>
          <w:color w:val="auto"/>
          <w:kern w:val="0"/>
          <w:sz w:val="24"/>
          <w:szCs w:val="24"/>
          <w:lang w:val="en-US" w:eastAsia="zh-CN" w:bidi="ar"/>
        </w:rPr>
      </w:pPr>
    </w:p>
    <w:p>
      <w:pPr>
        <w:keepNext w:val="0"/>
        <w:keepLines w:val="0"/>
        <w:widowControl/>
        <w:suppressLineNumbers w:val="0"/>
        <w:ind w:firstLine="5760" w:firstLineChars="2400"/>
        <w:jc w:val="left"/>
        <w:rPr>
          <w:rFonts w:hint="eastAsia" w:ascii="仿宋" w:hAnsi="仿宋" w:eastAsia="仿宋" w:cs="仿宋"/>
          <w:color w:val="auto"/>
          <w:kern w:val="0"/>
          <w:sz w:val="24"/>
          <w:szCs w:val="24"/>
          <w:lang w:val="en-US" w:eastAsia="zh-CN" w:bidi="ar"/>
        </w:rPr>
      </w:pPr>
    </w:p>
    <w:p>
      <w:pPr>
        <w:keepNext w:val="0"/>
        <w:keepLines w:val="0"/>
        <w:widowControl/>
        <w:suppressLineNumbers w:val="0"/>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单位名称（盖章）： </w:t>
      </w:r>
    </w:p>
    <w:p>
      <w:pPr>
        <w:keepNext w:val="0"/>
        <w:keepLines w:val="0"/>
        <w:widowControl/>
        <w:suppressLineNumbers w:val="0"/>
        <w:ind w:firstLine="5760" w:firstLineChars="24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日期：</w:t>
      </w: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p>
      <w:pPr>
        <w:keepNext w:val="0"/>
        <w:keepLines w:val="0"/>
        <w:widowControl/>
        <w:suppressLineNumbers w:val="0"/>
        <w:jc w:val="left"/>
        <w:rPr>
          <w:rFonts w:hint="eastAsia" w:ascii="仿宋" w:hAnsi="仿宋" w:eastAsia="仿宋" w:cs="仿宋"/>
          <w:color w:val="auto"/>
          <w:kern w:val="0"/>
          <w:sz w:val="24"/>
          <w:szCs w:val="24"/>
          <w:lang w:val="en-US" w:eastAsia="zh-CN" w:bidi="ar"/>
        </w:rPr>
      </w:pPr>
    </w:p>
    <w:p>
      <w:pPr>
        <w:pStyle w:val="6"/>
        <w:rPr>
          <w:rFonts w:hint="eastAsia" w:ascii="仿宋" w:hAnsi="仿宋" w:eastAsia="仿宋" w:cs="仿宋"/>
          <w:color w:val="auto"/>
          <w:kern w:val="0"/>
          <w:sz w:val="24"/>
          <w:szCs w:val="24"/>
          <w:lang w:val="en-US" w:eastAsia="zh-CN" w:bidi="ar"/>
        </w:rPr>
      </w:pPr>
    </w:p>
    <w:p>
      <w:pPr>
        <w:rPr>
          <w:rFonts w:hint="eastAsia" w:ascii="仿宋" w:hAnsi="仿宋" w:eastAsia="仿宋" w:cs="仿宋"/>
          <w:color w:val="auto"/>
          <w:kern w:val="0"/>
          <w:sz w:val="24"/>
          <w:szCs w:val="24"/>
          <w:lang w:val="en-US" w:eastAsia="zh-CN" w:bidi="ar"/>
        </w:rPr>
      </w:pPr>
    </w:p>
    <w:p>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 xml:space="preserve">（3） 监狱企业声明函 </w:t>
      </w:r>
    </w:p>
    <w:p>
      <w:pPr>
        <w:keepNext w:val="0"/>
        <w:keepLines w:val="0"/>
        <w:widowControl/>
        <w:suppressLineNumbers w:val="0"/>
        <w:ind w:firstLine="2891" w:firstLineChars="120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 xml:space="preserve">监狱企业声明函（样表） </w:t>
      </w:r>
    </w:p>
    <w:p>
      <w:pPr>
        <w:keepNext w:val="0"/>
        <w:keepLines w:val="0"/>
        <w:widowControl/>
        <w:suppressLineNumbers w:val="0"/>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本单位郑重声明，根据《财政部司法部关于政府采购支持监狱企业发展有关问题 的通知》（财库〔2014〕68 号）的规定，本单位为符合条件的监狱企业，且本单位参 加_（采购单位名称）_单位的_（采购单位名称）项目采购活动，并提供：本单位制造的货物；由本单位承担的工程、提供服务；提供其他监狱企业制造的货物（承诺人在囗处打√）。本条所称货物是指单一产品采购项目中的货物或者非单一产品采购项目中的核心产品（货物）。 </w:t>
      </w:r>
    </w:p>
    <w:p>
      <w:pPr>
        <w:keepNext w:val="0"/>
        <w:keepLines w:val="0"/>
        <w:widowControl/>
        <w:suppressLineNumbers w:val="0"/>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本单位对上述声明的真实性负责。如有虚假，将依法承担相应责任。 </w:t>
      </w:r>
    </w:p>
    <w:p>
      <w:pPr>
        <w:keepNext w:val="0"/>
        <w:keepLines w:val="0"/>
        <w:widowControl/>
        <w:suppressLineNumbers w:val="0"/>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附：省级以上监狱管理局、戒毒管理局（含新疆生产建设兵团）出具的监狱企业 、证明文件。 </w:t>
      </w:r>
    </w:p>
    <w:p>
      <w:pPr>
        <w:keepNext w:val="0"/>
        <w:keepLines w:val="0"/>
        <w:widowControl/>
        <w:suppressLineNumbers w:val="0"/>
        <w:ind w:firstLine="4080" w:firstLineChars="1700"/>
        <w:jc w:val="left"/>
        <w:rPr>
          <w:rFonts w:hint="eastAsia" w:ascii="仿宋" w:hAnsi="仿宋" w:eastAsia="仿宋" w:cs="仿宋"/>
          <w:color w:val="auto"/>
          <w:kern w:val="0"/>
          <w:sz w:val="24"/>
          <w:szCs w:val="24"/>
          <w:lang w:val="en-US" w:eastAsia="zh-CN" w:bidi="ar"/>
        </w:rPr>
      </w:pPr>
    </w:p>
    <w:p>
      <w:pPr>
        <w:keepNext w:val="0"/>
        <w:keepLines w:val="0"/>
        <w:widowControl/>
        <w:suppressLineNumbers w:val="0"/>
        <w:ind w:firstLine="4080" w:firstLineChars="1700"/>
        <w:jc w:val="left"/>
        <w:rPr>
          <w:rFonts w:hint="eastAsia" w:ascii="仿宋" w:hAnsi="仿宋" w:eastAsia="仿宋" w:cs="仿宋"/>
          <w:color w:val="auto"/>
          <w:kern w:val="0"/>
          <w:sz w:val="24"/>
          <w:szCs w:val="24"/>
          <w:lang w:val="en-US" w:eastAsia="zh-CN" w:bidi="ar"/>
        </w:rPr>
      </w:pPr>
    </w:p>
    <w:p>
      <w:pPr>
        <w:keepNext w:val="0"/>
        <w:keepLines w:val="0"/>
        <w:widowControl/>
        <w:suppressLineNumbers w:val="0"/>
        <w:ind w:firstLine="5280" w:firstLineChars="2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单位名称（盖章）： </w:t>
      </w:r>
    </w:p>
    <w:p>
      <w:pPr>
        <w:keepNext w:val="0"/>
        <w:keepLines w:val="0"/>
        <w:widowControl/>
        <w:suppressLineNumbers w:val="0"/>
        <w:ind w:firstLine="5280" w:firstLineChars="2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日期：</w:t>
      </w: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widowControl/>
        <w:suppressLineNumbers w:val="0"/>
        <w:jc w:val="both"/>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 xml:space="preserve">（4） 含有小型、微型企业的联合体声明函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1205" w:firstLineChars="500"/>
        <w:jc w:val="both"/>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含有小型、微型企业的联合体声明函（样表）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 _ _（供应商名称、供应商名称）_ _ _ _共同组成联合体（详见联合体协议）。根据《工业和信息化部、国家统计局、国家发展和改革委员会、财政部关于印发中小企业划型标准规定的通知》（工信部联企业〔2011〕300 号）规定的划分标准，本联合体中：</w:t>
      </w:r>
      <w:r>
        <w:rPr>
          <w:rFonts w:hint="eastAsia" w:ascii="仿宋" w:hAnsi="仿宋" w:eastAsia="仿宋" w:cs="仿宋"/>
          <w:color w:val="auto"/>
          <w:kern w:val="0"/>
          <w:sz w:val="24"/>
          <w:szCs w:val="24"/>
          <w:lang w:val="en-US" w:eastAsia="zh-CN" w:bidi="ar"/>
        </w:rPr>
        <w:sym w:font="Wingdings" w:char="00A8"/>
      </w:r>
      <w:r>
        <w:rPr>
          <w:rFonts w:hint="eastAsia" w:ascii="仿宋" w:hAnsi="仿宋" w:eastAsia="仿宋" w:cs="仿宋"/>
          <w:color w:val="auto"/>
          <w:kern w:val="0"/>
          <w:sz w:val="24"/>
          <w:szCs w:val="24"/>
          <w:lang w:val="en-US" w:eastAsia="zh-CN" w:bidi="ar"/>
        </w:rPr>
        <w:t xml:space="preserve">_ _ _ _单位为_ _ _ _（请填写：中型、小型、微型）企业，_ _ _ _单位为 _ _ _ _请填写：中型、小型、微型）企业；联合体各方均为小微企业（承诺人在处打√）。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2．本联合体参加（采购单位名称）_单位的_（采购单位名称）项目采购活动，其中，小型、微型企业协议合同金额占到联合体协议总金额比例为_ _ _ _％（该合同金额为：小微企业制造的货物，小微企业承担的工程、提供服务，提供其他小微企业制造的货物；不包括使用大型企业注册商标的货物；请承诺人在处打√），符合《政府采购促进中小企业发展暂行办法》（财库〔2011〕181 号）第六条规定的优惠政策。</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本联合体对上述声明的真实性负责。如有虚假，将依法承担相应责任。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企业名称（盖章)：                      企业名称（盖章)：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日期：                                 日期：</w:t>
      </w:r>
    </w:p>
    <w:p>
      <w:pPr>
        <w:keepNext w:val="0"/>
        <w:keepLines w:val="0"/>
        <w:widowControl/>
        <w:suppressLineNumbers w:val="0"/>
        <w:ind w:firstLine="4800" w:firstLineChars="20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 </w:t>
      </w:r>
    </w:p>
    <w:p>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企业名称（盖章) ：                     日期： </w:t>
      </w:r>
    </w:p>
    <w:p>
      <w:pPr>
        <w:ind w:firstLine="1205" w:firstLineChars="500"/>
        <w:rPr>
          <w:rFonts w:hint="eastAsia" w:ascii="仿宋" w:hAnsi="仿宋" w:eastAsia="仿宋" w:cs="仿宋"/>
          <w:b/>
          <w:bCs/>
          <w:color w:val="auto"/>
          <w:sz w:val="24"/>
          <w:szCs w:val="24"/>
        </w:rPr>
      </w:pPr>
    </w:p>
    <w:p>
      <w:pPr>
        <w:ind w:firstLine="1205" w:firstLineChars="500"/>
        <w:rPr>
          <w:rFonts w:hint="eastAsia" w:ascii="仿宋" w:hAnsi="仿宋" w:eastAsia="仿宋" w:cs="仿宋"/>
          <w:b/>
          <w:bCs/>
          <w:color w:val="auto"/>
          <w:sz w:val="24"/>
          <w:szCs w:val="24"/>
        </w:rPr>
      </w:pPr>
    </w:p>
    <w:p>
      <w:pPr>
        <w:ind w:firstLine="1205" w:firstLineChars="500"/>
        <w:rPr>
          <w:rFonts w:hint="eastAsia" w:ascii="仿宋" w:hAnsi="仿宋" w:eastAsia="仿宋" w:cs="仿宋"/>
          <w:b/>
          <w:bCs/>
          <w:color w:val="auto"/>
          <w:sz w:val="24"/>
          <w:szCs w:val="24"/>
        </w:rPr>
      </w:pPr>
    </w:p>
    <w:p>
      <w:pPr>
        <w:spacing w:line="540" w:lineRule="exact"/>
        <w:ind w:left="319" w:leftChars="152" w:firstLine="241" w:firstLineChars="100"/>
        <w:jc w:val="center"/>
        <w:rPr>
          <w:rFonts w:hint="eastAsia" w:ascii="仿宋" w:hAnsi="仿宋" w:eastAsia="仿宋" w:cs="仿宋"/>
          <w:b/>
          <w:color w:val="auto"/>
          <w:kern w:val="2"/>
          <w:sz w:val="24"/>
          <w:szCs w:val="24"/>
        </w:rPr>
      </w:pPr>
    </w:p>
    <w:p>
      <w:pPr>
        <w:spacing w:line="540" w:lineRule="exact"/>
        <w:ind w:left="319" w:leftChars="152" w:firstLine="241" w:firstLineChars="100"/>
        <w:jc w:val="center"/>
        <w:rPr>
          <w:rFonts w:hint="eastAsia" w:ascii="仿宋" w:hAnsi="仿宋" w:eastAsia="仿宋" w:cs="仿宋"/>
          <w:b/>
          <w:color w:val="auto"/>
          <w:kern w:val="2"/>
          <w:sz w:val="24"/>
          <w:szCs w:val="24"/>
        </w:rPr>
      </w:pPr>
    </w:p>
    <w:p>
      <w:pPr>
        <w:spacing w:line="540" w:lineRule="exact"/>
        <w:ind w:left="319" w:leftChars="152" w:firstLine="241" w:firstLineChars="100"/>
        <w:jc w:val="center"/>
        <w:rPr>
          <w:rFonts w:hint="eastAsia" w:ascii="仿宋" w:hAnsi="仿宋" w:eastAsia="仿宋" w:cs="仿宋"/>
          <w:b/>
          <w:color w:val="auto"/>
          <w:kern w:val="2"/>
          <w:sz w:val="24"/>
          <w:szCs w:val="24"/>
        </w:rPr>
      </w:pPr>
    </w:p>
    <w:p>
      <w:pPr>
        <w:spacing w:line="540" w:lineRule="exact"/>
        <w:ind w:left="319" w:leftChars="152" w:firstLine="241" w:firstLineChars="100"/>
        <w:jc w:val="center"/>
        <w:rPr>
          <w:rFonts w:hint="eastAsia" w:ascii="仿宋" w:hAnsi="仿宋" w:eastAsia="仿宋" w:cs="仿宋"/>
          <w:b/>
          <w:color w:val="auto"/>
          <w:kern w:val="2"/>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p>
    <w:p>
      <w:pPr>
        <w:widowControl w:val="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 xml:space="preserve">）参与政府采购活动前三年内在经营活动中没有重大违法记录的书面声明函 </w:t>
      </w:r>
    </w:p>
    <w:p>
      <w:pPr>
        <w:widowControl w:val="0"/>
        <w:ind w:firstLine="645"/>
        <w:jc w:val="both"/>
        <w:rPr>
          <w:rFonts w:hint="eastAsia" w:ascii="仿宋" w:hAnsi="仿宋" w:eastAsia="仿宋" w:cs="仿宋"/>
          <w:b/>
          <w:bCs/>
          <w:color w:val="auto"/>
          <w:sz w:val="24"/>
          <w:szCs w:val="24"/>
        </w:rPr>
      </w:pPr>
    </w:p>
    <w:p>
      <w:pPr>
        <w:widowControl w:val="0"/>
        <w:spacing w:line="440" w:lineRule="exact"/>
        <w:ind w:firstLine="645"/>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致：深圳市龙岗中心医院 </w:t>
      </w:r>
    </w:p>
    <w:p>
      <w:pPr>
        <w:widowControl w:val="0"/>
        <w:spacing w:line="440" w:lineRule="exact"/>
        <w:ind w:firstLine="645"/>
        <w:jc w:val="both"/>
        <w:rPr>
          <w:rFonts w:hint="eastAsia" w:ascii="仿宋" w:hAnsi="仿宋" w:eastAsia="仿宋" w:cs="仿宋"/>
          <w:color w:val="auto"/>
          <w:sz w:val="24"/>
          <w:szCs w:val="24"/>
        </w:rPr>
      </w:pPr>
      <w:r>
        <w:rPr>
          <w:rFonts w:hint="eastAsia" w:ascii="仿宋" w:hAnsi="仿宋" w:eastAsia="仿宋" w:cs="仿宋"/>
          <w:color w:val="auto"/>
          <w:sz w:val="24"/>
          <w:szCs w:val="24"/>
        </w:rPr>
        <w:t>在参与</w:t>
      </w:r>
      <w:r>
        <w:rPr>
          <w:rFonts w:hint="eastAsia" w:ascii="仿宋" w:hAnsi="仿宋" w:eastAsia="仿宋" w:cs="仿宋"/>
          <w:color w:val="auto"/>
          <w:sz w:val="24"/>
          <w:szCs w:val="24"/>
          <w:lang w:val="en-US" w:eastAsia="zh-CN"/>
        </w:rPr>
        <w:t xml:space="preserve">深圳市龙岗中心医院          </w:t>
      </w:r>
      <w:r>
        <w:rPr>
          <w:rFonts w:hint="eastAsia" w:ascii="仿宋" w:hAnsi="仿宋" w:eastAsia="仿宋" w:cs="仿宋"/>
          <w:color w:val="auto"/>
          <w:sz w:val="24"/>
          <w:szCs w:val="24"/>
        </w:rPr>
        <w:t>采购项目（编号：</w:t>
      </w:r>
      <w:r>
        <w:rPr>
          <w:rFonts w:hint="eastAsia" w:ascii="仿宋" w:hAnsi="仿宋" w:eastAsia="仿宋"/>
          <w:color w:val="auto"/>
          <w:u w:val="single"/>
          <w:lang w:val="en-US" w:eastAsia="zh-CN"/>
        </w:rPr>
        <w:t xml:space="preserve">     ）</w:t>
      </w:r>
      <w:r>
        <w:rPr>
          <w:rFonts w:hint="eastAsia" w:ascii="仿宋" w:hAnsi="仿宋" w:eastAsia="仿宋" w:cs="仿宋"/>
          <w:color w:val="auto"/>
          <w:sz w:val="24"/>
          <w:szCs w:val="24"/>
        </w:rPr>
        <w:t>政府采购活动投标截止日前三年内，在我公司的经营活动中没有存在重大违法记录，即我公司没有受到刑事处罚或者责令停产停业、吊销许可证或者执照、较大数额罚款等行政处罚。</w:t>
      </w:r>
    </w:p>
    <w:p>
      <w:pPr>
        <w:widowControl w:val="0"/>
        <w:spacing w:line="440" w:lineRule="exact"/>
        <w:ind w:firstLine="645"/>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特此声明。 </w:t>
      </w:r>
    </w:p>
    <w:p>
      <w:pPr>
        <w:widowControl w:val="0"/>
        <w:spacing w:line="440" w:lineRule="exact"/>
        <w:ind w:firstLine="645"/>
        <w:jc w:val="both"/>
        <w:rPr>
          <w:rFonts w:hint="eastAsia" w:ascii="仿宋" w:hAnsi="仿宋" w:eastAsia="仿宋" w:cs="仿宋"/>
          <w:color w:val="auto"/>
          <w:sz w:val="24"/>
          <w:szCs w:val="24"/>
        </w:rPr>
      </w:pPr>
    </w:p>
    <w:p>
      <w:pPr>
        <w:widowControl w:val="0"/>
        <w:spacing w:line="440" w:lineRule="exact"/>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 </w:t>
      </w:r>
    </w:p>
    <w:p>
      <w:pPr>
        <w:widowControl w:val="0"/>
        <w:spacing w:line="440" w:lineRule="exact"/>
        <w:ind w:firstLine="5520" w:firstLineChars="2300"/>
        <w:jc w:val="both"/>
        <w:rPr>
          <w:rFonts w:hint="eastAsia" w:ascii="仿宋" w:hAnsi="仿宋" w:eastAsia="仿宋" w:cs="仿宋"/>
          <w:color w:val="auto"/>
          <w:sz w:val="24"/>
          <w:szCs w:val="24"/>
        </w:rPr>
      </w:pPr>
      <w:r>
        <w:rPr>
          <w:rFonts w:hint="eastAsia" w:ascii="仿宋" w:hAnsi="仿宋" w:eastAsia="仿宋" w:cs="仿宋"/>
          <w:color w:val="auto"/>
          <w:sz w:val="24"/>
          <w:szCs w:val="24"/>
        </w:rPr>
        <w:t>日 期： 年 月 日</w:t>
      </w: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spacing w:line="440" w:lineRule="exact"/>
        <w:ind w:firstLine="5520" w:firstLineChars="2300"/>
        <w:jc w:val="both"/>
        <w:rPr>
          <w:rFonts w:hint="eastAsia" w:ascii="仿宋" w:hAnsi="仿宋" w:eastAsia="仿宋" w:cs="仿宋"/>
          <w:color w:val="auto"/>
          <w:sz w:val="24"/>
          <w:szCs w:val="24"/>
        </w:rPr>
      </w:pPr>
    </w:p>
    <w:p>
      <w:pPr>
        <w:widowControl w:val="0"/>
        <w:jc w:val="both"/>
        <w:rPr>
          <w:rFonts w:hint="eastAsia" w:ascii="仿宋" w:hAnsi="仿宋" w:eastAsia="仿宋" w:cs="仿宋"/>
          <w:color w:val="auto"/>
          <w:kern w:val="2"/>
          <w:sz w:val="24"/>
          <w:szCs w:val="24"/>
        </w:rPr>
      </w:pPr>
    </w:p>
    <w:p>
      <w:pPr>
        <w:pStyle w:val="6"/>
        <w:rPr>
          <w:rFonts w:hint="eastAsia" w:ascii="仿宋" w:hAnsi="仿宋" w:eastAsia="仿宋" w:cs="仿宋"/>
          <w:color w:val="auto"/>
          <w:sz w:val="24"/>
          <w:szCs w:val="24"/>
        </w:rPr>
      </w:pPr>
    </w:p>
    <w:p>
      <w:pPr>
        <w:outlineLvl w:val="2"/>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DOCVARIABLE  商务条款响应表开始  \* MERGEFORMAT </w:instrTex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DOCVARIABLE  商务条款响应表开始  \* MERGEFORMAT </w:instrText>
      </w:r>
      <w:r>
        <w:rPr>
          <w:rFonts w:hint="eastAsia" w:ascii="宋体" w:hAnsi="宋体" w:cs="宋体"/>
          <w:b/>
          <w:color w:val="auto"/>
          <w:sz w:val="24"/>
          <w:highlight w:val="none"/>
        </w:rPr>
        <w:fldChar w:fldCharType="end"/>
      </w:r>
      <w:r>
        <w:rPr>
          <w:rFonts w:hint="eastAsia" w:ascii="宋体" w:hAnsi="宋体" w:cs="宋体"/>
          <w:b/>
          <w:color w:val="auto"/>
          <w:sz w:val="24"/>
          <w:highlight w:val="none"/>
        </w:rPr>
        <w:t>商务条款响应表</w:t>
      </w:r>
    </w:p>
    <w:p>
      <w:pPr>
        <w:pStyle w:val="24"/>
        <w:rPr>
          <w:rFonts w:ascii="宋体" w:hAnsi="宋体" w:cs="宋体"/>
          <w:b/>
          <w:color w:val="auto"/>
          <w:szCs w:val="24"/>
          <w:highlight w:val="none"/>
        </w:rPr>
      </w:pPr>
      <w:r>
        <w:rPr>
          <w:rFonts w:hint="eastAsia" w:ascii="宋体" w:hAnsi="宋体" w:cs="宋体"/>
          <w:b/>
          <w:color w:val="auto"/>
          <w:szCs w:val="24"/>
          <w:highlight w:val="none"/>
        </w:rPr>
        <w:t>（1）实质性商务条款（“★”项）响应表</w:t>
      </w:r>
    </w:p>
    <w:tbl>
      <w:tblPr>
        <w:tblStyle w:val="1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829"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实质性响应商务条款要求</w:t>
            </w:r>
          </w:p>
        </w:tc>
        <w:tc>
          <w:tcPr>
            <w:tcW w:w="75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是否响应</w:t>
            </w:r>
          </w:p>
        </w:tc>
        <w:tc>
          <w:tcPr>
            <w:tcW w:w="2017"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83" w:type="dxa"/>
            <w:vAlign w:val="center"/>
          </w:tcPr>
          <w:p>
            <w:pPr>
              <w:tabs>
                <w:tab w:val="left" w:pos="7740"/>
              </w:tabs>
              <w:jc w:val="center"/>
              <w:rPr>
                <w:rFonts w:ascii="宋体" w:hAnsi="宋体" w:cs="宋体"/>
                <w:color w:val="auto"/>
                <w:szCs w:val="21"/>
                <w:highlight w:val="none"/>
              </w:rPr>
            </w:pPr>
            <w:r>
              <w:rPr>
                <w:rFonts w:hint="eastAsia" w:ascii="宋体" w:hAnsi="宋体" w:cs="宋体"/>
                <w:color w:val="auto"/>
                <w:szCs w:val="21"/>
                <w:highlight w:val="none"/>
              </w:rPr>
              <w:t>1</w:t>
            </w:r>
          </w:p>
        </w:tc>
        <w:tc>
          <w:tcPr>
            <w:tcW w:w="58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履约地点</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lang w:eastAsia="zh-CN"/>
              </w:rPr>
              <w:t>深圳市龙岗中心医院指定地点。</w:t>
            </w:r>
          </w:p>
        </w:tc>
        <w:tc>
          <w:tcPr>
            <w:tcW w:w="758" w:type="dxa"/>
            <w:vAlign w:val="center"/>
          </w:tcPr>
          <w:p>
            <w:pPr>
              <w:pStyle w:val="41"/>
              <w:adjustRightInd/>
              <w:spacing w:before="0" w:after="0" w:line="240" w:lineRule="auto"/>
              <w:textAlignment w:val="auto"/>
              <w:rPr>
                <w:rFonts w:ascii="宋体" w:hAnsi="宋体" w:cs="宋体"/>
                <w:color w:val="auto"/>
                <w:spacing w:val="0"/>
                <w:kern w:val="2"/>
                <w:sz w:val="21"/>
                <w:szCs w:val="21"/>
                <w:highlight w:val="none"/>
              </w:rPr>
            </w:pPr>
          </w:p>
        </w:tc>
        <w:tc>
          <w:tcPr>
            <w:tcW w:w="201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83" w:type="dxa"/>
            <w:vAlign w:val="center"/>
          </w:tcPr>
          <w:p>
            <w:pPr>
              <w:tabs>
                <w:tab w:val="left" w:pos="7740"/>
              </w:tabs>
              <w:jc w:val="center"/>
              <w:rPr>
                <w:rFonts w:ascii="宋体" w:hAnsi="宋体" w:cs="宋体"/>
                <w:color w:val="auto"/>
                <w:szCs w:val="21"/>
                <w:highlight w:val="none"/>
              </w:rPr>
            </w:pPr>
            <w:r>
              <w:rPr>
                <w:rFonts w:hint="eastAsia" w:ascii="宋体" w:hAnsi="宋体" w:cs="宋体"/>
                <w:color w:val="auto"/>
                <w:szCs w:val="21"/>
                <w:highlight w:val="none"/>
              </w:rPr>
              <w:t>2</w:t>
            </w:r>
          </w:p>
        </w:tc>
        <w:tc>
          <w:tcPr>
            <w:tcW w:w="582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二）</w:t>
            </w:r>
            <w:r>
              <w:rPr>
                <w:rFonts w:hint="eastAsia" w:ascii="仿宋" w:hAnsi="仿宋" w:eastAsia="仿宋" w:cs="仿宋"/>
                <w:b/>
                <w:color w:val="auto"/>
                <w:sz w:val="24"/>
                <w:szCs w:val="24"/>
              </w:rPr>
              <w:t>服务期限</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lang w:val="en-US" w:eastAsia="zh-CN"/>
              </w:rPr>
              <w:t>本项目服务期限为一年。</w:t>
            </w:r>
          </w:p>
        </w:tc>
        <w:tc>
          <w:tcPr>
            <w:tcW w:w="758" w:type="dxa"/>
            <w:vAlign w:val="center"/>
          </w:tcPr>
          <w:p>
            <w:pPr>
              <w:pStyle w:val="41"/>
              <w:adjustRightInd/>
              <w:spacing w:before="0" w:after="0" w:line="240" w:lineRule="auto"/>
              <w:textAlignment w:val="auto"/>
              <w:rPr>
                <w:rFonts w:ascii="宋体" w:hAnsi="宋体" w:cs="宋体"/>
                <w:color w:val="auto"/>
                <w:spacing w:val="0"/>
                <w:kern w:val="2"/>
                <w:sz w:val="21"/>
                <w:szCs w:val="21"/>
                <w:highlight w:val="none"/>
              </w:rPr>
            </w:pPr>
          </w:p>
        </w:tc>
        <w:tc>
          <w:tcPr>
            <w:tcW w:w="201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83" w:type="dxa"/>
            <w:vAlign w:val="center"/>
          </w:tcPr>
          <w:p>
            <w:pPr>
              <w:tabs>
                <w:tab w:val="left" w:pos="7740"/>
              </w:tabs>
              <w:jc w:val="center"/>
              <w:rPr>
                <w:rFonts w:ascii="宋体" w:hAnsi="宋体" w:cs="宋体"/>
                <w:color w:val="auto"/>
                <w:szCs w:val="21"/>
                <w:highlight w:val="none"/>
              </w:rPr>
            </w:pPr>
            <w:r>
              <w:rPr>
                <w:rFonts w:hint="eastAsia" w:ascii="宋体" w:hAnsi="宋体" w:cs="宋体"/>
                <w:color w:val="auto"/>
                <w:szCs w:val="21"/>
                <w:highlight w:val="none"/>
              </w:rPr>
              <w:t>3</w:t>
            </w:r>
          </w:p>
        </w:tc>
        <w:tc>
          <w:tcPr>
            <w:tcW w:w="5829" w:type="dxa"/>
            <w:vAlign w:val="center"/>
          </w:tcPr>
          <w:p>
            <w:pPr>
              <w:pageBreakBefore w:val="0"/>
              <w:kinsoku/>
              <w:wordWrap/>
              <w:overflowPunct/>
              <w:topLinePunct w:val="0"/>
              <w:autoSpaceDE/>
              <w:autoSpaceDN/>
              <w:bidi w:val="0"/>
              <w:spacing w:line="440" w:lineRule="exact"/>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付款方式：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1.合同签订后，甲方向乙方支付合同总价40%的款项。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2.项目验收完毕后，甲方向乙方支付合同总价 60 %的款项。</w:t>
            </w:r>
          </w:p>
        </w:tc>
        <w:tc>
          <w:tcPr>
            <w:tcW w:w="758" w:type="dxa"/>
            <w:vAlign w:val="center"/>
          </w:tcPr>
          <w:p>
            <w:pPr>
              <w:pStyle w:val="41"/>
              <w:adjustRightInd/>
              <w:spacing w:before="0" w:after="0" w:line="240" w:lineRule="auto"/>
              <w:textAlignment w:val="auto"/>
              <w:rPr>
                <w:rFonts w:ascii="宋体" w:hAnsi="宋体" w:cs="宋体"/>
                <w:color w:val="auto"/>
                <w:spacing w:val="0"/>
                <w:kern w:val="2"/>
                <w:sz w:val="21"/>
                <w:szCs w:val="21"/>
                <w:highlight w:val="none"/>
              </w:rPr>
            </w:pPr>
          </w:p>
        </w:tc>
        <w:tc>
          <w:tcPr>
            <w:tcW w:w="201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pPr>
              <w:tabs>
                <w:tab w:val="left" w:pos="7740"/>
              </w:tabs>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5829"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w:t>
            </w:r>
            <w:r>
              <w:rPr>
                <w:rFonts w:hint="eastAsia" w:ascii="仿宋" w:hAnsi="仿宋" w:eastAsia="仿宋" w:cs="仿宋"/>
                <w:b/>
                <w:color w:val="auto"/>
                <w:kern w:val="2"/>
                <w:sz w:val="24"/>
                <w:szCs w:val="24"/>
                <w:lang w:val="en-US" w:eastAsia="zh-CN" w:bidi="ar-SA"/>
              </w:rPr>
              <w:t>（四）</w:t>
            </w:r>
            <w:r>
              <w:rPr>
                <w:rFonts w:hint="eastAsia" w:ascii="仿宋" w:hAnsi="仿宋" w:eastAsia="仿宋" w:cs="仿宋"/>
                <w:b/>
                <w:color w:val="auto"/>
                <w:sz w:val="24"/>
                <w:szCs w:val="24"/>
                <w:lang w:val="en-US" w:eastAsia="zh-CN"/>
              </w:rPr>
              <w:t>关于验收</w:t>
            </w:r>
            <w:r>
              <w:rPr>
                <w:rFonts w:hint="eastAsia" w:ascii="仿宋" w:hAnsi="仿宋" w:eastAsia="仿宋" w:cs="仿宋"/>
                <w:b/>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1、服务经过双方检验认可后，签署验收报告。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2、当满足以下条件时，使用部门向投标人签发验收报告: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a、投标人已按照合同规定提供了全部技术资料。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1"/>
                <w:highlight w:val="none"/>
              </w:rPr>
            </w:pPr>
            <w:r>
              <w:rPr>
                <w:rFonts w:hint="eastAsia" w:ascii="仿宋" w:hAnsi="仿宋" w:eastAsia="仿宋" w:cs="仿宋"/>
                <w:color w:val="auto"/>
                <w:kern w:val="2"/>
                <w:sz w:val="24"/>
                <w:szCs w:val="24"/>
                <w:lang w:val="en-US" w:eastAsia="zh-CN" w:bidi="ar-SA"/>
              </w:rPr>
              <w:t>b、服务项目符合招标文件的服务要求。</w:t>
            </w:r>
          </w:p>
        </w:tc>
        <w:tc>
          <w:tcPr>
            <w:tcW w:w="758" w:type="dxa"/>
            <w:vAlign w:val="center"/>
          </w:tcPr>
          <w:p>
            <w:pPr>
              <w:pStyle w:val="41"/>
              <w:adjustRightInd/>
              <w:spacing w:before="0" w:after="0" w:line="240" w:lineRule="auto"/>
              <w:textAlignment w:val="auto"/>
              <w:rPr>
                <w:rFonts w:ascii="宋体" w:hAnsi="宋体" w:cs="宋体"/>
                <w:color w:val="auto"/>
                <w:spacing w:val="0"/>
                <w:kern w:val="2"/>
                <w:sz w:val="21"/>
                <w:szCs w:val="21"/>
                <w:highlight w:val="none"/>
              </w:rPr>
            </w:pPr>
          </w:p>
        </w:tc>
        <w:tc>
          <w:tcPr>
            <w:tcW w:w="2017" w:type="dxa"/>
            <w:vAlign w:val="center"/>
          </w:tcPr>
          <w:p>
            <w:pPr>
              <w:jc w:val="center"/>
              <w:rPr>
                <w:rFonts w:ascii="宋体" w:hAnsi="宋体" w:cs="宋体"/>
                <w:color w:val="auto"/>
                <w:szCs w:val="21"/>
                <w:highlight w:val="none"/>
              </w:rPr>
            </w:pPr>
          </w:p>
        </w:tc>
      </w:tr>
    </w:tbl>
    <w:p>
      <w:pPr>
        <w:ind w:left="178" w:leftChars="85" w:firstLine="1"/>
        <w:rPr>
          <w:rFonts w:ascii="宋体" w:hAnsi="宋体" w:cs="宋体"/>
          <w:color w:val="auto"/>
          <w:szCs w:val="21"/>
          <w:highlight w:val="none"/>
        </w:rPr>
      </w:pPr>
      <w:r>
        <w:rPr>
          <w:rFonts w:hint="eastAsia" w:ascii="宋体" w:hAnsi="宋体" w:cs="宋体"/>
          <w:color w:val="auto"/>
          <w:szCs w:val="21"/>
          <w:highlight w:val="none"/>
        </w:rPr>
        <w:t>注：</w:t>
      </w:r>
    </w:p>
    <w:p>
      <w:pPr>
        <w:ind w:left="178" w:leftChars="85" w:firstLine="362"/>
        <w:rPr>
          <w:rFonts w:ascii="宋体" w:hAnsi="宋体" w:cs="宋体"/>
          <w:color w:val="auto"/>
          <w:szCs w:val="21"/>
          <w:highlight w:val="none"/>
        </w:rPr>
      </w:pPr>
      <w:r>
        <w:rPr>
          <w:rFonts w:hint="eastAsia" w:ascii="宋体" w:hAnsi="宋体" w:cs="宋体"/>
          <w:color w:val="auto"/>
          <w:szCs w:val="21"/>
          <w:highlight w:val="none"/>
        </w:rPr>
        <w:t>1.对于上述要求，如投标人完全响应，则请在“是否响应”栏内打“√”，对空白或打“×”视为偏离，请在“偏离说明”栏内扼要说明偏离情况。</w:t>
      </w:r>
    </w:p>
    <w:p>
      <w:pPr>
        <w:ind w:left="178" w:leftChars="85" w:firstLine="362"/>
        <w:rPr>
          <w:rFonts w:ascii="宋体" w:hAnsi="宋体" w:cs="宋体"/>
          <w:color w:val="auto"/>
          <w:szCs w:val="21"/>
          <w:highlight w:val="none"/>
        </w:rPr>
      </w:pPr>
      <w:r>
        <w:rPr>
          <w:rFonts w:hint="eastAsia" w:ascii="宋体" w:hAnsi="宋体" w:cs="宋体"/>
          <w:color w:val="auto"/>
          <w:szCs w:val="21"/>
          <w:highlight w:val="none"/>
        </w:rPr>
        <w:t>2.此表内容必须与实施方案中所介绍的内容一致，打“★”项为不可负偏离(劣于)的重要项。</w:t>
      </w:r>
    </w:p>
    <w:p>
      <w:pPr>
        <w:ind w:left="178" w:leftChars="85" w:firstLine="362"/>
        <w:rPr>
          <w:rFonts w:ascii="宋体" w:hAnsi="宋体" w:cs="宋体"/>
          <w:color w:val="auto"/>
          <w:szCs w:val="21"/>
          <w:highlight w:val="none"/>
        </w:rPr>
      </w:pPr>
      <w:r>
        <w:rPr>
          <w:rFonts w:hint="eastAsia" w:ascii="宋体" w:hAnsi="宋体" w:cs="宋体"/>
          <w:color w:val="auto"/>
          <w:szCs w:val="21"/>
          <w:highlight w:val="none"/>
        </w:rPr>
        <w:t>3.本表内容不得擅自修改。</w:t>
      </w:r>
    </w:p>
    <w:p>
      <w:pPr>
        <w:ind w:left="178" w:leftChars="85" w:firstLine="362"/>
        <w:rPr>
          <w:rFonts w:ascii="宋体" w:hAnsi="宋体" w:cs="宋体"/>
          <w:color w:val="auto"/>
          <w:szCs w:val="21"/>
          <w:highlight w:val="none"/>
          <w:u w:val="single"/>
        </w:rPr>
      </w:pPr>
      <w:r>
        <w:rPr>
          <w:rFonts w:hint="eastAsia" w:ascii="宋体" w:hAnsi="宋体" w:cs="宋体"/>
          <w:color w:val="auto"/>
          <w:szCs w:val="21"/>
          <w:highlight w:val="none"/>
          <w:u w:val="single"/>
        </w:rPr>
        <w:t>4.当招标文件中未设置“★”项商务条款时，应在此表中第一行直接填写：本项目未设置“★”项商务条款</w:t>
      </w:r>
      <w:r>
        <w:rPr>
          <w:rFonts w:hint="eastAsia" w:ascii="宋体" w:hAnsi="宋体" w:cs="宋体"/>
          <w:color w:val="auto"/>
          <w:highlight w:val="none"/>
          <w:u w:val="single"/>
        </w:rPr>
        <w:t>。</w:t>
      </w:r>
    </w:p>
    <w:p>
      <w:pPr>
        <w:adjustRightInd w:val="0"/>
        <w:snapToGrid w:val="0"/>
        <w:spacing w:line="300" w:lineRule="auto"/>
        <w:rPr>
          <w:rFonts w:ascii="宋体" w:hAnsi="宋体" w:cs="宋体"/>
          <w:color w:val="auto"/>
          <w:szCs w:val="21"/>
          <w:highlight w:val="none"/>
        </w:rPr>
      </w:pP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投标人法定代表人（或法定代表人授权代表）签字：</w:t>
      </w:r>
    </w:p>
    <w:p>
      <w:pPr>
        <w:adjustRightInd w:val="0"/>
        <w:snapToGrid w:val="0"/>
        <w:spacing w:line="300" w:lineRule="auto"/>
        <w:rPr>
          <w:rFonts w:ascii="宋体" w:hAnsi="宋体" w:cs="宋体"/>
          <w:color w:val="auto"/>
          <w:szCs w:val="21"/>
          <w:highlight w:val="none"/>
          <w:u w:val="single"/>
        </w:rPr>
      </w:pPr>
      <w:r>
        <w:rPr>
          <w:rFonts w:hint="eastAsia" w:ascii="宋体" w:hAnsi="宋体" w:cs="宋体"/>
          <w:color w:val="auto"/>
          <w:szCs w:val="21"/>
          <w:highlight w:val="none"/>
        </w:rPr>
        <w:t>投标人名称（加盖公章）：</w:t>
      </w:r>
    </w:p>
    <w:p>
      <w:pPr>
        <w:adjustRightInd w:val="0"/>
        <w:snapToGrid w:val="0"/>
        <w:spacing w:line="300" w:lineRule="auto"/>
        <w:rPr>
          <w:rFonts w:ascii="宋体" w:hAnsi="宋体" w:cs="宋体"/>
          <w:color w:val="auto"/>
          <w:szCs w:val="21"/>
          <w:highlight w:val="none"/>
        </w:rPr>
      </w:pPr>
      <w:r>
        <w:rPr>
          <w:rFonts w:hint="eastAsia" w:ascii="宋体" w:hAnsi="宋体" w:cs="宋体"/>
          <w:color w:val="auto"/>
          <w:szCs w:val="21"/>
          <w:highlight w:val="none"/>
        </w:rPr>
        <w:t>日期：年 月 日</w:t>
      </w:r>
    </w:p>
    <w:p>
      <w:pPr>
        <w:rPr>
          <w:rFonts w:ascii="宋体" w:hAnsi="宋体" w:cs="宋体"/>
          <w:color w:val="auto"/>
          <w:highlight w:val="none"/>
        </w:rPr>
      </w:pPr>
    </w:p>
    <w:p>
      <w:pPr>
        <w:adjustRightInd w:val="0"/>
        <w:snapToGrid w:val="0"/>
        <w:spacing w:line="300" w:lineRule="auto"/>
        <w:rPr>
          <w:rFonts w:hint="eastAsia" w:ascii="宋体" w:hAnsi="宋体" w:cs="宋体"/>
          <w:b/>
          <w:color w:val="auto"/>
          <w:sz w:val="24"/>
          <w:highlight w:val="none"/>
          <w:lang w:val="en-US" w:eastAsia="zh-CN"/>
        </w:rPr>
      </w:pPr>
    </w:p>
    <w:p>
      <w:pPr>
        <w:adjustRightInd w:val="0"/>
        <w:snapToGrid w:val="0"/>
        <w:spacing w:line="300" w:lineRule="auto"/>
        <w:rPr>
          <w:rFonts w:hint="eastAsia" w:ascii="宋体" w:hAnsi="宋体" w:cs="宋体"/>
          <w:b/>
          <w:color w:val="auto"/>
          <w:sz w:val="24"/>
          <w:highlight w:val="none"/>
          <w:lang w:val="en-US" w:eastAsia="zh-CN"/>
        </w:rPr>
      </w:pPr>
    </w:p>
    <w:p>
      <w:pPr>
        <w:adjustRightInd w:val="0"/>
        <w:snapToGrid w:val="0"/>
        <w:spacing w:line="300" w:lineRule="auto"/>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服务需求响应表</w:t>
      </w:r>
    </w:p>
    <w:p>
      <w:pPr>
        <w:pStyle w:val="24"/>
        <w:rPr>
          <w:rFonts w:ascii="宋体" w:hAnsi="宋体" w:cs="宋体"/>
          <w:b/>
          <w:color w:val="auto"/>
          <w:szCs w:val="24"/>
          <w:highlight w:val="none"/>
        </w:rPr>
      </w:pPr>
      <w:r>
        <w:rPr>
          <w:rFonts w:hint="eastAsia" w:ascii="宋体" w:hAnsi="宋体" w:cs="宋体"/>
          <w:b/>
          <w:color w:val="auto"/>
          <w:szCs w:val="24"/>
          <w:highlight w:val="none"/>
        </w:rPr>
        <w:t>（1）实质性服务需求（“★”项）响应表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957"/>
        <w:gridCol w:w="2233"/>
        <w:gridCol w:w="99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22" w:type="pct"/>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招标服务要求</w:t>
            </w:r>
          </w:p>
        </w:tc>
        <w:tc>
          <w:tcPr>
            <w:tcW w:w="1310" w:type="pct"/>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投标服务实际情况</w:t>
            </w:r>
          </w:p>
          <w:p>
            <w:pPr>
              <w:jc w:val="center"/>
              <w:rPr>
                <w:rFonts w:ascii="宋体" w:hAnsi="宋体" w:cs="宋体"/>
                <w:b/>
                <w:color w:val="auto"/>
                <w:szCs w:val="21"/>
                <w:highlight w:val="none"/>
              </w:rPr>
            </w:pPr>
            <w:r>
              <w:rPr>
                <w:rFonts w:hint="eastAsia" w:ascii="宋体" w:hAnsi="宋体" w:cs="宋体"/>
                <w:b/>
                <w:bCs/>
                <w:color w:val="auto"/>
                <w:szCs w:val="21"/>
                <w:highlight w:val="none"/>
              </w:rPr>
              <w:t>(投标人应按投标货物/服务实际数据填写，不能照抄招标要求)</w:t>
            </w:r>
          </w:p>
        </w:tc>
        <w:tc>
          <w:tcPr>
            <w:tcW w:w="585" w:type="pct"/>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是否偏离（无偏离/正偏离/负偏离）</w:t>
            </w:r>
          </w:p>
        </w:tc>
        <w:tc>
          <w:tcPr>
            <w:tcW w:w="389" w:type="pct"/>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keepNext w:val="0"/>
              <w:keepLines w:val="0"/>
              <w:pageBreakBefore w:val="0"/>
              <w:kinsoku/>
              <w:wordWrap/>
              <w:overflowPunct/>
              <w:topLinePunct w:val="0"/>
              <w:autoSpaceDE/>
              <w:autoSpaceDN/>
              <w:bidi w:val="0"/>
              <w:adjustRightInd/>
              <w:snapToGrid/>
              <w:spacing w:line="420" w:lineRule="exact"/>
              <w:ind w:firstLine="210" w:firstLineChars="100"/>
              <w:jc w:val="both"/>
              <w:textAlignment w:val="auto"/>
              <w:rPr>
                <w:rFonts w:ascii="宋体" w:hAnsi="宋体" w:cs="宋体"/>
                <w:color w:val="auto"/>
                <w:szCs w:val="21"/>
                <w:highlight w:val="none"/>
              </w:rPr>
            </w:pPr>
            <w:r>
              <w:rPr>
                <w:rFonts w:hint="eastAsia" w:ascii="宋体" w:hAnsi="宋体" w:eastAsia="宋体" w:cs="宋体"/>
                <w:color w:val="auto"/>
                <w:szCs w:val="21"/>
                <w:highlight w:val="none"/>
              </w:rPr>
              <w:t>1</w:t>
            </w:r>
          </w:p>
        </w:tc>
        <w:tc>
          <w:tcPr>
            <w:tcW w:w="2322" w:type="pct"/>
          </w:tcPr>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1、服务器安全系统升级：供应商指派专业的工程师针对采购人指定的服务器安全系统进行版本升级与替换，并提供专业的服务器安全管理系统。为保障软件升级工作的平滑、稳定，供应商需采用与采购人现有服务器安全软件同品牌的系统进行升级。</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2、服务器账号风险监测：提供针对服务器账号的风险检测功能，利用服务器安全管理系统对服务器的风险账户进行检测，发现可能存在风险的账号，对服务器的弱口令进行检测并发现复用的弱口令。</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3、服务器防病毒：提供服务器层面的防病毒功能，能够利用服务器安全管理系统的控制中心进行查杀，可实现本地查杀。</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4、入侵监测与防护：提供服务器的入侵监测与防护功能，能够完成对恶意扫描、暴力破解、异常登</w:t>
            </w:r>
            <w:r>
              <w:rPr>
                <w:rFonts w:hint="eastAsia" w:ascii="仿宋" w:hAnsi="仿宋" w:eastAsia="仿宋" w:cs="仿宋"/>
                <w:color w:val="auto"/>
                <w:kern w:val="2"/>
                <w:sz w:val="21"/>
                <w:szCs w:val="21"/>
                <w:lang w:val="en-US" w:eastAsia="zh-CN" w:bidi="ar"/>
              </w:rPr>
              <w:t>录</w:t>
            </w:r>
            <w:bookmarkStart w:id="22" w:name="_GoBack"/>
            <w:bookmarkEnd w:id="22"/>
            <w:r>
              <w:rPr>
                <w:rFonts w:hint="default" w:ascii="仿宋" w:hAnsi="仿宋" w:eastAsia="仿宋" w:cs="仿宋"/>
                <w:color w:val="auto"/>
                <w:kern w:val="2"/>
                <w:sz w:val="21"/>
                <w:szCs w:val="21"/>
                <w:lang w:val="en-US" w:eastAsia="zh-CN" w:bidi="ar"/>
              </w:rPr>
              <w:t>等威胁的监测与防护。</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5、风险服务器微隔离：针对存在安全风险的服务器提供微隔离防护功能，包括防火墙、端口白名单、外连白名单能力，能够对端口进行白名单学习与控制，以及对外连进程的监控与控制。</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6、网络防护：提供针对服务器的网络防护功能，针对IP黑白名单进行控制，并且针对端口扫描行为进行防护。</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7、安全基线检查：提供针对服务器的安全基线检查功能，利用服务器安全管理系统对服务器进行等保二级、三级、CIS、系统服务的基线检查，以及账户安全核查、系统配置、应用配置等检查。</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8、服务器漏洞扫描：提供针对服务器的漏洞扫描及防护功能，利用服务器安全管理系统对服务器的操作系统、应用、中间件等进行漏洞扫描，并对漏洞进行复扫验证，并提供虚拟补丁防护功能。</w:t>
            </w:r>
          </w:p>
          <w:p>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仿宋" w:hAnsi="仿宋" w:eastAsia="仿宋" w:cs="仿宋"/>
                <w:color w:val="auto"/>
                <w:kern w:val="2"/>
                <w:sz w:val="21"/>
                <w:szCs w:val="21"/>
              </w:rPr>
            </w:pPr>
            <w:r>
              <w:rPr>
                <w:rFonts w:hint="default" w:ascii="仿宋" w:hAnsi="仿宋" w:eastAsia="仿宋" w:cs="仿宋"/>
                <w:color w:val="auto"/>
                <w:kern w:val="2"/>
                <w:sz w:val="21"/>
                <w:szCs w:val="21"/>
                <w:lang w:val="en-US" w:eastAsia="zh-CN" w:bidi="ar"/>
              </w:rPr>
              <w:t>9、Webshell防护：提供针对服务器的Webshell防护功能，利用服务器安全管理系统发现Web网站中存在的后门文件，同时针对服务器内存Webshell检测。</w:t>
            </w:r>
          </w:p>
          <w:p>
            <w:pPr>
              <w:keepNext w:val="0"/>
              <w:keepLines w:val="0"/>
              <w:widowControl w:val="0"/>
              <w:suppressLineNumbers w:val="0"/>
              <w:autoSpaceDE w:val="0"/>
              <w:autoSpaceDN/>
              <w:spacing w:before="0" w:beforeAutospacing="0" w:after="0" w:afterAutospacing="0" w:line="360" w:lineRule="auto"/>
              <w:ind w:left="0" w:right="0" w:firstLine="422" w:firstLineChars="200"/>
              <w:jc w:val="both"/>
              <w:rPr>
                <w:rFonts w:ascii="宋体" w:hAnsi="宋体" w:cs="宋体"/>
                <w:color w:val="auto"/>
                <w:szCs w:val="21"/>
                <w:highlight w:val="none"/>
              </w:rPr>
            </w:pPr>
            <w:r>
              <w:rPr>
                <w:rFonts w:hint="default" w:ascii="仿宋" w:hAnsi="仿宋" w:eastAsia="仿宋" w:cs="仿宋"/>
                <w:b/>
                <w:bCs w:val="0"/>
                <w:color w:val="auto"/>
                <w:kern w:val="2"/>
                <w:sz w:val="21"/>
                <w:szCs w:val="21"/>
                <w:lang w:val="en-US" w:eastAsia="zh-CN" w:bidi="ar"/>
              </w:rPr>
              <w:t>★</w:t>
            </w:r>
            <w:r>
              <w:rPr>
                <w:rFonts w:hint="default" w:ascii="仿宋" w:hAnsi="仿宋" w:eastAsia="仿宋" w:cs="仿宋"/>
                <w:color w:val="auto"/>
                <w:kern w:val="2"/>
                <w:sz w:val="21"/>
                <w:szCs w:val="21"/>
                <w:lang w:val="en-US" w:eastAsia="zh-CN" w:bidi="ar"/>
              </w:rPr>
              <w:t>上述每项功能授权数量不少于550个，授权期限不少于一年。授权期内提供软件升级、规则库更新、技术支持和免费维保等服务。</w:t>
            </w:r>
          </w:p>
        </w:tc>
        <w:tc>
          <w:tcPr>
            <w:tcW w:w="1310" w:type="pct"/>
          </w:tcPr>
          <w:p>
            <w:pPr>
              <w:keepNext w:val="0"/>
              <w:keepLines w:val="0"/>
              <w:pageBreakBefore w:val="0"/>
              <w:kinsoku/>
              <w:wordWrap/>
              <w:overflowPunct/>
              <w:topLinePunct w:val="0"/>
              <w:autoSpaceDE/>
              <w:autoSpaceDN/>
              <w:bidi w:val="0"/>
              <w:adjustRightInd/>
              <w:snapToGrid/>
              <w:spacing w:line="420" w:lineRule="exact"/>
              <w:jc w:val="both"/>
              <w:textAlignment w:val="auto"/>
              <w:rPr>
                <w:rFonts w:ascii="宋体" w:hAnsi="宋体" w:cs="宋体"/>
                <w:color w:val="auto"/>
                <w:szCs w:val="21"/>
                <w:highlight w:val="none"/>
              </w:rPr>
            </w:pPr>
          </w:p>
        </w:tc>
        <w:tc>
          <w:tcPr>
            <w:tcW w:w="585" w:type="pct"/>
          </w:tcPr>
          <w:p>
            <w:pPr>
              <w:keepNext w:val="0"/>
              <w:keepLines w:val="0"/>
              <w:pageBreakBefore w:val="0"/>
              <w:kinsoku/>
              <w:wordWrap/>
              <w:overflowPunct/>
              <w:topLinePunct w:val="0"/>
              <w:autoSpaceDE/>
              <w:autoSpaceDN/>
              <w:bidi w:val="0"/>
              <w:adjustRightInd/>
              <w:snapToGrid/>
              <w:spacing w:line="420" w:lineRule="exact"/>
              <w:jc w:val="both"/>
              <w:textAlignment w:val="auto"/>
              <w:rPr>
                <w:rFonts w:ascii="宋体" w:hAnsi="宋体" w:cs="宋体"/>
                <w:color w:val="auto"/>
                <w:szCs w:val="21"/>
                <w:highlight w:val="none"/>
              </w:rPr>
            </w:pPr>
          </w:p>
        </w:tc>
        <w:tc>
          <w:tcPr>
            <w:tcW w:w="389" w:type="pct"/>
          </w:tcPr>
          <w:p>
            <w:pPr>
              <w:keepNext w:val="0"/>
              <w:keepLines w:val="0"/>
              <w:pageBreakBefore w:val="0"/>
              <w:kinsoku/>
              <w:wordWrap/>
              <w:overflowPunct/>
              <w:topLinePunct w:val="0"/>
              <w:autoSpaceDE/>
              <w:autoSpaceDN/>
              <w:bidi w:val="0"/>
              <w:adjustRightInd/>
              <w:snapToGrid/>
              <w:spacing w:line="420" w:lineRule="exact"/>
              <w:jc w:val="both"/>
              <w:textAlignment w:val="auto"/>
              <w:rPr>
                <w:rFonts w:ascii="宋体" w:hAnsi="宋体" w:cs="宋体"/>
                <w:color w:val="auto"/>
                <w:szCs w:val="21"/>
                <w:highlight w:val="none"/>
              </w:rPr>
            </w:pPr>
          </w:p>
        </w:tc>
      </w:tr>
    </w:tbl>
    <w:p>
      <w:pPr>
        <w:keepNext w:val="0"/>
        <w:keepLines w:val="0"/>
        <w:pageBreakBefore w:val="0"/>
        <w:kinsoku/>
        <w:wordWrap/>
        <w:overflowPunct/>
        <w:topLinePunct w:val="0"/>
        <w:autoSpaceDE/>
        <w:autoSpaceDN/>
        <w:bidi w:val="0"/>
        <w:adjustRightInd/>
        <w:snapToGrid/>
        <w:spacing w:line="420" w:lineRule="exact"/>
        <w:ind w:left="2" w:hanging="2"/>
        <w:jc w:val="both"/>
        <w:textAlignment w:val="auto"/>
        <w:rPr>
          <w:rFonts w:ascii="宋体" w:hAnsi="宋体" w:cs="宋体"/>
          <w:color w:val="auto"/>
          <w:sz w:val="24"/>
          <w:highlight w:val="none"/>
        </w:rPr>
      </w:pPr>
      <w:r>
        <w:rPr>
          <w:rFonts w:hint="eastAsia" w:ascii="宋体" w:hAnsi="宋体" w:cs="宋体"/>
          <w:color w:val="auto"/>
          <w:sz w:val="24"/>
          <w:highlight w:val="none"/>
        </w:rPr>
        <w:t>注：</w:t>
      </w:r>
    </w:p>
    <w:p>
      <w:pPr>
        <w:ind w:left="2" w:leftChars="1" w:firstLine="315" w:firstLineChars="150"/>
        <w:rPr>
          <w:rFonts w:ascii="宋体" w:hAnsi="宋体" w:cs="宋体"/>
          <w:color w:val="auto"/>
          <w:szCs w:val="21"/>
          <w:highlight w:val="none"/>
        </w:rPr>
      </w:pPr>
      <w:r>
        <w:rPr>
          <w:rFonts w:hint="eastAsia" w:ascii="宋体" w:hAnsi="宋体" w:cs="宋体"/>
          <w:color w:val="auto"/>
          <w:szCs w:val="21"/>
          <w:highlight w:val="none"/>
        </w:rPr>
        <w:t>1.投标人必须对应招标文件“用户需求书”的“★” 项内容逐条响应。如有缺漏，缺漏项视同不符合招标要求。打“★” 项为不可负偏离(劣于)的重要项。</w:t>
      </w:r>
    </w:p>
    <w:p>
      <w:pPr>
        <w:ind w:left="2" w:leftChars="1" w:firstLine="315" w:firstLineChars="150"/>
        <w:rPr>
          <w:rFonts w:ascii="宋体" w:hAnsi="宋体" w:cs="宋体"/>
          <w:color w:val="auto"/>
          <w:szCs w:val="21"/>
          <w:highlight w:val="none"/>
        </w:rPr>
      </w:pPr>
      <w:r>
        <w:rPr>
          <w:rFonts w:hint="eastAsia" w:ascii="宋体" w:hAnsi="宋体" w:cs="宋体"/>
          <w:color w:val="auto"/>
          <w:szCs w:val="21"/>
          <w:highlight w:val="none"/>
        </w:rPr>
        <w:t>2.投标人响应采购需求应具体、明确，含糊不清、不确切或伪造、变造证明材料的，按照不完全响应或者完全不响应处理。构成提供虚假材料的，移送监管部门查处。</w:t>
      </w:r>
    </w:p>
    <w:p>
      <w:pPr>
        <w:ind w:left="2" w:leftChars="1" w:firstLine="315" w:firstLineChars="150"/>
        <w:rPr>
          <w:rFonts w:ascii="宋体" w:hAnsi="宋体" w:cs="宋体"/>
          <w:color w:val="auto"/>
          <w:szCs w:val="21"/>
          <w:highlight w:val="none"/>
        </w:rPr>
      </w:pPr>
      <w:r>
        <w:rPr>
          <w:rFonts w:hint="eastAsia" w:ascii="宋体" w:hAnsi="宋体" w:cs="宋体"/>
          <w:color w:val="auto"/>
          <w:szCs w:val="21"/>
          <w:highlight w:val="none"/>
        </w:rPr>
        <w:t>3.本表内容不得擅自修改。</w:t>
      </w:r>
    </w:p>
    <w:p>
      <w:pPr>
        <w:ind w:firstLine="315" w:firstLineChars="150"/>
        <w:rPr>
          <w:rFonts w:ascii="宋体" w:hAnsi="宋体" w:cs="宋体"/>
          <w:color w:val="auto"/>
          <w:sz w:val="24"/>
          <w:highlight w:val="none"/>
          <w:u w:val="single"/>
        </w:rPr>
      </w:pPr>
      <w:r>
        <w:rPr>
          <w:rFonts w:hint="eastAsia" w:ascii="宋体" w:hAnsi="宋体" w:cs="宋体"/>
          <w:color w:val="auto"/>
          <w:szCs w:val="21"/>
          <w:highlight w:val="none"/>
          <w:u w:val="single"/>
        </w:rPr>
        <w:t>4. 当招标文件中未设置“★”项技术条款时，应在此表中</w:t>
      </w:r>
      <w:r>
        <w:rPr>
          <w:rFonts w:hint="eastAsia" w:ascii="宋体" w:hAnsi="宋体" w:cs="宋体"/>
          <w:b/>
          <w:color w:val="auto"/>
          <w:szCs w:val="21"/>
          <w:highlight w:val="none"/>
          <w:u w:val="single"/>
        </w:rPr>
        <w:t>第一行</w:t>
      </w:r>
      <w:r>
        <w:rPr>
          <w:rFonts w:hint="eastAsia" w:ascii="宋体" w:hAnsi="宋体" w:cs="宋体"/>
          <w:color w:val="auto"/>
          <w:szCs w:val="21"/>
          <w:highlight w:val="none"/>
          <w:u w:val="single"/>
        </w:rPr>
        <w:t>直接填写：本项目未设置“★”项技术条款。</w:t>
      </w:r>
    </w:p>
    <w:p>
      <w:pPr>
        <w:adjustRightInd w:val="0"/>
        <w:snapToGrid w:val="0"/>
        <w:spacing w:line="300" w:lineRule="auto"/>
        <w:ind w:firstLine="537" w:firstLineChars="224"/>
        <w:rPr>
          <w:rFonts w:ascii="宋体" w:hAnsi="宋体" w:cs="宋体"/>
          <w:color w:val="auto"/>
          <w:sz w:val="24"/>
          <w:highlight w:val="none"/>
        </w:rPr>
      </w:pPr>
    </w:p>
    <w:p>
      <w:pPr>
        <w:adjustRightInd w:val="0"/>
        <w:snapToGrid w:val="0"/>
        <w:spacing w:line="300" w:lineRule="auto"/>
        <w:ind w:firstLine="537" w:firstLineChars="224"/>
        <w:rPr>
          <w:rFonts w:ascii="宋体" w:hAnsi="宋体" w:cs="宋体"/>
          <w:color w:val="auto"/>
          <w:sz w:val="24"/>
          <w:highlight w:val="none"/>
        </w:rPr>
      </w:pPr>
    </w:p>
    <w:p>
      <w:pPr>
        <w:ind w:left="2" w:leftChars="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投标人法定代表人（或法定代表人授权代表）签字：               </w:t>
      </w:r>
    </w:p>
    <w:p>
      <w:pPr>
        <w:ind w:left="2" w:leftChars="1"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投标人名称（加盖公章）：                        </w:t>
      </w:r>
    </w:p>
    <w:p>
      <w:pPr>
        <w:ind w:left="2" w:leftChars="1" w:firstLine="315" w:firstLineChars="150"/>
        <w:rPr>
          <w:rFonts w:hint="eastAsia" w:ascii="宋体" w:hAnsi="宋体" w:cs="宋体"/>
          <w:color w:val="auto"/>
          <w:szCs w:val="21"/>
          <w:highlight w:val="none"/>
        </w:rPr>
      </w:pPr>
      <w:r>
        <w:rPr>
          <w:rFonts w:hint="eastAsia" w:ascii="宋体" w:hAnsi="宋体" w:cs="宋体"/>
          <w:color w:val="auto"/>
          <w:szCs w:val="21"/>
          <w:highlight w:val="none"/>
        </w:rPr>
        <w:t>日期：   年   月   日</w:t>
      </w:r>
    </w:p>
    <w:p>
      <w:pPr>
        <w:rPr>
          <w:rFonts w:hint="eastAsia" w:ascii="仿宋" w:hAnsi="仿宋" w:eastAsia="仿宋" w:cs="仿宋"/>
          <w:b/>
          <w:bCs/>
          <w:color w:val="auto"/>
          <w:kern w:val="2"/>
          <w:sz w:val="28"/>
          <w:lang w:val="en-US" w:eastAsia="zh-CN"/>
        </w:rPr>
      </w:pPr>
    </w:p>
    <w:p>
      <w:pPr>
        <w:rPr>
          <w:rFonts w:hint="eastAsia" w:ascii="仿宋" w:hAnsi="仿宋" w:eastAsia="仿宋" w:cs="仿宋"/>
          <w:b/>
          <w:bCs/>
          <w:color w:val="auto"/>
          <w:kern w:val="2"/>
          <w:sz w:val="28"/>
          <w:lang w:val="en-US" w:eastAsia="zh-CN"/>
        </w:rPr>
      </w:pPr>
    </w:p>
    <w:p>
      <w:pPr>
        <w:rPr>
          <w:rFonts w:hint="eastAsia" w:ascii="仿宋" w:hAnsi="仿宋" w:eastAsia="仿宋" w:cs="仿宋"/>
          <w:b/>
          <w:bCs/>
          <w:color w:val="auto"/>
          <w:kern w:val="2"/>
          <w:sz w:val="28"/>
          <w:lang w:val="en-US" w:eastAsia="zh-CN"/>
        </w:rPr>
      </w:pPr>
    </w:p>
    <w:p>
      <w:pPr>
        <w:rPr>
          <w:rFonts w:hint="eastAsia" w:ascii="仿宋" w:hAnsi="仿宋" w:eastAsia="仿宋" w:cs="仿宋"/>
          <w:b/>
          <w:bCs/>
          <w:color w:val="auto"/>
          <w:kern w:val="2"/>
          <w:sz w:val="28"/>
          <w:lang w:val="en-US" w:eastAsia="zh-CN"/>
        </w:rPr>
      </w:pPr>
    </w:p>
    <w:p>
      <w:pPr>
        <w:rPr>
          <w:rFonts w:hint="eastAsia" w:ascii="仿宋" w:hAnsi="仿宋" w:eastAsia="仿宋" w:cs="仿宋"/>
          <w:b/>
          <w:bCs/>
          <w:color w:val="auto"/>
          <w:kern w:val="2"/>
          <w:sz w:val="28"/>
          <w:lang w:val="en-US" w:eastAsia="zh-CN"/>
        </w:rPr>
      </w:pPr>
    </w:p>
    <w:p>
      <w:pPr>
        <w:rPr>
          <w:rFonts w:hint="eastAsia" w:ascii="仿宋" w:hAnsi="仿宋" w:eastAsia="仿宋" w:cs="仿宋"/>
          <w:b/>
          <w:bCs/>
          <w:color w:val="auto"/>
          <w:kern w:val="2"/>
          <w:sz w:val="28"/>
          <w:lang w:val="en-US" w:eastAsia="zh-CN"/>
        </w:rPr>
      </w:pPr>
      <w:r>
        <w:rPr>
          <w:rFonts w:hint="eastAsia" w:ascii="仿宋" w:hAnsi="仿宋" w:eastAsia="仿宋" w:cs="仿宋"/>
          <w:b/>
          <w:bCs/>
          <w:color w:val="auto"/>
          <w:kern w:val="2"/>
          <w:sz w:val="28"/>
          <w:lang w:val="en-US" w:eastAsia="zh-CN"/>
        </w:rPr>
        <w:t>九、投标人认为需要加以说明的其他内容的格式</w:t>
      </w:r>
    </w:p>
    <w:p>
      <w:pPr>
        <w:keepNext w:val="0"/>
        <w:keepLines w:val="0"/>
        <w:pageBreakBefore w:val="0"/>
        <w:widowControl w:val="0"/>
        <w:spacing w:after="95" w:line="559" w:lineRule="exact"/>
        <w:jc w:val="both"/>
        <w:rPr>
          <w:rFonts w:hint="eastAsia" w:ascii="仿宋" w:hAnsi="仿宋" w:eastAsia="仿宋" w:cs="仿宋"/>
          <w:b/>
          <w:bCs/>
          <w:color w:val="auto"/>
          <w:kern w:val="2"/>
          <w:sz w:val="28"/>
        </w:rPr>
      </w:pPr>
    </w:p>
    <w:p>
      <w:pPr>
        <w:widowControl/>
        <w:jc w:val="left"/>
        <w:rPr>
          <w:rFonts w:ascii="宋体" w:hAnsi="宋体"/>
          <w:b/>
          <w:bCs/>
          <w:color w:val="auto"/>
          <w:sz w:val="24"/>
          <w:szCs w:val="20"/>
        </w:rPr>
      </w:pPr>
    </w:p>
    <w:p>
      <w:pPr>
        <w:rPr>
          <w:rFonts w:hint="eastAsia" w:ascii="Times New Roman" w:hAnsi="Times New Roman" w:eastAsia="宋体" w:cs="Times New Roman"/>
          <w:b/>
          <w:bCs/>
          <w:color w:val="auto"/>
          <w:kern w:val="2"/>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D77B2"/>
    <w:multiLevelType w:val="singleLevel"/>
    <w:tmpl w:val="9F4D77B2"/>
    <w:lvl w:ilvl="0" w:tentative="0">
      <w:start w:val="3"/>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D1B570F0"/>
    <w:multiLevelType w:val="singleLevel"/>
    <w:tmpl w:val="D1B570F0"/>
    <w:lvl w:ilvl="0" w:tentative="0">
      <w:start w:val="1"/>
      <w:numFmt w:val="decimal"/>
      <w:suff w:val="space"/>
      <w:lvlText w:val="%1."/>
      <w:lvlJc w:val="left"/>
    </w:lvl>
  </w:abstractNum>
  <w:abstractNum w:abstractNumId="3">
    <w:nsid w:val="E20C6053"/>
    <w:multiLevelType w:val="singleLevel"/>
    <w:tmpl w:val="E20C6053"/>
    <w:lvl w:ilvl="0" w:tentative="0">
      <w:start w:val="3"/>
      <w:numFmt w:val="chineseCounting"/>
      <w:suff w:val="nothing"/>
      <w:lvlText w:val="（%1）"/>
      <w:lvlJc w:val="left"/>
      <w:rPr>
        <w:rFonts w:hint="eastAsia"/>
      </w:rPr>
    </w:lvl>
  </w:abstractNum>
  <w:abstractNum w:abstractNumId="4">
    <w:nsid w:val="E823489C"/>
    <w:multiLevelType w:val="singleLevel"/>
    <w:tmpl w:val="E823489C"/>
    <w:lvl w:ilvl="0" w:tentative="0">
      <w:start w:val="1"/>
      <w:numFmt w:val="decimal"/>
      <w:lvlText w:val="%1."/>
      <w:lvlJc w:val="left"/>
      <w:pPr>
        <w:ind w:left="425" w:hanging="425"/>
      </w:pPr>
      <w:rPr>
        <w:rFonts w:hint="default"/>
      </w:rPr>
    </w:lvl>
  </w:abstractNum>
  <w:abstractNum w:abstractNumId="5">
    <w:nsid w:val="13246B1C"/>
    <w:multiLevelType w:val="singleLevel"/>
    <w:tmpl w:val="13246B1C"/>
    <w:lvl w:ilvl="0" w:tentative="0">
      <w:start w:val="1"/>
      <w:numFmt w:val="chineseCounting"/>
      <w:suff w:val="nothing"/>
      <w:lvlText w:val="（%1）"/>
      <w:lvlJc w:val="left"/>
      <w:rPr>
        <w:rFonts w:hint="eastAsia"/>
      </w:rPr>
    </w:lvl>
  </w:abstractNum>
  <w:abstractNum w:abstractNumId="6">
    <w:nsid w:val="24337FE5"/>
    <w:multiLevelType w:val="singleLevel"/>
    <w:tmpl w:val="24337FE5"/>
    <w:lvl w:ilvl="0" w:tentative="0">
      <w:start w:val="2"/>
      <w:numFmt w:val="chineseCounting"/>
      <w:suff w:val="nothing"/>
      <w:lvlText w:val="%1、"/>
      <w:lvlJc w:val="left"/>
      <w:rPr>
        <w:rFonts w:hint="eastAsia"/>
      </w:rPr>
    </w:lvl>
  </w:abstractNum>
  <w:abstractNum w:abstractNumId="7">
    <w:nsid w:val="60970AB5"/>
    <w:multiLevelType w:val="singleLevel"/>
    <w:tmpl w:val="60970AB5"/>
    <w:lvl w:ilvl="0" w:tentative="0">
      <w:start w:val="2"/>
      <w:numFmt w:val="chineseCounting"/>
      <w:suff w:val="nothing"/>
      <w:lvlText w:val="%1、"/>
      <w:lvlJc w:val="left"/>
      <w:rPr>
        <w:rFonts w:hint="eastAsia"/>
      </w:rPr>
    </w:lvl>
  </w:abstractNum>
  <w:abstractNum w:abstractNumId="8">
    <w:nsid w:val="7FF308C7"/>
    <w:multiLevelType w:val="singleLevel"/>
    <w:tmpl w:val="7FF308C7"/>
    <w:lvl w:ilvl="0" w:tentative="0">
      <w:start w:val="3"/>
      <w:numFmt w:val="decimal"/>
      <w:suff w:val="nothing"/>
      <w:lvlText w:val="（%1）"/>
      <w:lvlJc w:val="left"/>
    </w:lvl>
  </w:abstractNum>
  <w:num w:numId="1">
    <w:abstractNumId w:val="8"/>
  </w:num>
  <w:num w:numId="2">
    <w:abstractNumId w:val="5"/>
  </w:num>
  <w:num w:numId="3">
    <w:abstractNumId w:val="2"/>
  </w:num>
  <w:num w:numId="4">
    <w:abstractNumId w:val="4"/>
  </w:num>
  <w:num w:numId="5">
    <w:abstractNumId w:val="7"/>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172A27"/>
    <w:rsid w:val="00004D06"/>
    <w:rsid w:val="00015DD0"/>
    <w:rsid w:val="00021C61"/>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2070CCA"/>
    <w:rsid w:val="029E28CC"/>
    <w:rsid w:val="02A17F04"/>
    <w:rsid w:val="03E35994"/>
    <w:rsid w:val="03F34A98"/>
    <w:rsid w:val="03FF08BE"/>
    <w:rsid w:val="040D7160"/>
    <w:rsid w:val="04506958"/>
    <w:rsid w:val="04A163D8"/>
    <w:rsid w:val="04D12625"/>
    <w:rsid w:val="04F24EFB"/>
    <w:rsid w:val="04F31768"/>
    <w:rsid w:val="06050740"/>
    <w:rsid w:val="0822685D"/>
    <w:rsid w:val="09EA6E37"/>
    <w:rsid w:val="0A0106F5"/>
    <w:rsid w:val="0A0807A0"/>
    <w:rsid w:val="0A344626"/>
    <w:rsid w:val="0AC70AC2"/>
    <w:rsid w:val="0B0E1655"/>
    <w:rsid w:val="0B1701D0"/>
    <w:rsid w:val="0C141EDE"/>
    <w:rsid w:val="0C143E91"/>
    <w:rsid w:val="0C193AD3"/>
    <w:rsid w:val="0C523547"/>
    <w:rsid w:val="0CAC2BC9"/>
    <w:rsid w:val="0CEA5470"/>
    <w:rsid w:val="0DFF46DE"/>
    <w:rsid w:val="0E1653F7"/>
    <w:rsid w:val="0E400B9F"/>
    <w:rsid w:val="0E61169D"/>
    <w:rsid w:val="0EB86FCD"/>
    <w:rsid w:val="10C136D3"/>
    <w:rsid w:val="10C852A7"/>
    <w:rsid w:val="10F13271"/>
    <w:rsid w:val="115D3437"/>
    <w:rsid w:val="11F701D1"/>
    <w:rsid w:val="12DB7D35"/>
    <w:rsid w:val="13F87AA6"/>
    <w:rsid w:val="14103A0E"/>
    <w:rsid w:val="145E012F"/>
    <w:rsid w:val="14793ACC"/>
    <w:rsid w:val="147E0AD7"/>
    <w:rsid w:val="14834906"/>
    <w:rsid w:val="149B2A75"/>
    <w:rsid w:val="166718DF"/>
    <w:rsid w:val="16687697"/>
    <w:rsid w:val="1675512B"/>
    <w:rsid w:val="17775829"/>
    <w:rsid w:val="17BF1DD3"/>
    <w:rsid w:val="17C91873"/>
    <w:rsid w:val="186D1B4E"/>
    <w:rsid w:val="18866995"/>
    <w:rsid w:val="19091C4A"/>
    <w:rsid w:val="198B3B37"/>
    <w:rsid w:val="19AF7825"/>
    <w:rsid w:val="1A3F504D"/>
    <w:rsid w:val="1A710583"/>
    <w:rsid w:val="1AEB35C0"/>
    <w:rsid w:val="1B0E2C71"/>
    <w:rsid w:val="1BB90E2F"/>
    <w:rsid w:val="1CF85987"/>
    <w:rsid w:val="1D180888"/>
    <w:rsid w:val="1D274CCD"/>
    <w:rsid w:val="1E393459"/>
    <w:rsid w:val="1E7B23CC"/>
    <w:rsid w:val="207351F5"/>
    <w:rsid w:val="20765736"/>
    <w:rsid w:val="21151131"/>
    <w:rsid w:val="217D46AD"/>
    <w:rsid w:val="223236E9"/>
    <w:rsid w:val="22370D00"/>
    <w:rsid w:val="2245341D"/>
    <w:rsid w:val="22882FEA"/>
    <w:rsid w:val="23CD3AA8"/>
    <w:rsid w:val="25B83F05"/>
    <w:rsid w:val="25F807A6"/>
    <w:rsid w:val="2663431E"/>
    <w:rsid w:val="274843B8"/>
    <w:rsid w:val="276079D3"/>
    <w:rsid w:val="27C24E70"/>
    <w:rsid w:val="280D5E53"/>
    <w:rsid w:val="28790EF5"/>
    <w:rsid w:val="28C92CBB"/>
    <w:rsid w:val="29FE21D6"/>
    <w:rsid w:val="2C0A4D8F"/>
    <w:rsid w:val="2C385076"/>
    <w:rsid w:val="2C9A7A52"/>
    <w:rsid w:val="2CA2222C"/>
    <w:rsid w:val="2EBE0EDE"/>
    <w:rsid w:val="2F1C5505"/>
    <w:rsid w:val="2FA21A99"/>
    <w:rsid w:val="2FFC229D"/>
    <w:rsid w:val="304412AC"/>
    <w:rsid w:val="329C240B"/>
    <w:rsid w:val="3309293E"/>
    <w:rsid w:val="33E22AAC"/>
    <w:rsid w:val="34DA5C46"/>
    <w:rsid w:val="35A707EA"/>
    <w:rsid w:val="368C11C2"/>
    <w:rsid w:val="37C82C94"/>
    <w:rsid w:val="37EB6F48"/>
    <w:rsid w:val="397D7CE3"/>
    <w:rsid w:val="39F94DC1"/>
    <w:rsid w:val="3A744536"/>
    <w:rsid w:val="3AB1338A"/>
    <w:rsid w:val="3AC90CFD"/>
    <w:rsid w:val="3B141786"/>
    <w:rsid w:val="3B7E4E1E"/>
    <w:rsid w:val="3B815E9D"/>
    <w:rsid w:val="3BFA6B84"/>
    <w:rsid w:val="3BFA746A"/>
    <w:rsid w:val="3BFB2E47"/>
    <w:rsid w:val="3D2D6F2E"/>
    <w:rsid w:val="3DD75110"/>
    <w:rsid w:val="3DDB63EB"/>
    <w:rsid w:val="3E785233"/>
    <w:rsid w:val="3E9B7550"/>
    <w:rsid w:val="3EB412B6"/>
    <w:rsid w:val="3F623810"/>
    <w:rsid w:val="400D08AE"/>
    <w:rsid w:val="400F4B9B"/>
    <w:rsid w:val="406749C8"/>
    <w:rsid w:val="41421469"/>
    <w:rsid w:val="41AB4D3E"/>
    <w:rsid w:val="41D217B6"/>
    <w:rsid w:val="41E74672"/>
    <w:rsid w:val="42926F33"/>
    <w:rsid w:val="43E21F24"/>
    <w:rsid w:val="43F809F6"/>
    <w:rsid w:val="44DE52DF"/>
    <w:rsid w:val="457B2760"/>
    <w:rsid w:val="45BE3CD9"/>
    <w:rsid w:val="45DB537A"/>
    <w:rsid w:val="464B452C"/>
    <w:rsid w:val="467A5994"/>
    <w:rsid w:val="4762530A"/>
    <w:rsid w:val="476D46F8"/>
    <w:rsid w:val="4797200E"/>
    <w:rsid w:val="48A64A9A"/>
    <w:rsid w:val="48BF0F83"/>
    <w:rsid w:val="48D26959"/>
    <w:rsid w:val="497F0713"/>
    <w:rsid w:val="499A3CB1"/>
    <w:rsid w:val="49A95790"/>
    <w:rsid w:val="49E21C9A"/>
    <w:rsid w:val="4A1238E7"/>
    <w:rsid w:val="4A155AE7"/>
    <w:rsid w:val="4A314548"/>
    <w:rsid w:val="4B5856BF"/>
    <w:rsid w:val="4B8B7843"/>
    <w:rsid w:val="4C4C6FD2"/>
    <w:rsid w:val="4CCA7EF7"/>
    <w:rsid w:val="4D7B2615"/>
    <w:rsid w:val="4DF47921"/>
    <w:rsid w:val="4E910D5D"/>
    <w:rsid w:val="4ECD3CCE"/>
    <w:rsid w:val="4F2D6C18"/>
    <w:rsid w:val="503874F1"/>
    <w:rsid w:val="51FA5E22"/>
    <w:rsid w:val="52287B99"/>
    <w:rsid w:val="52333AA7"/>
    <w:rsid w:val="52410C5B"/>
    <w:rsid w:val="526E3F03"/>
    <w:rsid w:val="5362550A"/>
    <w:rsid w:val="547D1CF3"/>
    <w:rsid w:val="54975D21"/>
    <w:rsid w:val="55AC0AE1"/>
    <w:rsid w:val="56080135"/>
    <w:rsid w:val="573A3ECB"/>
    <w:rsid w:val="575B02ED"/>
    <w:rsid w:val="57CC642C"/>
    <w:rsid w:val="59495BF5"/>
    <w:rsid w:val="59F301E5"/>
    <w:rsid w:val="5ABF12B7"/>
    <w:rsid w:val="5AF86907"/>
    <w:rsid w:val="5AFF16B3"/>
    <w:rsid w:val="5B4E6197"/>
    <w:rsid w:val="5BE57E36"/>
    <w:rsid w:val="5C272C70"/>
    <w:rsid w:val="5D705536"/>
    <w:rsid w:val="5D7212B5"/>
    <w:rsid w:val="5E0A2849"/>
    <w:rsid w:val="5E3E6CDB"/>
    <w:rsid w:val="5E95226E"/>
    <w:rsid w:val="5F8F2016"/>
    <w:rsid w:val="60031CB2"/>
    <w:rsid w:val="608368E3"/>
    <w:rsid w:val="6111668E"/>
    <w:rsid w:val="61565A3F"/>
    <w:rsid w:val="616C54A9"/>
    <w:rsid w:val="617F4EEF"/>
    <w:rsid w:val="61BA5B6C"/>
    <w:rsid w:val="6215351E"/>
    <w:rsid w:val="623E27EF"/>
    <w:rsid w:val="63736D0F"/>
    <w:rsid w:val="64041E8E"/>
    <w:rsid w:val="64F733FB"/>
    <w:rsid w:val="655D6C47"/>
    <w:rsid w:val="658F2B3B"/>
    <w:rsid w:val="65D71B3A"/>
    <w:rsid w:val="66FE6C82"/>
    <w:rsid w:val="682B3AE8"/>
    <w:rsid w:val="69056046"/>
    <w:rsid w:val="697D3FF1"/>
    <w:rsid w:val="69EC2954"/>
    <w:rsid w:val="6C430180"/>
    <w:rsid w:val="6CA87DFD"/>
    <w:rsid w:val="6CC71568"/>
    <w:rsid w:val="6CDC1854"/>
    <w:rsid w:val="6DA560EA"/>
    <w:rsid w:val="6EB82D4F"/>
    <w:rsid w:val="6EC81378"/>
    <w:rsid w:val="6EE36ECA"/>
    <w:rsid w:val="6F06541D"/>
    <w:rsid w:val="6F67990F"/>
    <w:rsid w:val="70DE7195"/>
    <w:rsid w:val="71E116BB"/>
    <w:rsid w:val="71F210A6"/>
    <w:rsid w:val="725E7322"/>
    <w:rsid w:val="72CC0A62"/>
    <w:rsid w:val="73EC0025"/>
    <w:rsid w:val="7472484C"/>
    <w:rsid w:val="74BD640F"/>
    <w:rsid w:val="74DA4670"/>
    <w:rsid w:val="75ED4AD2"/>
    <w:rsid w:val="75F052ED"/>
    <w:rsid w:val="77B07DC0"/>
    <w:rsid w:val="789C3DC3"/>
    <w:rsid w:val="79FD2E0A"/>
    <w:rsid w:val="7A4E374B"/>
    <w:rsid w:val="7B41430E"/>
    <w:rsid w:val="7B851309"/>
    <w:rsid w:val="7C3A6597"/>
    <w:rsid w:val="7C703692"/>
    <w:rsid w:val="7D176902"/>
    <w:rsid w:val="7D273B57"/>
    <w:rsid w:val="7D3B0FB6"/>
    <w:rsid w:val="7DCD541F"/>
    <w:rsid w:val="7DD10836"/>
    <w:rsid w:val="7FB34697"/>
    <w:rsid w:val="BF7FA6C6"/>
    <w:rsid w:val="DFCF794D"/>
    <w:rsid w:val="EEEFD651"/>
    <w:rsid w:val="FF6B48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29"/>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1"/>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2"/>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30"/>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Body Text 2"/>
    <w:basedOn w:val="1"/>
    <w:qFormat/>
    <w:uiPriority w:val="0"/>
    <w:pPr>
      <w:tabs>
        <w:tab w:val="left" w:pos="426"/>
      </w:tabs>
      <w:autoSpaceDE w:val="0"/>
      <w:autoSpaceDN w:val="0"/>
    </w:pPr>
    <w:rPr>
      <w:rFonts w:hint="eastAsia"/>
      <w:sz w:val="28"/>
      <w:szCs w:val="20"/>
    </w:rPr>
  </w:style>
  <w:style w:type="paragraph" w:styleId="8">
    <w:name w:val="Document Map"/>
    <w:basedOn w:val="1"/>
    <w:link w:val="36"/>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spacing w:line="360" w:lineRule="auto"/>
      <w:ind w:firstLine="420" w:firstLineChars="200"/>
    </w:pPr>
  </w:style>
  <w:style w:type="paragraph" w:styleId="12">
    <w:name w:val="Plain Text"/>
    <w:basedOn w:val="1"/>
    <w:link w:val="40"/>
    <w:semiHidden/>
    <w:unhideWhenUsed/>
    <w:qFormat/>
    <w:uiPriority w:val="99"/>
    <w:rPr>
      <w:rFonts w:ascii="宋体" w:hAnsi="Courier New" w:cs="Times New Roman"/>
      <w:szCs w:val="20"/>
    </w:rPr>
  </w:style>
  <w:style w:type="paragraph" w:styleId="13">
    <w:name w:val="Balloon Text"/>
    <w:basedOn w:val="1"/>
    <w:link w:val="34"/>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link w:val="39"/>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1"/>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customStyle="1" w:styleId="24">
    <w:name w:val="表格文字"/>
    <w:basedOn w:val="1"/>
    <w:qFormat/>
    <w:uiPriority w:val="99"/>
    <w:pPr>
      <w:spacing w:before="25" w:after="25"/>
    </w:pPr>
    <w:rPr>
      <w:spacing w:val="10"/>
      <w:sz w:val="24"/>
    </w:rPr>
  </w:style>
  <w:style w:type="paragraph" w:customStyle="1" w:styleId="25">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6">
    <w:name w:val="默认段落字体 Para Char Char Char Char"/>
    <w:basedOn w:val="1"/>
    <w:qFormat/>
    <w:uiPriority w:val="99"/>
    <w:rPr>
      <w:rFonts w:ascii="Times New Roman" w:hAnsi="Times New Roman" w:cs="Times New Roman"/>
    </w:rPr>
  </w:style>
  <w:style w:type="character" w:customStyle="1" w:styleId="27">
    <w:name w:val="页眉 Char"/>
    <w:basedOn w:val="21"/>
    <w:link w:val="15"/>
    <w:qFormat/>
    <w:uiPriority w:val="99"/>
    <w:rPr>
      <w:rFonts w:cs="Calibri"/>
      <w:sz w:val="18"/>
      <w:szCs w:val="18"/>
    </w:rPr>
  </w:style>
  <w:style w:type="character" w:customStyle="1" w:styleId="28">
    <w:name w:val="页脚 Char"/>
    <w:basedOn w:val="21"/>
    <w:link w:val="14"/>
    <w:qFormat/>
    <w:uiPriority w:val="99"/>
    <w:rPr>
      <w:rFonts w:cs="Calibri"/>
      <w:sz w:val="18"/>
      <w:szCs w:val="18"/>
    </w:rPr>
  </w:style>
  <w:style w:type="character" w:customStyle="1" w:styleId="29">
    <w:name w:val="标题 2 Char"/>
    <w:basedOn w:val="21"/>
    <w:link w:val="2"/>
    <w:qFormat/>
    <w:uiPriority w:val="0"/>
    <w:rPr>
      <w:rFonts w:ascii="宋体" w:hAnsi="宋体"/>
      <w:b/>
      <w:sz w:val="24"/>
    </w:rPr>
  </w:style>
  <w:style w:type="character" w:customStyle="1" w:styleId="30">
    <w:name w:val="正文缩进 Char"/>
    <w:basedOn w:val="21"/>
    <w:link w:val="5"/>
    <w:qFormat/>
    <w:uiPriority w:val="0"/>
    <w:rPr>
      <w:rFonts w:hAnsi="Verdana"/>
      <w:bCs/>
      <w:kern w:val="2"/>
      <w:sz w:val="21"/>
      <w:szCs w:val="24"/>
    </w:rPr>
  </w:style>
  <w:style w:type="character" w:customStyle="1" w:styleId="31">
    <w:name w:val="标题 3 Char"/>
    <w:basedOn w:val="21"/>
    <w:link w:val="3"/>
    <w:semiHidden/>
    <w:qFormat/>
    <w:uiPriority w:val="0"/>
    <w:rPr>
      <w:rFonts w:cs="Calibri"/>
      <w:b/>
      <w:bCs/>
      <w:kern w:val="2"/>
      <w:sz w:val="32"/>
      <w:szCs w:val="32"/>
    </w:rPr>
  </w:style>
  <w:style w:type="character" w:customStyle="1" w:styleId="32">
    <w:name w:val="标题 4 Char"/>
    <w:basedOn w:val="21"/>
    <w:link w:val="4"/>
    <w:semiHidden/>
    <w:qFormat/>
    <w:uiPriority w:val="0"/>
    <w:rPr>
      <w:rFonts w:ascii="Cambria" w:hAnsi="Cambria" w:eastAsia="宋体" w:cs="Times New Roman"/>
      <w:b/>
      <w:bCs/>
      <w:kern w:val="2"/>
      <w:sz w:val="28"/>
      <w:szCs w:val="28"/>
    </w:rPr>
  </w:style>
  <w:style w:type="paragraph" w:customStyle="1" w:styleId="3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4">
    <w:name w:val="批注框文本 Char"/>
    <w:basedOn w:val="21"/>
    <w:link w:val="13"/>
    <w:semiHidden/>
    <w:qFormat/>
    <w:uiPriority w:val="99"/>
    <w:rPr>
      <w:rFonts w:cs="Calibri"/>
      <w:kern w:val="2"/>
      <w:sz w:val="18"/>
      <w:szCs w:val="18"/>
    </w:rPr>
  </w:style>
  <w:style w:type="paragraph" w:styleId="35">
    <w:name w:val="List Paragraph"/>
    <w:basedOn w:val="1"/>
    <w:qFormat/>
    <w:uiPriority w:val="34"/>
    <w:pPr>
      <w:ind w:firstLine="420" w:firstLineChars="200"/>
    </w:pPr>
  </w:style>
  <w:style w:type="character" w:customStyle="1" w:styleId="36">
    <w:name w:val="文档结构图 Char"/>
    <w:basedOn w:val="21"/>
    <w:link w:val="8"/>
    <w:semiHidden/>
    <w:qFormat/>
    <w:uiPriority w:val="99"/>
    <w:rPr>
      <w:rFonts w:ascii="宋体" w:cs="Calibri"/>
      <w:kern w:val="2"/>
      <w:sz w:val="18"/>
      <w:szCs w:val="18"/>
    </w:rPr>
  </w:style>
  <w:style w:type="paragraph" w:customStyle="1" w:styleId="37">
    <w:name w:val="_Style 1"/>
    <w:basedOn w:val="1"/>
    <w:qFormat/>
    <w:uiPriority w:val="0"/>
  </w:style>
  <w:style w:type="paragraph" w:customStyle="1" w:styleId="38">
    <w:name w:val="_Style 2"/>
    <w:basedOn w:val="1"/>
    <w:qFormat/>
    <w:uiPriority w:val="0"/>
  </w:style>
  <w:style w:type="character" w:customStyle="1" w:styleId="39">
    <w:name w:val="普通(网站) Char"/>
    <w:link w:val="16"/>
    <w:qFormat/>
    <w:uiPriority w:val="99"/>
    <w:rPr>
      <w:rFonts w:ascii="宋体" w:hAnsi="宋体" w:cs="宋体"/>
      <w:sz w:val="24"/>
      <w:szCs w:val="24"/>
    </w:rPr>
  </w:style>
  <w:style w:type="character" w:customStyle="1" w:styleId="40">
    <w:name w:val="纯文本 Char"/>
    <w:basedOn w:val="21"/>
    <w:link w:val="12"/>
    <w:semiHidden/>
    <w:qFormat/>
    <w:uiPriority w:val="99"/>
    <w:rPr>
      <w:rFonts w:ascii="宋体" w:hAnsi="Courier New"/>
      <w:kern w:val="2"/>
      <w:sz w:val="21"/>
    </w:rPr>
  </w:style>
  <w:style w:type="paragraph" w:customStyle="1" w:styleId="41">
    <w:name w:val="图"/>
    <w:basedOn w:val="1"/>
    <w:qFormat/>
    <w:uiPriority w:val="0"/>
    <w:pPr>
      <w:keepNext/>
      <w:adjustRightInd w:val="0"/>
      <w:spacing w:before="60" w:after="60" w:line="300" w:lineRule="auto"/>
      <w:jc w:val="center"/>
      <w:textAlignment w:val="center"/>
    </w:pPr>
    <w:rPr>
      <w:spacing w:val="20"/>
      <w:kern w:val="0"/>
      <w:sz w:val="24"/>
      <w:szCs w:val="20"/>
    </w:rPr>
  </w:style>
  <w:style w:type="character" w:customStyle="1" w:styleId="42">
    <w:name w:val="NormalCharacter"/>
    <w:qFormat/>
    <w:uiPriority w:val="0"/>
    <w:rPr>
      <w:kern w:val="2"/>
      <w:sz w:val="21"/>
      <w:szCs w:val="24"/>
      <w:lang w:val="en-US" w:eastAsia="zh-CN" w:bidi="ar-SA"/>
    </w:rPr>
  </w:style>
  <w:style w:type="paragraph" w:customStyle="1" w:styleId="4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17676</Words>
  <Characters>19041</Characters>
  <Lines>1</Lines>
  <Paragraphs>1</Paragraphs>
  <TotalTime>20</TotalTime>
  <ScaleCrop>false</ScaleCrop>
  <LinksUpToDate>false</LinksUpToDate>
  <CharactersWithSpaces>20115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2019-08-14T09:51:00Z</dcterms:created>
  <dc:creator>think</dc:creator>
  <cp:lastModifiedBy>WPS_1338856118</cp:lastModifiedBy>
  <cp:lastPrinted>2023-05-19T16:05:00Z</cp:lastPrinted>
  <dcterms:modified xsi:type="dcterms:W3CDTF">2023-11-20T00:39:21Z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FB84A55561664ADA889FE3E7AF3C8A53_13</vt:lpwstr>
  </property>
</Properties>
</file>