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2</w:t>
      </w:r>
      <w:r>
        <w:rPr>
          <w:rFonts w:hint="eastAsia" w:ascii="仿宋_GB2312" w:eastAsia="仿宋_GB2312"/>
          <w:b/>
          <w:bCs/>
          <w:sz w:val="30"/>
          <w:szCs w:val="30"/>
        </w:rPr>
        <w:t>：</w:t>
      </w:r>
      <w:r>
        <w:rPr>
          <w:rFonts w:hint="eastAsia" w:ascii="仿宋_GB2312" w:eastAsia="仿宋_GB2312"/>
          <w:b/>
          <w:bCs/>
          <w:sz w:val="30"/>
          <w:szCs w:val="30"/>
          <w:lang w:eastAsia="zh-CN"/>
        </w:rPr>
        <w:t>综合评分表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p>
    <w:tbl>
      <w:tblPr>
        <w:tblStyle w:val="5"/>
        <w:tblW w:w="9117" w:type="dxa"/>
        <w:tblInd w:w="-246" w:type="dxa"/>
        <w:tblLayout w:type="fixed"/>
        <w:tblCellMar>
          <w:top w:w="0" w:type="dxa"/>
          <w:left w:w="108" w:type="dxa"/>
          <w:bottom w:w="0" w:type="dxa"/>
          <w:right w:w="108" w:type="dxa"/>
        </w:tblCellMar>
      </w:tblPr>
      <w:tblGrid>
        <w:gridCol w:w="568"/>
        <w:gridCol w:w="2144"/>
        <w:gridCol w:w="689"/>
        <w:gridCol w:w="4870"/>
        <w:gridCol w:w="846"/>
      </w:tblGrid>
      <w:tr>
        <w:tblPrEx>
          <w:tblLayout w:type="fixed"/>
          <w:tblCellMar>
            <w:top w:w="0" w:type="dxa"/>
            <w:left w:w="108" w:type="dxa"/>
            <w:bottom w:w="0" w:type="dxa"/>
            <w:right w:w="108" w:type="dxa"/>
          </w:tblCellMar>
        </w:tblPrEx>
        <w:trPr>
          <w:trHeight w:val="774" w:hRule="atLeast"/>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rFonts w:hint="eastAsia"/>
                <w:b/>
                <w:szCs w:val="21"/>
              </w:rPr>
              <w:t>序号</w:t>
            </w:r>
          </w:p>
        </w:tc>
        <w:tc>
          <w:tcPr>
            <w:tcW w:w="21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rFonts w:hint="eastAsia"/>
                <w:b/>
                <w:szCs w:val="21"/>
              </w:rPr>
              <w:t>评分项</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rFonts w:hint="eastAsia"/>
                <w:b/>
                <w:szCs w:val="21"/>
              </w:rPr>
              <w:t>分值</w:t>
            </w:r>
          </w:p>
        </w:tc>
        <w:tc>
          <w:tcPr>
            <w:tcW w:w="4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rFonts w:hint="eastAsia"/>
                <w:b/>
                <w:szCs w:val="21"/>
              </w:rPr>
              <w:t>评分规则</w:t>
            </w:r>
          </w:p>
        </w:tc>
        <w:tc>
          <w:tcPr>
            <w:tcW w:w="846" w:type="dxa"/>
            <w:tcBorders>
              <w:top w:val="single" w:color="auto" w:sz="4" w:space="0"/>
              <w:left w:val="nil"/>
              <w:bottom w:val="single" w:color="auto" w:sz="4" w:space="0"/>
              <w:right w:val="single" w:color="auto" w:sz="4" w:space="0"/>
            </w:tcBorders>
            <w:vAlign w:val="center"/>
          </w:tcPr>
          <w:p>
            <w:pPr>
              <w:adjustRightInd w:val="0"/>
              <w:snapToGrid w:val="0"/>
              <w:jc w:val="center"/>
              <w:rPr>
                <w:b/>
                <w:szCs w:val="21"/>
              </w:rPr>
            </w:pPr>
            <w:r>
              <w:rPr>
                <w:rFonts w:hint="eastAsia"/>
                <w:b/>
                <w:szCs w:val="21"/>
              </w:rPr>
              <w:t>备注</w:t>
            </w:r>
          </w:p>
        </w:tc>
      </w:tr>
      <w:tr>
        <w:tblPrEx>
          <w:tblLayout w:type="fixed"/>
          <w:tblCellMar>
            <w:top w:w="0" w:type="dxa"/>
            <w:left w:w="108" w:type="dxa"/>
            <w:bottom w:w="0" w:type="dxa"/>
            <w:right w:w="108" w:type="dxa"/>
          </w:tblCellMar>
        </w:tblPrEx>
        <w:trPr>
          <w:trHeight w:val="1580" w:hRule="atLeast"/>
        </w:trPr>
        <w:tc>
          <w:tcPr>
            <w:tcW w:w="568" w:type="dxa"/>
            <w:tcBorders>
              <w:top w:val="nil"/>
              <w:left w:val="single" w:color="auto" w:sz="4" w:space="0"/>
              <w:bottom w:val="single" w:color="auto" w:sz="4" w:space="0"/>
              <w:right w:val="single" w:color="auto" w:sz="4" w:space="0"/>
            </w:tcBorders>
            <w:vAlign w:val="center"/>
          </w:tcPr>
          <w:p>
            <w:pPr>
              <w:adjustRightInd w:val="0"/>
              <w:snapToGrid w:val="0"/>
              <w:jc w:val="center"/>
              <w:rPr>
                <w:bCs/>
                <w:szCs w:val="21"/>
              </w:rPr>
            </w:pPr>
            <w:r>
              <w:rPr>
                <w:rFonts w:hint="eastAsia"/>
                <w:bCs/>
                <w:szCs w:val="21"/>
              </w:rPr>
              <w:t>1</w:t>
            </w:r>
          </w:p>
        </w:tc>
        <w:tc>
          <w:tcPr>
            <w:tcW w:w="2144"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bCs/>
                <w:szCs w:val="21"/>
              </w:rPr>
            </w:pPr>
            <w:r>
              <w:rPr>
                <w:rFonts w:hint="eastAsia"/>
                <w:bCs/>
                <w:szCs w:val="21"/>
                <w:lang w:val="en-US" w:eastAsia="zh-CN"/>
              </w:rPr>
              <w:t>同类业绩情况</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bCs/>
                <w:szCs w:val="21"/>
                <w:lang w:val="en-US" w:eastAsia="zh-CN"/>
              </w:rPr>
            </w:pPr>
            <w:r>
              <w:rPr>
                <w:rFonts w:hint="eastAsia" w:eastAsiaTheme="minorEastAsia"/>
                <w:bCs/>
                <w:szCs w:val="21"/>
                <w:lang w:val="en-US" w:eastAsia="zh-CN"/>
              </w:rPr>
              <w:t>30</w:t>
            </w:r>
          </w:p>
        </w:tc>
        <w:tc>
          <w:tcPr>
            <w:tcW w:w="487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rPr>
                <w:rFonts w:hint="eastAsia"/>
                <w:bCs/>
                <w:szCs w:val="21"/>
                <w:lang w:val="en-US" w:eastAsia="zh-CN"/>
              </w:rPr>
            </w:pPr>
            <w:r>
              <w:rPr>
                <w:rFonts w:hint="eastAsia"/>
                <w:bCs/>
                <w:szCs w:val="21"/>
                <w:lang w:val="en-US" w:eastAsia="zh-CN"/>
              </w:rPr>
              <w:t>近三年内，在深圳市范围内为市级或区级住建部门提供过安全第三方巡检服务合同不少于3份（12分，少一份扣4分）；累积合同跨度不低于1年（365天）（12分，少一个月扣1分）；所提供合同履约评价全部为优（百分制90分及以上）的得6分，两个优的得4分，一个优得2分，没有优不得分。</w:t>
            </w:r>
          </w:p>
          <w:p>
            <w:pPr>
              <w:adjustRightInd w:val="0"/>
              <w:snapToGrid w:val="0"/>
              <w:rPr>
                <w:bCs/>
                <w:szCs w:val="21"/>
              </w:rPr>
            </w:pPr>
            <w:r>
              <w:rPr>
                <w:rFonts w:hint="eastAsia"/>
                <w:bCs/>
                <w:szCs w:val="21"/>
                <w:lang w:val="en-US" w:eastAsia="zh-CN"/>
              </w:rPr>
              <w:t>本项按以上提供服务内容得分。</w:t>
            </w:r>
          </w:p>
        </w:tc>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Cs w:val="21"/>
              </w:rPr>
            </w:pPr>
          </w:p>
        </w:tc>
      </w:tr>
      <w:tr>
        <w:tblPrEx>
          <w:tblLayout w:type="fixed"/>
          <w:tblCellMar>
            <w:top w:w="0" w:type="dxa"/>
            <w:left w:w="108" w:type="dxa"/>
            <w:bottom w:w="0" w:type="dxa"/>
            <w:right w:w="108" w:type="dxa"/>
          </w:tblCellMar>
        </w:tblPrEx>
        <w:trPr>
          <w:trHeight w:val="2003" w:hRule="atLeast"/>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eastAsia="仿宋_GB2312"/>
                <w:szCs w:val="21"/>
                <w:lang w:eastAsia="zh-CN"/>
              </w:rPr>
            </w:pPr>
            <w:r>
              <w:rPr>
                <w:rFonts w:hint="eastAsia"/>
                <w:bCs/>
                <w:szCs w:val="21"/>
                <w:lang w:val="en-US" w:eastAsia="zh-CN"/>
              </w:rPr>
              <w:t>2</w:t>
            </w:r>
          </w:p>
        </w:tc>
        <w:tc>
          <w:tcPr>
            <w:tcW w:w="2144" w:type="dxa"/>
            <w:vMerge w:val="restart"/>
            <w:tcBorders>
              <w:top w:val="single" w:color="auto" w:sz="4" w:space="0"/>
              <w:left w:val="single" w:color="auto" w:sz="4" w:space="0"/>
              <w:right w:val="single" w:color="auto" w:sz="4" w:space="0"/>
            </w:tcBorders>
            <w:vAlign w:val="center"/>
          </w:tcPr>
          <w:p>
            <w:pPr>
              <w:adjustRightInd w:val="0"/>
              <w:snapToGrid w:val="0"/>
              <w:jc w:val="center"/>
              <w:rPr>
                <w:bCs/>
                <w:szCs w:val="21"/>
              </w:rPr>
            </w:pPr>
            <w:r>
              <w:rPr>
                <w:rFonts w:hint="eastAsia" w:ascii="宋体" w:hAnsi="宋体" w:cs="宋体"/>
                <w:szCs w:val="21"/>
              </w:rPr>
              <w:t>团队成员配置</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Cs w:val="21"/>
                <w:lang w:val="en-US" w:eastAsia="zh-CN"/>
              </w:rPr>
            </w:pPr>
            <w:r>
              <w:rPr>
                <w:rFonts w:hint="eastAsia"/>
                <w:bCs/>
                <w:szCs w:val="21"/>
                <w:lang w:val="en-US" w:eastAsia="zh-CN"/>
              </w:rPr>
              <w:t>15</w:t>
            </w:r>
          </w:p>
        </w:tc>
        <w:tc>
          <w:tcPr>
            <w:tcW w:w="487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Theme="minorEastAsia" w:hAnsiTheme="minorEastAsia" w:eastAsiaTheme="minorEastAsia" w:cstheme="minorEastAsia"/>
                <w:bCs/>
                <w:szCs w:val="21"/>
              </w:rPr>
            </w:pPr>
            <w:r>
              <w:rPr>
                <w:rFonts w:hint="eastAsia" w:ascii="宋体" w:hAnsi="宋体" w:cs="宋体"/>
                <w:szCs w:val="21"/>
                <w:highlight w:val="none"/>
              </w:rPr>
              <w:t>拟服务</w:t>
            </w:r>
            <w:r>
              <w:rPr>
                <w:rFonts w:hint="eastAsia" w:ascii="宋体" w:hAnsi="宋体" w:cs="宋体"/>
                <w:szCs w:val="21"/>
                <w:highlight w:val="none"/>
                <w:lang w:val="en-US" w:eastAsia="zh-CN"/>
              </w:rPr>
              <w:t>本项目</w:t>
            </w:r>
            <w:r>
              <w:rPr>
                <w:rFonts w:hint="eastAsia" w:ascii="宋体" w:hAnsi="宋体" w:cs="宋体"/>
                <w:szCs w:val="21"/>
                <w:highlight w:val="none"/>
              </w:rPr>
              <w:t>团队主要负责人</w:t>
            </w:r>
            <w:r>
              <w:rPr>
                <w:rFonts w:hint="eastAsia" w:ascii="宋体" w:hAnsi="宋体" w:cs="宋体"/>
                <w:szCs w:val="21"/>
                <w:highlight w:val="none"/>
                <w:lang w:eastAsia="zh-CN"/>
              </w:rPr>
              <w:t>具有：工程类高级工程师（</w:t>
            </w:r>
            <w:r>
              <w:rPr>
                <w:rFonts w:hint="eastAsia" w:ascii="宋体" w:hAnsi="宋体" w:cs="宋体"/>
                <w:szCs w:val="21"/>
                <w:highlight w:val="none"/>
                <w:lang w:val="en-US" w:eastAsia="zh-CN"/>
              </w:rPr>
              <w:t>5分</w:t>
            </w:r>
            <w:r>
              <w:rPr>
                <w:rFonts w:hint="eastAsia" w:ascii="宋体" w:hAnsi="宋体" w:cs="宋体"/>
                <w:szCs w:val="21"/>
                <w:highlight w:val="none"/>
                <w:lang w:eastAsia="zh-CN"/>
              </w:rPr>
              <w:t>）；</w:t>
            </w:r>
            <w:r>
              <w:rPr>
                <w:rFonts w:hint="eastAsia" w:ascii="宋体" w:hAnsi="宋体" w:cs="宋体"/>
                <w:szCs w:val="21"/>
                <w:highlight w:val="none"/>
                <w:lang w:val="en-US" w:eastAsia="zh-CN"/>
              </w:rPr>
              <w:t>从事相关工作10年以上，且获得国家安全工程师、一级建造师、监理工程师任一个（5分）；从事工程建设项目负责人、总工、安全总监、总监理工程师任一个超过5年（5分，未达到不得分）</w:t>
            </w:r>
            <w:r>
              <w:rPr>
                <w:rFonts w:hint="eastAsia" w:ascii="宋体" w:hAnsi="宋体" w:cs="宋体"/>
                <w:szCs w:val="21"/>
                <w:highlight w:val="none"/>
                <w:lang w:eastAsia="zh-CN"/>
              </w:rPr>
              <w:t>。</w:t>
            </w:r>
          </w:p>
        </w:tc>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Cs w:val="21"/>
              </w:rPr>
            </w:pPr>
          </w:p>
        </w:tc>
      </w:tr>
      <w:tr>
        <w:tblPrEx>
          <w:tblLayout w:type="fixed"/>
          <w:tblCellMar>
            <w:top w:w="0" w:type="dxa"/>
            <w:left w:w="108" w:type="dxa"/>
            <w:bottom w:w="0" w:type="dxa"/>
            <w:right w:w="108" w:type="dxa"/>
          </w:tblCellMar>
        </w:tblPrEx>
        <w:trPr>
          <w:trHeight w:val="1449" w:hRule="atLeast"/>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eastAsia="仿宋_GB2312"/>
                <w:szCs w:val="21"/>
                <w:lang w:val="en-US" w:eastAsia="zh-CN"/>
              </w:rPr>
            </w:pPr>
            <w:r>
              <w:rPr>
                <w:rFonts w:hint="eastAsia" w:ascii="仿宋_GB2312" w:eastAsia="仿宋_GB2312"/>
                <w:szCs w:val="21"/>
                <w:lang w:val="en-US" w:eastAsia="zh-CN"/>
              </w:rPr>
              <w:t>3</w:t>
            </w:r>
          </w:p>
        </w:tc>
        <w:tc>
          <w:tcPr>
            <w:tcW w:w="2144"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hint="eastAsia" w:asciiTheme="minorHAnsi" w:hAnsiTheme="minorHAnsi" w:eastAsiaTheme="minorEastAsia" w:cstheme="minorBidi"/>
                <w:bCs/>
                <w:kern w:val="2"/>
                <w:sz w:val="21"/>
                <w:szCs w:val="21"/>
                <w:lang w:val="en-US" w:eastAsia="zh-CN" w:bidi="ar-SA"/>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asciiTheme="minorHAnsi" w:hAnsiTheme="minorHAnsi" w:eastAsiaTheme="minorEastAsia" w:cstheme="minorBidi"/>
                <w:bCs/>
                <w:kern w:val="2"/>
                <w:sz w:val="21"/>
                <w:szCs w:val="21"/>
                <w:lang w:val="en-US" w:eastAsia="zh-CN" w:bidi="ar-SA"/>
              </w:rPr>
              <w:t>20</w:t>
            </w:r>
          </w:p>
        </w:tc>
        <w:tc>
          <w:tcPr>
            <w:tcW w:w="4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项目技术服务团队成员：具备中级工程师职称，建筑工程类或安全工程类专业，从业经验不少于五年，且具有获得安全工程师证书2名（10分），结构工程师1名（5分），机电工程师1名（5分）。</w:t>
            </w:r>
          </w:p>
          <w:p>
            <w:pPr>
              <w:adjustRightInd w:val="0"/>
              <w:snapToGrid w:val="0"/>
              <w:spacing w:line="0" w:lineRule="atLeast"/>
              <w:jc w:val="left"/>
              <w:rPr>
                <w:rFonts w:hint="default" w:asciiTheme="minorHAnsi" w:hAnsiTheme="minorHAnsi" w:eastAsiaTheme="minorEastAsia" w:cstheme="minorBidi"/>
                <w:bCs/>
                <w:kern w:val="2"/>
                <w:sz w:val="21"/>
                <w:szCs w:val="21"/>
                <w:lang w:val="en-US" w:eastAsia="zh-CN" w:bidi="ar-SA"/>
              </w:rPr>
            </w:pPr>
            <w:r>
              <w:rPr>
                <w:rFonts w:hint="eastAsia" w:ascii="宋体" w:hAnsi="宋体" w:cs="宋体"/>
                <w:szCs w:val="21"/>
                <w:highlight w:val="none"/>
                <w:lang w:val="en-US" w:eastAsia="zh-CN"/>
              </w:rPr>
              <w:t>以上均为执业资格证书，每人只限一证。</w:t>
            </w:r>
          </w:p>
        </w:tc>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Cs w:val="21"/>
              </w:rPr>
            </w:pPr>
          </w:p>
        </w:tc>
      </w:tr>
      <w:tr>
        <w:tblPrEx>
          <w:tblLayout w:type="fixed"/>
          <w:tblCellMar>
            <w:top w:w="0" w:type="dxa"/>
            <w:left w:w="108" w:type="dxa"/>
            <w:bottom w:w="0" w:type="dxa"/>
            <w:right w:w="108" w:type="dxa"/>
          </w:tblCellMar>
        </w:tblPrEx>
        <w:trPr>
          <w:trHeight w:val="956" w:hRule="atLeast"/>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Cs w:val="21"/>
                <w:lang w:val="en-US" w:eastAsia="zh-CN"/>
              </w:rPr>
            </w:pPr>
            <w:r>
              <w:rPr>
                <w:rFonts w:hint="eastAsia" w:ascii="仿宋_GB2312" w:eastAsia="仿宋_GB2312"/>
                <w:szCs w:val="21"/>
                <w:lang w:val="en-US" w:eastAsia="zh-CN"/>
              </w:rPr>
              <w:t>4</w:t>
            </w:r>
          </w:p>
        </w:tc>
        <w:tc>
          <w:tcPr>
            <w:tcW w:w="21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heme="minorHAnsi" w:hAnsiTheme="minorHAnsi" w:eastAsiaTheme="minorEastAsia" w:cstheme="minorBidi"/>
                <w:bCs/>
                <w:kern w:val="2"/>
                <w:sz w:val="21"/>
                <w:szCs w:val="21"/>
                <w:lang w:val="en-US" w:eastAsia="zh-CN" w:bidi="ar-SA"/>
              </w:rPr>
            </w:pPr>
            <w:r>
              <w:rPr>
                <w:rFonts w:hint="eastAsia" w:asciiTheme="minorHAnsi" w:hAnsiTheme="minorHAnsi" w:eastAsiaTheme="minorEastAsia" w:cstheme="minorBidi"/>
                <w:bCs/>
                <w:kern w:val="2"/>
                <w:sz w:val="21"/>
                <w:szCs w:val="21"/>
                <w:lang w:val="en-US" w:eastAsia="zh-CN" w:bidi="ar-SA"/>
              </w:rPr>
              <w:t>服务方案</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asciiTheme="minorHAnsi" w:hAnsiTheme="minorHAnsi" w:eastAsiaTheme="minorEastAsia" w:cstheme="minorBidi"/>
                <w:bCs/>
                <w:kern w:val="2"/>
                <w:sz w:val="21"/>
                <w:szCs w:val="21"/>
                <w:lang w:val="en-US" w:eastAsia="zh-CN" w:bidi="ar-SA"/>
              </w:rPr>
              <w:t>25</w:t>
            </w:r>
          </w:p>
        </w:tc>
        <w:tc>
          <w:tcPr>
            <w:tcW w:w="487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szCs w:val="21"/>
              </w:rPr>
            </w:pPr>
            <w:r>
              <w:rPr>
                <w:rFonts w:hint="eastAsia" w:ascii="宋体" w:hAnsi="宋体" w:cs="宋体"/>
                <w:szCs w:val="21"/>
              </w:rPr>
              <w:t>对本项目工作内容的理解是否全面、准确进行横向比较评分：</w:t>
            </w:r>
          </w:p>
          <w:p>
            <w:pPr>
              <w:spacing w:line="0" w:lineRule="atLeast"/>
              <w:rPr>
                <w:rFonts w:hint="eastAsia" w:ascii="宋体" w:hAnsi="宋体" w:cs="宋体"/>
                <w:szCs w:val="21"/>
              </w:rPr>
            </w:pPr>
            <w:r>
              <w:rPr>
                <w:rFonts w:hint="eastAsia" w:ascii="宋体" w:hAnsi="宋体" w:cs="宋体"/>
                <w:szCs w:val="21"/>
              </w:rPr>
              <w:t>评优得</w:t>
            </w:r>
            <w:r>
              <w:rPr>
                <w:rFonts w:hint="eastAsia" w:ascii="宋体" w:hAnsi="宋体" w:cs="宋体"/>
                <w:szCs w:val="21"/>
                <w:lang w:val="en-US" w:eastAsia="zh-CN"/>
              </w:rPr>
              <w:t>21</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分，良</w:t>
            </w:r>
            <w:bookmarkStart w:id="0" w:name="_GoBack"/>
            <w:bookmarkEnd w:id="0"/>
            <w:r>
              <w:rPr>
                <w:rFonts w:hint="eastAsia" w:ascii="宋体" w:hAnsi="宋体" w:cs="宋体"/>
                <w:szCs w:val="21"/>
              </w:rPr>
              <w:t>得1</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分，中得</w:t>
            </w:r>
            <w:r>
              <w:rPr>
                <w:rFonts w:hint="eastAsia" w:ascii="宋体" w:hAnsi="宋体" w:cs="宋体"/>
                <w:szCs w:val="21"/>
                <w:lang w:val="en-US" w:eastAsia="zh-CN"/>
              </w:rPr>
              <w:t>11</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分，差得0～</w:t>
            </w:r>
            <w:r>
              <w:rPr>
                <w:rFonts w:hint="eastAsia" w:ascii="宋体" w:hAnsi="宋体" w:cs="宋体"/>
                <w:szCs w:val="21"/>
                <w:lang w:val="en-US" w:eastAsia="zh-CN"/>
              </w:rPr>
              <w:t>10</w:t>
            </w:r>
            <w:r>
              <w:rPr>
                <w:rFonts w:hint="eastAsia" w:ascii="宋体" w:hAnsi="宋体" w:cs="宋体"/>
                <w:szCs w:val="21"/>
              </w:rPr>
              <w:t>分。</w:t>
            </w:r>
          </w:p>
          <w:p>
            <w:pPr>
              <w:keepNext/>
              <w:adjustRightInd w:val="0"/>
              <w:snapToGrid w:val="0"/>
              <w:rPr>
                <w:rFonts w:hint="eastAsia" w:asciiTheme="minorHAnsi" w:hAnsiTheme="minorHAnsi" w:eastAsiaTheme="minorEastAsia" w:cstheme="minorBidi"/>
                <w:kern w:val="2"/>
                <w:sz w:val="21"/>
                <w:szCs w:val="21"/>
                <w:lang w:val="en-US" w:eastAsia="zh-CN" w:bidi="ar-SA"/>
              </w:rPr>
            </w:pPr>
            <w:r>
              <w:rPr>
                <w:rFonts w:hint="eastAsia" w:ascii="宋体" w:hAnsi="宋体" w:cs="宋体"/>
                <w:szCs w:val="21"/>
                <w:lang w:eastAsia="zh-CN"/>
              </w:rPr>
              <w:t>打分参考：综合评审服务方案中对我集团服务需求及配套需求进行任务分解情况、技术服务团队工作职责及运作安排情况、各项过程技术服务成果质量把控能力、过程资料及档案管理、其他相关事宜</w:t>
            </w:r>
          </w:p>
        </w:tc>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Cs w:val="21"/>
              </w:rPr>
            </w:pPr>
          </w:p>
        </w:tc>
      </w:tr>
      <w:tr>
        <w:tblPrEx>
          <w:tblLayout w:type="fixed"/>
          <w:tblCellMar>
            <w:top w:w="0" w:type="dxa"/>
            <w:left w:w="108" w:type="dxa"/>
            <w:bottom w:w="0" w:type="dxa"/>
            <w:right w:w="108" w:type="dxa"/>
          </w:tblCellMar>
        </w:tblPrEx>
        <w:trPr>
          <w:trHeight w:val="1268" w:hRule="atLeast"/>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Cs w:val="21"/>
                <w:lang w:val="en-US" w:eastAsia="zh-CN"/>
              </w:rPr>
            </w:pPr>
            <w:r>
              <w:rPr>
                <w:rFonts w:hint="eastAsia" w:ascii="仿宋_GB2312" w:eastAsia="仿宋_GB2312"/>
                <w:szCs w:val="21"/>
                <w:lang w:val="en-US" w:eastAsia="zh-CN"/>
              </w:rPr>
              <w:t>5</w:t>
            </w:r>
          </w:p>
        </w:tc>
        <w:tc>
          <w:tcPr>
            <w:tcW w:w="2144"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HAnsi" w:hAnsiTheme="minorHAnsi" w:eastAsiaTheme="minorEastAsia" w:cstheme="minorBidi"/>
                <w:bCs/>
                <w:kern w:val="2"/>
                <w:sz w:val="21"/>
                <w:szCs w:val="21"/>
                <w:lang w:val="en-US" w:eastAsia="zh-CN" w:bidi="ar-SA"/>
              </w:rPr>
            </w:pPr>
            <w:r>
              <w:rPr>
                <w:rFonts w:hint="eastAsia"/>
                <w:bCs/>
                <w:szCs w:val="21"/>
              </w:rPr>
              <w:t>报价</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48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bCs/>
                <w:szCs w:val="21"/>
                <w:lang w:eastAsia="zh-CN"/>
              </w:rPr>
            </w:pPr>
            <w:r>
              <w:rPr>
                <w:rFonts w:hint="eastAsia"/>
                <w:bCs/>
                <w:szCs w:val="21"/>
                <w:lang w:val="en-US" w:eastAsia="zh-CN"/>
              </w:rPr>
              <w:t>1.</w:t>
            </w:r>
            <w:r>
              <w:rPr>
                <w:rFonts w:hint="eastAsia"/>
                <w:bCs/>
                <w:szCs w:val="21"/>
              </w:rPr>
              <w:t>符合要求且最低的响应报价为基准价，其价格分为满分</w:t>
            </w:r>
            <w:r>
              <w:rPr>
                <w:rFonts w:hint="eastAsia"/>
                <w:bCs/>
                <w:szCs w:val="21"/>
                <w:lang w:eastAsia="zh-CN"/>
              </w:rPr>
              <w:t>，价格取两项价格的算术平均值。</w:t>
            </w:r>
          </w:p>
          <w:p>
            <w:pPr>
              <w:adjustRightInd w:val="0"/>
              <w:snapToGrid w:val="0"/>
              <w:rPr>
                <w:rFonts w:hint="eastAsia" w:asciiTheme="minorHAnsi" w:hAnsiTheme="minorHAnsi" w:eastAsiaTheme="minorEastAsia" w:cstheme="minorBidi"/>
                <w:kern w:val="2"/>
                <w:sz w:val="21"/>
                <w:szCs w:val="21"/>
                <w:lang w:val="en-US" w:eastAsia="zh-CN" w:bidi="ar-SA"/>
              </w:rPr>
            </w:pPr>
            <w:r>
              <w:rPr>
                <w:rFonts w:hint="eastAsia"/>
                <w:bCs/>
                <w:szCs w:val="21"/>
                <w:lang w:val="en-US" w:eastAsia="zh-CN"/>
              </w:rPr>
              <w:t>2.</w:t>
            </w:r>
            <w:r>
              <w:rPr>
                <w:rFonts w:hint="eastAsia"/>
                <w:bCs/>
                <w:szCs w:val="21"/>
              </w:rPr>
              <w:t>其他响应承包商的价格分统一按照</w:t>
            </w:r>
            <w:r>
              <w:rPr>
                <w:rFonts w:hint="eastAsia"/>
                <w:bCs/>
                <w:szCs w:val="21"/>
                <w:lang w:eastAsia="zh-CN"/>
              </w:rPr>
              <w:t>：</w:t>
            </w:r>
            <w:r>
              <w:rPr>
                <w:rFonts w:hint="eastAsia"/>
                <w:bCs/>
                <w:szCs w:val="21"/>
              </w:rPr>
              <w:t>报价得分=(基准价/响应报价)×1</w:t>
            </w:r>
            <w:r>
              <w:rPr>
                <w:rFonts w:hint="eastAsia"/>
                <w:bCs/>
                <w:szCs w:val="21"/>
                <w:lang w:val="en-US" w:eastAsia="zh-CN"/>
              </w:rPr>
              <w:t>0</w:t>
            </w:r>
            <w:r>
              <w:rPr>
                <w:rFonts w:hint="eastAsia"/>
                <w:bCs/>
                <w:szCs w:val="21"/>
              </w:rPr>
              <w:t>。</w:t>
            </w:r>
          </w:p>
        </w:tc>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Cs w:val="21"/>
              </w:rPr>
            </w:pPr>
          </w:p>
        </w:tc>
      </w:tr>
      <w:tr>
        <w:tblPrEx>
          <w:tblLayout w:type="fixed"/>
          <w:tblCellMar>
            <w:top w:w="0" w:type="dxa"/>
            <w:left w:w="108" w:type="dxa"/>
            <w:bottom w:w="0" w:type="dxa"/>
            <w:right w:w="108" w:type="dxa"/>
          </w:tblCellMar>
        </w:tblPrEx>
        <w:trPr>
          <w:trHeight w:val="858" w:hRule="atLeast"/>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rPr>
            </w:pPr>
          </w:p>
        </w:tc>
        <w:tc>
          <w:tcPr>
            <w:tcW w:w="2144"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仿宋_GB2312" w:hAnsi="宋体" w:eastAsia="仿宋_GB2312" w:cs="宋体"/>
                <w:b/>
                <w:kern w:val="2"/>
                <w:sz w:val="21"/>
                <w:szCs w:val="21"/>
                <w:lang w:val="en-US" w:eastAsia="zh-CN" w:bidi="ar-SA"/>
              </w:rPr>
            </w:pPr>
            <w:r>
              <w:rPr>
                <w:rFonts w:hint="eastAsia" w:ascii="仿宋_GB2312" w:hAnsi="宋体" w:eastAsia="仿宋_GB2312" w:cs="宋体"/>
                <w:b/>
                <w:szCs w:val="21"/>
              </w:rPr>
              <w:t>合计　</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宋体" w:eastAsia="仿宋_GB2312" w:cs="宋体"/>
                <w:b/>
                <w:kern w:val="2"/>
                <w:sz w:val="21"/>
                <w:szCs w:val="21"/>
                <w:lang w:val="en-US" w:eastAsia="zh-CN" w:bidi="ar-SA"/>
              </w:rPr>
            </w:pPr>
            <w:r>
              <w:rPr>
                <w:rFonts w:hint="eastAsia"/>
                <w:bCs/>
                <w:szCs w:val="21"/>
              </w:rPr>
              <w:t>100</w:t>
            </w:r>
          </w:p>
        </w:tc>
        <w:tc>
          <w:tcPr>
            <w:tcW w:w="4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b/>
                <w:szCs w:val="21"/>
              </w:rPr>
            </w:pPr>
          </w:p>
        </w:tc>
        <w:tc>
          <w:tcPr>
            <w:tcW w:w="846"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仿宋_GB2312" w:hAnsi="宋体" w:eastAsia="仿宋_GB2312" w:cs="宋体"/>
                <w:szCs w:val="21"/>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若出现拟推荐成交候选供应商票数相同的情况，以未推荐上述单位的评审专家对并列第一的候选供应商既定打分排序作为最终选定依据。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zVhMDlhOTk3ZTc4ZWFhYjJiOGFiYTU2ZTVjMzEifQ=="/>
  </w:docVars>
  <w:rsids>
    <w:rsidRoot w:val="5AB00F04"/>
    <w:rsid w:val="03DF1615"/>
    <w:rsid w:val="05961A0F"/>
    <w:rsid w:val="0BAE19B7"/>
    <w:rsid w:val="18A455D4"/>
    <w:rsid w:val="2D771315"/>
    <w:rsid w:val="39454E4B"/>
    <w:rsid w:val="3E006AF9"/>
    <w:rsid w:val="3E8926E5"/>
    <w:rsid w:val="414679BA"/>
    <w:rsid w:val="542668BB"/>
    <w:rsid w:val="5AB00F04"/>
    <w:rsid w:val="67B434E5"/>
    <w:rsid w:val="6BD60052"/>
    <w:rsid w:val="742A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769</Words>
  <Characters>818</Characters>
  <Lines>0</Lines>
  <Paragraphs>0</Paragraphs>
  <TotalTime>4</TotalTime>
  <ScaleCrop>false</ScaleCrop>
  <LinksUpToDate>false</LinksUpToDate>
  <CharactersWithSpaces>881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2021-04-06T09:41:00Z</dcterms:created>
  <dc:creator>苏述超</dc:creator>
  <cp:lastModifiedBy>quan xian hu</cp:lastModifiedBy>
  <dcterms:modified xsi:type="dcterms:W3CDTF">2023-09-04T09:47:54Z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E36D5F040BD949929FEF34EA752796B8</vt:lpwstr>
  </property>
</Properties>
</file>