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/>
        <w:jc w:val="both"/>
        <w:rPr>
          <w:rFonts w:hint="eastAsia" w:ascii="宋体" w:hAnsi="宋体" w:eastAsia="宋体"/>
          <w:b/>
          <w:bCs/>
          <w:snapToGrid w:val="0"/>
          <w:spacing w:val="0"/>
          <w:sz w:val="30"/>
          <w:szCs w:val="30"/>
          <w:lang w:eastAsia="zh-CN"/>
        </w:rPr>
      </w:pPr>
      <w:r>
        <w:rPr>
          <w:rFonts w:hint="eastAsia" w:ascii="宋体" w:hAnsi="宋体"/>
          <w:snapToGrid w:val="0"/>
          <w:spacing w:val="0"/>
          <w:sz w:val="21"/>
          <w:szCs w:val="21"/>
        </w:rPr>
        <w:t>附</w:t>
      </w:r>
      <w:r>
        <w:rPr>
          <w:rFonts w:hint="eastAsia" w:ascii="宋体" w:hAnsi="宋体"/>
          <w:snapToGrid w:val="0"/>
          <w:spacing w:val="0"/>
          <w:sz w:val="21"/>
          <w:szCs w:val="21"/>
          <w:lang w:eastAsia="zh-CN"/>
        </w:rPr>
        <w:t>件</w:t>
      </w:r>
      <w:r>
        <w:rPr>
          <w:rFonts w:hint="eastAsia" w:ascii="宋体" w:hAnsi="宋体"/>
          <w:snapToGrid w:val="0"/>
          <w:spacing w:val="0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napToGrid w:val="0"/>
          <w:spacing w:val="0"/>
          <w:sz w:val="21"/>
          <w:szCs w:val="21"/>
          <w:lang w:eastAsia="zh-CN"/>
        </w:rPr>
        <w:t>：综合评分表</w:t>
      </w:r>
      <w:bookmarkStart w:id="0" w:name="_GoBack"/>
      <w:bookmarkEnd w:id="0"/>
    </w:p>
    <w:p>
      <w:pPr>
        <w:spacing w:line="360" w:lineRule="auto"/>
        <w:ind w:firstLine="0"/>
        <w:jc w:val="center"/>
        <w:rPr>
          <w:rFonts w:ascii="宋体" w:hAnsi="宋体"/>
          <w:b/>
          <w:bCs/>
          <w:snapToGrid w:val="0"/>
          <w:spacing w:val="0"/>
          <w:sz w:val="32"/>
          <w:szCs w:val="32"/>
        </w:rPr>
      </w:pPr>
      <w:r>
        <w:rPr>
          <w:rFonts w:hint="eastAsia" w:ascii="宋体" w:hAnsi="宋体"/>
          <w:b/>
          <w:bCs/>
          <w:snapToGrid w:val="0"/>
          <w:spacing w:val="0"/>
          <w:sz w:val="32"/>
          <w:szCs w:val="32"/>
        </w:rPr>
        <w:t>综合评分表</w:t>
      </w:r>
    </w:p>
    <w:p>
      <w:pPr>
        <w:spacing w:line="560" w:lineRule="atLeast"/>
        <w:ind w:firstLine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napToGrid w:val="0"/>
          <w:spacing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napToGrid w:val="0"/>
          <w:spacing w:val="0"/>
          <w:sz w:val="21"/>
          <w:szCs w:val="21"/>
          <w:lang w:val="en-US" w:eastAsia="zh-CN"/>
        </w:rPr>
        <w:t>智慧家园3A栋2台中区电梯改造服务采购</w:t>
      </w:r>
      <w:r>
        <w:rPr>
          <w:rFonts w:hint="eastAsia" w:ascii="宋体" w:hAnsi="宋体" w:eastAsia="宋体" w:cs="宋体"/>
          <w:snapToGrid w:val="0"/>
          <w:spacing w:val="0"/>
          <w:sz w:val="21"/>
          <w:szCs w:val="21"/>
          <w:lang w:eastAsia="zh-CN"/>
        </w:rPr>
        <w:t>项</w:t>
      </w:r>
      <w:r>
        <w:rPr>
          <w:rFonts w:hint="eastAsia" w:ascii="宋体" w:hAnsi="宋体" w:cs="宋体"/>
          <w:snapToGrid w:val="0"/>
          <w:spacing w:val="0"/>
          <w:sz w:val="21"/>
          <w:szCs w:val="21"/>
          <w:lang w:eastAsia="zh-CN"/>
        </w:rPr>
        <w:t>目</w:t>
      </w:r>
      <w:r>
        <w:rPr>
          <w:rFonts w:hint="eastAsia" w:ascii="宋体" w:hAnsi="宋体"/>
          <w:snapToGrid w:val="0"/>
          <w:spacing w:val="0"/>
          <w:sz w:val="22"/>
          <w:szCs w:val="22"/>
        </w:rPr>
        <w:t xml:space="preserve">  </w:t>
      </w:r>
      <w:r>
        <w:rPr>
          <w:rFonts w:hint="eastAsia" w:ascii="宋体" w:hAnsi="宋体"/>
          <w:snapToGrid w:val="0"/>
          <w:spacing w:val="0"/>
          <w:sz w:val="22"/>
          <w:szCs w:val="22"/>
          <w:lang w:val="en-US" w:eastAsia="zh-CN"/>
        </w:rPr>
        <w:t xml:space="preserve">                                       </w:t>
      </w:r>
      <w:r>
        <w:rPr>
          <w:rFonts w:hint="eastAsia" w:ascii="宋体" w:hAnsi="宋体"/>
          <w:sz w:val="24"/>
        </w:rPr>
        <w:t>开标时间：</w:t>
      </w:r>
      <w:r>
        <w:rPr>
          <w:rFonts w:hint="eastAsia" w:ascii="宋体" w:hAnsi="宋体"/>
          <w:sz w:val="24"/>
          <w:lang w:eastAsia="zh-CN"/>
        </w:rPr>
        <w:t>2023年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日</w:t>
      </w:r>
    </w:p>
    <w:tbl>
      <w:tblPr>
        <w:tblStyle w:val="3"/>
        <w:tblW w:w="0" w:type="auto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750"/>
        <w:gridCol w:w="659"/>
        <w:gridCol w:w="2327"/>
        <w:gridCol w:w="2683"/>
        <w:gridCol w:w="1834"/>
        <w:gridCol w:w="1366"/>
        <w:gridCol w:w="1366"/>
        <w:gridCol w:w="13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评分</w:t>
            </w: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项目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分值</w:t>
            </w:r>
          </w:p>
        </w:tc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50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评分标准</w:t>
            </w: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等线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  <w:t>响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  <w:t>应单位提供材料说明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  <w:t>得分情况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  <w:t>得分情况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  <w:lang w:eastAsia="zh-CN"/>
              </w:rPr>
              <w:t>得分情况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  <w:t>权重</w:t>
            </w:r>
          </w:p>
        </w:tc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50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8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 w:val="0"/>
                <w:spacing w:val="0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Arial"/>
                <w:b/>
                <w:bCs/>
                <w:snapToGrid w:val="0"/>
                <w:spacing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napToGrid w:val="0"/>
                <w:spacing w:val="0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napToGrid w:val="0"/>
                <w:spacing w:val="0"/>
                <w:sz w:val="21"/>
                <w:szCs w:val="21"/>
                <w:lang w:eastAsia="zh-CN"/>
              </w:rPr>
              <w:t>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6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报价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部分</w:t>
            </w:r>
          </w:p>
        </w:tc>
        <w:tc>
          <w:tcPr>
            <w:tcW w:w="7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1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</w:rPr>
              <w:t>价格分统一采用低价优先法计算,即满足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eastAsia="zh-CN"/>
              </w:rPr>
              <w:t>遴选文件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</w:rPr>
              <w:t>要求且投标价格最低的投标报价为评标基准价,其价格分为满分。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eastAsia="zh-CN"/>
              </w:rPr>
              <w:t>响应单位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</w:rPr>
              <w:t>的价格分统一按照下列公式计算：投标报价得分=(评标基准价/投标报价)×权重。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报价单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分项小计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商务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文件</w:t>
            </w:r>
          </w:p>
        </w:tc>
        <w:tc>
          <w:tcPr>
            <w:tcW w:w="7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2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eastAsia="zh-CN"/>
              </w:rPr>
              <w:t>响应单位获得质量管理体系认证、环境管理体系认证和职业监控安全管理体系认证的，每有一个认证，得</w:t>
            </w: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val="en-US" w:eastAsia="zh-CN"/>
              </w:rPr>
              <w:t>3分，最多</w:t>
            </w: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eastAsia="zh-CN"/>
              </w:rPr>
              <w:t>得</w:t>
            </w: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；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证书复印件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0"/>
                <w:kern w:val="2"/>
                <w:sz w:val="21"/>
                <w:szCs w:val="21"/>
                <w:lang w:val="en-US" w:eastAsia="zh-CN"/>
              </w:rPr>
              <w:t>响应单位拥有特种设备生产许可证（电梯安装（含修理），许可子项目为拽引驱动乘客电梯（含消防员电梯）（A2）级别的，得4分，许可子项目为拽引驱动乘客电梯（含消防员电梯）（A1）级别的，得8分；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资质证书复印件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Times New Roman"/>
                <w:color w:val="000000"/>
                <w:spacing w:val="0"/>
                <w:kern w:val="2"/>
                <w:sz w:val="21"/>
                <w:szCs w:val="21"/>
                <w:lang w:val="en-US" w:eastAsia="zh-CN"/>
              </w:rPr>
              <w:t>近3年内，响应单位具有电梯安装业绩的数量，每个得2分，最多得12分；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提供合同关键页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分项小计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  <w:t>文件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配件材质（4分）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使用的电梯门、面板为304不锈钢材质的，得4分。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提供材质说明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电梯改造方案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（25分）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根据响应单位提供的电梯改造方案，根据安全保障措施、安装工期进度、质量保证措施、成品保护措施、技术人员配备、电梯脱离群控方案、电梯安全运行保障等进行横向对比，优的得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17-25分，良好得9-16分，一般得1-8分，差不得分。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提供电梯改造方案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操作人员（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6分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电梯改造人员为企业自有员工，且拥有市监局颁发的电梯工证件，持有T1、T2证件，每5人加1分，最高得6分。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提供自有员工证明、人员证件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质保期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2分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质保期至少为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1年，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质保期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每增加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1年，则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加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分，最高得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分。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提供承诺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售后服务（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4分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根据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响应单位提交的售后服务方案，根据售后的响应时间、服务方式，相关承诺等进行横向对比，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优秀得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分，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分，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一般得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1分，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不得分。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提供售后服务方案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0"/>
                <w:szCs w:val="20"/>
              </w:rPr>
              <w:t>分项小计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0"/>
                <w:szCs w:val="20"/>
              </w:rPr>
              <w:t>　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宋体" w:hAnsi="宋体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Times New Roman" w:hAnsi="Times New Roman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70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</w:rPr>
              <w:t>总      分（1+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</w:rPr>
              <w:t>+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</w:rPr>
              <w:t>）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70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hint="eastAsia" w:ascii="等线" w:hAnsi="等线" w:eastAsia="等线" w:cs="宋体"/>
                <w:b/>
                <w:bCs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  <w:t>推荐中标人（选取得分最高的</w:t>
            </w:r>
            <w:r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  <w:lang w:eastAsia="zh-CN"/>
              </w:rPr>
              <w:t>响应单位</w:t>
            </w:r>
            <w:r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  <w:t>）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spacing w:val="0"/>
                <w:sz w:val="22"/>
                <w:szCs w:val="22"/>
              </w:rPr>
            </w:pPr>
          </w:p>
        </w:tc>
      </w:tr>
    </w:tbl>
    <w:p>
      <w:pPr>
        <w:ind w:firstLine="0"/>
        <w:jc w:val="left"/>
        <w:rPr>
          <w:rFonts w:ascii="宋体" w:hAnsi="宋体"/>
          <w:bCs/>
          <w:snapToGrid w:val="0"/>
          <w:spacing w:val="0"/>
          <w:sz w:val="22"/>
          <w:szCs w:val="22"/>
        </w:rPr>
      </w:pPr>
    </w:p>
    <w:p>
      <w:pPr>
        <w:ind w:firstLine="0"/>
        <w:jc w:val="left"/>
        <w:rPr>
          <w:rFonts w:hint="eastAsia" w:ascii="宋体" w:hAnsi="宋体"/>
          <w:bCs/>
          <w:snapToGrid w:val="0"/>
          <w:spacing w:val="0"/>
          <w:sz w:val="22"/>
          <w:szCs w:val="22"/>
        </w:rPr>
      </w:pPr>
      <w:r>
        <w:rPr>
          <w:rFonts w:hint="eastAsia" w:ascii="宋体" w:hAnsi="宋体"/>
          <w:bCs/>
          <w:snapToGrid w:val="0"/>
          <w:spacing w:val="0"/>
          <w:sz w:val="22"/>
          <w:szCs w:val="22"/>
        </w:rPr>
        <w:t xml:space="preserve"> </w:t>
      </w:r>
      <w:r>
        <w:rPr>
          <w:rFonts w:ascii="宋体" w:hAnsi="宋体"/>
          <w:bCs/>
          <w:snapToGrid w:val="0"/>
          <w:spacing w:val="0"/>
          <w:sz w:val="22"/>
          <w:szCs w:val="22"/>
        </w:rPr>
        <w:t xml:space="preserve"> </w:t>
      </w:r>
    </w:p>
    <w:p>
      <w:pPr>
        <w:ind w:firstLine="220" w:firstLineChars="100"/>
        <w:jc w:val="left"/>
        <w:rPr>
          <w:rFonts w:hint="eastAsia" w:ascii="宋体" w:hAnsi="宋体"/>
          <w:bCs/>
          <w:snapToGrid w:val="0"/>
          <w:spacing w:val="0"/>
          <w:sz w:val="22"/>
          <w:szCs w:val="22"/>
        </w:rPr>
      </w:pPr>
      <w:r>
        <w:rPr>
          <w:rFonts w:hint="eastAsia" w:ascii="宋体" w:hAnsi="宋体"/>
          <w:bCs/>
          <w:snapToGrid w:val="0"/>
          <w:spacing w:val="0"/>
          <w:sz w:val="22"/>
          <w:szCs w:val="22"/>
        </w:rPr>
        <w:t>评标委员：                                                                                          日期：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00000000"/>
    <w:rsid w:val="4A4B4CAF"/>
    <w:rsid w:val="60AF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spacing w:line="0" w:lineRule="atLeast"/>
      <w:ind w:firstLine="454"/>
      <w:jc w:val="both"/>
      <w:textAlignment w:val="baseline"/>
    </w:pPr>
    <w:rPr>
      <w:rFonts w:ascii="Arial" w:hAnsi="Arial" w:eastAsia="宋体" w:cs="Arial"/>
      <w:spacing w:val="-5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802</Words>
  <Characters>834</Characters>
  <Lines>0</Lines>
  <Paragraphs>0</Paragraphs>
  <TotalTime>0</TotalTime>
  <ScaleCrop>false</ScaleCrop>
  <LinksUpToDate>false</LinksUpToDate>
  <CharactersWithSpaces>980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2023-08-15T01:21:00Z</dcterms:created>
  <dc:creator>Administrator</dc:creator>
  <cp:lastModifiedBy>WPS_1642562330</cp:lastModifiedBy>
  <dcterms:modified xsi:type="dcterms:W3CDTF">2023-08-15T02:14:53Z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DF492805DBD54111B4EFD4BCF6A534CC_12</vt:lpwstr>
  </property>
</Properties>
</file>