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龙岗区一般工业固废管理要求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一般工业固废名录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一般工业固废是指企业在工业生产过程中产生且不属于危险废物的工业固体废物。</w:t>
      </w:r>
      <w:r>
        <w:rPr>
          <w:rFonts w:hint="eastAsia" w:ascii="仿宋_GB2312" w:hAnsi="仿宋_GB2312" w:eastAsia="仿宋_GB2312" w:cs="仿宋_GB2312"/>
          <w:color w:val="auto"/>
          <w:sz w:val="32"/>
          <w:szCs w:val="32"/>
          <w:lang w:val="en-US" w:eastAsia="zh-CN"/>
        </w:rPr>
        <w:t>广东省固体废物环境监管信息平台一般工业固废名录如下：</w:t>
      </w:r>
    </w:p>
    <w:tbl>
      <w:tblPr>
        <w:tblStyle w:val="6"/>
        <w:tblW w:w="8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14"/>
        <w:gridCol w:w="2381"/>
        <w:gridCol w:w="1814"/>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nil"/>
              <w:left w:val="nil"/>
              <w:bottom w:val="nil"/>
              <w:right w:val="nil"/>
            </w:tcBorders>
            <w:shd w:val="clear" w:color="auto" w:fill="A4A4A4"/>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bCs/>
                <w:i w:val="0"/>
                <w:color w:val="FFFFFF"/>
                <w:sz w:val="24"/>
                <w:szCs w:val="24"/>
                <w:u w:val="none"/>
              </w:rPr>
            </w:pPr>
            <w:r>
              <w:rPr>
                <w:rFonts w:hint="eastAsia" w:ascii="宋体" w:hAnsi="宋体" w:eastAsia="宋体" w:cs="宋体"/>
                <w:b/>
                <w:bCs/>
                <w:i w:val="0"/>
                <w:color w:val="FFFFFF"/>
                <w:kern w:val="0"/>
                <w:sz w:val="24"/>
                <w:szCs w:val="24"/>
                <w:u w:val="none"/>
                <w:lang w:val="en-US" w:eastAsia="zh-CN" w:bidi="ar"/>
              </w:rPr>
              <w:t>代码</w:t>
            </w:r>
          </w:p>
        </w:tc>
        <w:tc>
          <w:tcPr>
            <w:tcW w:w="2381" w:type="dxa"/>
            <w:tcBorders>
              <w:top w:val="nil"/>
              <w:left w:val="nil"/>
              <w:bottom w:val="nil"/>
              <w:right w:val="nil"/>
            </w:tcBorders>
            <w:shd w:val="clear" w:color="auto" w:fill="A4A4A4"/>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bCs/>
                <w:i w:val="0"/>
                <w:color w:val="FFFFFF"/>
                <w:sz w:val="24"/>
                <w:szCs w:val="24"/>
                <w:u w:val="none"/>
              </w:rPr>
            </w:pPr>
            <w:r>
              <w:rPr>
                <w:rFonts w:hint="eastAsia" w:ascii="宋体" w:hAnsi="宋体" w:eastAsia="宋体" w:cs="宋体"/>
                <w:b/>
                <w:bCs/>
                <w:i w:val="0"/>
                <w:color w:val="FFFFFF"/>
                <w:kern w:val="0"/>
                <w:sz w:val="24"/>
                <w:szCs w:val="24"/>
                <w:u w:val="none"/>
                <w:lang w:val="en-US" w:eastAsia="zh-CN" w:bidi="ar"/>
              </w:rPr>
              <w:t>名称</w:t>
            </w:r>
          </w:p>
        </w:tc>
        <w:tc>
          <w:tcPr>
            <w:tcW w:w="1814" w:type="dxa"/>
            <w:tcBorders>
              <w:top w:val="nil"/>
              <w:left w:val="nil"/>
              <w:bottom w:val="nil"/>
              <w:right w:val="nil"/>
            </w:tcBorders>
            <w:shd w:val="clear" w:color="auto" w:fill="A4A4A4"/>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bCs/>
                <w:i w:val="0"/>
                <w:color w:val="FFFFFF"/>
                <w:sz w:val="24"/>
                <w:szCs w:val="24"/>
                <w:u w:val="none"/>
              </w:rPr>
            </w:pPr>
            <w:r>
              <w:rPr>
                <w:rFonts w:hint="eastAsia" w:ascii="宋体" w:hAnsi="宋体" w:eastAsia="宋体" w:cs="宋体"/>
                <w:b/>
                <w:bCs/>
                <w:i w:val="0"/>
                <w:color w:val="FFFFFF"/>
                <w:kern w:val="0"/>
                <w:sz w:val="24"/>
                <w:szCs w:val="24"/>
                <w:u w:val="none"/>
                <w:lang w:val="en-US" w:eastAsia="zh-CN" w:bidi="ar"/>
              </w:rPr>
              <w:t>代码</w:t>
            </w:r>
          </w:p>
        </w:tc>
        <w:tc>
          <w:tcPr>
            <w:tcW w:w="2381" w:type="dxa"/>
            <w:tcBorders>
              <w:top w:val="nil"/>
              <w:left w:val="nil"/>
              <w:bottom w:val="nil"/>
              <w:right w:val="nil"/>
            </w:tcBorders>
            <w:shd w:val="clear" w:color="auto" w:fill="A4A4A4"/>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bCs/>
                <w:i w:val="0"/>
                <w:color w:val="FFFFFF"/>
                <w:sz w:val="24"/>
                <w:szCs w:val="24"/>
                <w:u w:val="none"/>
              </w:rPr>
            </w:pPr>
            <w:r>
              <w:rPr>
                <w:rFonts w:hint="eastAsia" w:ascii="宋体" w:hAnsi="宋体" w:eastAsia="宋体" w:cs="宋体"/>
                <w:b/>
                <w:bCs/>
                <w:i w:val="0"/>
                <w:color w:val="FFFFFF"/>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single" w:color="4F81BD" w:sz="8"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SW01</w:t>
            </w:r>
          </w:p>
        </w:tc>
        <w:tc>
          <w:tcPr>
            <w:tcW w:w="2381" w:type="dxa"/>
            <w:tcBorders>
              <w:top w:val="single" w:color="4F81BD" w:sz="8"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冶炼废渣</w:t>
            </w:r>
          </w:p>
        </w:tc>
        <w:tc>
          <w:tcPr>
            <w:tcW w:w="1814" w:type="dxa"/>
            <w:tcBorders>
              <w:top w:val="single" w:color="4F81BD" w:sz="8"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SW99-5</w:t>
            </w:r>
          </w:p>
        </w:tc>
        <w:tc>
          <w:tcPr>
            <w:tcW w:w="2381" w:type="dxa"/>
            <w:tcBorders>
              <w:top w:val="single" w:color="4F81BD" w:sz="8"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SW02</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粉煤灰</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SW99-6</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粮食及食品加工废物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SW03</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炉渣</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SW99-7</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皮革废物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SW04</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煤矸石</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SW99-8</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中药残渣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SW05</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尾矿</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SW99-9</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矿物型废物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SW06</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脱硫石膏</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SW99-10</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工业粉尘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SW07-1</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造纸污泥</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SW99-11</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有色金属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SW07-2</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印染污泥</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SW99-12</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SW07-3</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陶瓷污泥</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SW99-13</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废木材及相关制品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SW07-4</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城镇污水处理污泥</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SW99-14</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SW07-5</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其他污泥</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SW99-15</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SW09</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赤泥</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SW99-16</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废橡胶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SW10</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磷石膏</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SW99-17</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电子废物</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SW99-18</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废弃纺织材料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SW99-2</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含氮有机废物</w:t>
            </w:r>
          </w:p>
        </w:tc>
        <w:tc>
          <w:tcPr>
            <w:tcW w:w="1814"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SW99-19</w:t>
            </w:r>
          </w:p>
        </w:tc>
        <w:tc>
          <w:tcPr>
            <w:tcW w:w="2381" w:type="dxa"/>
            <w:tcBorders>
              <w:top w:val="dotted" w:color="auto" w:sz="0" w:space="0"/>
              <w:left w:val="dotted" w:color="auto" w:sz="0" w:space="0"/>
              <w:bottom w:val="dotted" w:color="auto" w:sz="0"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覆铜板边角废料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SW99-3</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含钙废物</w:t>
            </w:r>
          </w:p>
        </w:tc>
        <w:tc>
          <w:tcPr>
            <w:tcW w:w="18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SW99-20</w:t>
            </w:r>
          </w:p>
        </w:tc>
        <w:tc>
          <w:tcPr>
            <w:tcW w:w="2381"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814" w:type="dxa"/>
            <w:tcBorders>
              <w:top w:val="dotted" w:color="auto" w:sz="0" w:space="0"/>
              <w:left w:val="dotted" w:color="auto" w:sz="0" w:space="0"/>
              <w:bottom w:val="single" w:color="4F81BD" w:sz="8"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SW99-4</w:t>
            </w:r>
          </w:p>
        </w:tc>
        <w:tc>
          <w:tcPr>
            <w:tcW w:w="2381" w:type="dxa"/>
            <w:tcBorders>
              <w:top w:val="dotted" w:color="auto" w:sz="0" w:space="0"/>
              <w:left w:val="dotted" w:color="auto" w:sz="0" w:space="0"/>
              <w:bottom w:val="single" w:color="4F81BD" w:sz="8" w:space="0"/>
              <w:right w:val="dotted" w:color="auto" w:sz="0" w:space="0"/>
            </w:tcBorders>
            <w:shd w:val="clear" w:color="auto" w:fill="DBE5F1"/>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金属氧化物废物</w:t>
            </w:r>
          </w:p>
        </w:tc>
        <w:tc>
          <w:tcPr>
            <w:tcW w:w="1814" w:type="dxa"/>
            <w:tcBorders>
              <w:top w:val="dotted" w:color="auto" w:sz="0" w:space="0"/>
              <w:left w:val="dotted" w:color="auto" w:sz="0" w:space="0"/>
              <w:bottom w:val="single" w:color="4F81BD" w:sz="8" w:space="0"/>
              <w:right w:val="dotted" w:color="auto" w:sz="0" w:space="0"/>
            </w:tcBorders>
            <w:shd w:val="clear" w:color="auto" w:fill="DBE5F1"/>
            <w:tcMar>
              <w:top w:w="12" w:type="dxa"/>
              <w:left w:w="12" w:type="dxa"/>
              <w:right w:w="12" w:type="dxa"/>
            </w:tcMar>
            <w:vAlign w:val="bottom"/>
          </w:tcPr>
          <w:p>
            <w:pPr>
              <w:rPr>
                <w:rFonts w:hint="eastAsia" w:ascii="宋体" w:hAnsi="宋体" w:eastAsia="宋体" w:cs="宋体"/>
                <w:i w:val="0"/>
                <w:color w:val="000000"/>
                <w:sz w:val="24"/>
                <w:szCs w:val="24"/>
                <w:u w:val="none"/>
              </w:rPr>
            </w:pPr>
          </w:p>
        </w:tc>
        <w:tc>
          <w:tcPr>
            <w:tcW w:w="2381" w:type="dxa"/>
            <w:tcBorders>
              <w:top w:val="dotted" w:color="auto" w:sz="0" w:space="0"/>
              <w:left w:val="dotted" w:color="auto" w:sz="0" w:space="0"/>
              <w:bottom w:val="single" w:color="4F81BD" w:sz="8" w:space="0"/>
              <w:right w:val="dotted" w:color="auto" w:sz="0" w:space="0"/>
            </w:tcBorders>
            <w:shd w:val="clear" w:color="auto" w:fill="DBE5F1"/>
            <w:tcMar>
              <w:top w:w="12" w:type="dxa"/>
              <w:left w:w="12" w:type="dxa"/>
              <w:right w:w="12" w:type="dxa"/>
            </w:tcMar>
            <w:vAlign w:val="bottom"/>
          </w:tcPr>
          <w:p>
            <w:pPr>
              <w:rPr>
                <w:rFonts w:hint="eastAsia" w:ascii="宋体" w:hAnsi="宋体" w:eastAsia="宋体" w:cs="宋体"/>
                <w:i w:val="0"/>
                <w:color w:val="000000"/>
                <w:sz w:val="24"/>
                <w:szCs w:val="24"/>
                <w:u w:val="no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龙岗区一般工业固废贮存管理要求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w:t>
      </w:r>
      <w:bookmarkStart w:id="0" w:name="_GoBack"/>
      <w:bookmarkEnd w:id="0"/>
      <w:r>
        <w:rPr>
          <w:rFonts w:hint="eastAsia" w:ascii="仿宋_GB2312" w:hAnsi="仿宋_GB2312" w:eastAsia="仿宋_GB2312" w:cs="仿宋_GB2312"/>
          <w:b w:val="0"/>
          <w:bCs w:val="0"/>
          <w:sz w:val="32"/>
          <w:szCs w:val="32"/>
          <w:lang w:val="en-US" w:eastAsia="zh-CN"/>
        </w:rPr>
        <w:t>固体废物污染环境防治法》（2020版），以下简称《固废法》，龙岗区一般工业固废贮存管理要求如下：</w:t>
      </w:r>
    </w:p>
    <w:tbl>
      <w:tblPr>
        <w:tblStyle w:val="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24"/>
                <w:szCs w:val="24"/>
                <w:vertAlign w:val="baseline"/>
                <w:lang w:val="en-US" w:eastAsia="zh-CN"/>
              </w:rPr>
              <w:t>管理要点</w:t>
            </w:r>
          </w:p>
        </w:tc>
        <w:tc>
          <w:tcPr>
            <w:tcW w:w="49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24"/>
                <w:szCs w:val="24"/>
                <w:vertAlign w:val="baseline"/>
                <w:lang w:val="en-US"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分类管理</w:t>
            </w:r>
          </w:p>
        </w:tc>
        <w:tc>
          <w:tcPr>
            <w:tcW w:w="4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《固废法》</w:t>
            </w:r>
            <w:r>
              <w:rPr>
                <w:rFonts w:hint="default" w:ascii="仿宋_GB2312" w:hAnsi="仿宋_GB2312" w:eastAsia="仿宋_GB2312" w:cs="仿宋_GB2312"/>
                <w:b/>
                <w:bCs/>
                <w:color w:val="auto"/>
                <w:sz w:val="24"/>
                <w:szCs w:val="24"/>
                <w:vertAlign w:val="baseline"/>
                <w:lang w:val="en-US" w:eastAsia="zh-CN"/>
              </w:rPr>
              <w:t>第</w:t>
            </w:r>
            <w:r>
              <w:rPr>
                <w:rFonts w:hint="eastAsia" w:ascii="仿宋_GB2312" w:hAnsi="仿宋_GB2312" w:eastAsia="仿宋_GB2312" w:cs="仿宋_GB2312"/>
                <w:b/>
                <w:bCs/>
                <w:color w:val="auto"/>
                <w:sz w:val="24"/>
                <w:szCs w:val="24"/>
                <w:vertAlign w:val="baseline"/>
                <w:lang w:val="en-US" w:eastAsia="zh-CN"/>
              </w:rPr>
              <w:t>三十六</w:t>
            </w:r>
            <w:r>
              <w:rPr>
                <w:rFonts w:hint="default" w:ascii="仿宋_GB2312" w:hAnsi="仿宋_GB2312" w:eastAsia="仿宋_GB2312" w:cs="仿宋_GB2312"/>
                <w:b/>
                <w:bCs/>
                <w:color w:val="auto"/>
                <w:sz w:val="24"/>
                <w:szCs w:val="24"/>
                <w:vertAlign w:val="baseline"/>
                <w:lang w:val="en-US" w:eastAsia="zh-CN"/>
              </w:rPr>
              <w:t>条</w:t>
            </w:r>
            <w:r>
              <w:rPr>
                <w:rFonts w:hint="eastAsia" w:ascii="仿宋_GB2312" w:hAnsi="仿宋_GB2312" w:eastAsia="仿宋_GB2312" w:cs="仿宋_GB2312"/>
                <w:b/>
                <w:bCs/>
                <w:color w:val="auto"/>
                <w:sz w:val="24"/>
                <w:szCs w:val="24"/>
                <w:vertAlign w:val="baseline"/>
                <w:lang w:val="en-US" w:eastAsia="zh-CN"/>
              </w:rPr>
              <w:t>，</w:t>
            </w:r>
            <w:r>
              <w:rPr>
                <w:rFonts w:hint="default" w:ascii="仿宋_GB2312" w:hAnsi="仿宋_GB2312" w:eastAsia="仿宋_GB2312" w:cs="仿宋_GB2312"/>
                <w:b/>
                <w:bCs/>
                <w:color w:val="auto"/>
                <w:sz w:val="24"/>
                <w:szCs w:val="24"/>
                <w:vertAlign w:val="baseline"/>
                <w:lang w:val="en-US" w:eastAsia="zh-CN"/>
              </w:rPr>
              <w:t>禁止向生活垃圾收集设施中投放工业固体废物。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w:t>
            </w:r>
            <w:r>
              <w:rPr>
                <w:rFonts w:hint="default" w:ascii="仿宋_GB2312" w:hAnsi="仿宋_GB2312" w:eastAsia="仿宋_GB2312" w:cs="仿宋_GB2312"/>
                <w:b w:val="0"/>
                <w:bCs w:val="0"/>
                <w:sz w:val="24"/>
                <w:szCs w:val="24"/>
                <w:vertAlign w:val="baseline"/>
                <w:lang w:val="en-US" w:eastAsia="zh-CN"/>
              </w:rPr>
              <w:t>第四十条</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产生工业固体废物的单位应当根据经济、技术条件对工业固体废物加以利用；对暂时不利用或者不能利用的，应当按照国务院生态环境等主管部门的规定建设贮存设施、场所，</w:t>
            </w:r>
            <w:r>
              <w:rPr>
                <w:rFonts w:hint="default" w:ascii="仿宋_GB2312" w:hAnsi="仿宋_GB2312" w:eastAsia="仿宋_GB2312" w:cs="仿宋_GB2312"/>
                <w:b/>
                <w:bCs/>
                <w:sz w:val="24"/>
                <w:szCs w:val="24"/>
                <w:vertAlign w:val="baseline"/>
                <w:lang w:val="en-US" w:eastAsia="zh-CN"/>
              </w:rPr>
              <w:t>安全分类存放，或者采取无害化处置措施</w:t>
            </w:r>
            <w:r>
              <w:rPr>
                <w:rFonts w:hint="default" w:ascii="仿宋_GB2312" w:hAnsi="仿宋_GB2312" w:eastAsia="仿宋_GB2312" w:cs="仿宋_GB2312"/>
                <w:b w:val="0"/>
                <w:bCs w:val="0"/>
                <w:sz w:val="24"/>
                <w:szCs w:val="24"/>
                <w:vertAlign w:val="baseline"/>
                <w:lang w:val="en-US" w:eastAsia="zh-CN"/>
              </w:rPr>
              <w:t>。贮存工业固体废物应当采取符合国家环境保护标准的防护措施。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vAlign w:val="center"/>
          </w:tcPr>
          <w:p>
            <w:pPr>
              <w:numPr>
                <w:ilvl w:val="0"/>
                <w:numId w:val="0"/>
              </w:num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设立一般工业固废暂存场所</w:t>
            </w:r>
          </w:p>
          <w:p>
            <w:pPr>
              <w:numPr>
                <w:ilvl w:val="0"/>
                <w:numId w:val="0"/>
              </w:numPr>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（张贴标识）</w:t>
            </w:r>
          </w:p>
        </w:tc>
        <w:tc>
          <w:tcPr>
            <w:tcW w:w="49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《固废法》</w:t>
            </w:r>
            <w:r>
              <w:rPr>
                <w:rFonts w:hint="default" w:ascii="仿宋_GB2312" w:hAnsi="仿宋_GB2312" w:eastAsia="仿宋_GB2312" w:cs="仿宋_GB2312"/>
                <w:b w:val="0"/>
                <w:bCs w:val="0"/>
                <w:color w:val="auto"/>
                <w:sz w:val="24"/>
                <w:szCs w:val="24"/>
                <w:vertAlign w:val="baseline"/>
                <w:lang w:val="en-US" w:eastAsia="zh-CN"/>
              </w:rPr>
              <w:t>第</w:t>
            </w:r>
            <w:r>
              <w:rPr>
                <w:rFonts w:hint="eastAsia" w:ascii="仿宋_GB2312" w:hAnsi="仿宋_GB2312" w:eastAsia="仿宋_GB2312" w:cs="仿宋_GB2312"/>
                <w:b w:val="0"/>
                <w:bCs w:val="0"/>
                <w:color w:val="auto"/>
                <w:sz w:val="24"/>
                <w:szCs w:val="24"/>
                <w:vertAlign w:val="baseline"/>
                <w:lang w:val="en-US" w:eastAsia="zh-CN"/>
              </w:rPr>
              <w:t>二</w:t>
            </w:r>
            <w:r>
              <w:rPr>
                <w:rFonts w:hint="default" w:ascii="仿宋_GB2312" w:hAnsi="仿宋_GB2312" w:eastAsia="仿宋_GB2312" w:cs="仿宋_GB2312"/>
                <w:b w:val="0"/>
                <w:bCs w:val="0"/>
                <w:color w:val="auto"/>
                <w:sz w:val="24"/>
                <w:szCs w:val="24"/>
                <w:vertAlign w:val="baseline"/>
                <w:lang w:val="en-US" w:eastAsia="zh-CN"/>
              </w:rPr>
              <w:t>十条</w:t>
            </w:r>
            <w:r>
              <w:rPr>
                <w:rFonts w:hint="eastAsia" w:ascii="仿宋_GB2312" w:hAnsi="仿宋_GB2312" w:eastAsia="仿宋_GB2312" w:cs="仿宋_GB2312"/>
                <w:b w:val="0"/>
                <w:bCs w:val="0"/>
                <w:color w:val="auto"/>
                <w:sz w:val="24"/>
                <w:szCs w:val="24"/>
                <w:vertAlign w:val="baseline"/>
                <w:lang w:val="en-US" w:eastAsia="zh-CN"/>
              </w:rPr>
              <w:t>，产生、收集、贮存、运输、利用、处置固体废物的单位和其他生产经营者，应当采取防扬散、防流失、防渗漏或者其他防止污染环境的措施，不得擅自倾倒、堆放、丢弃、遗撒固体废物。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w:t>
            </w:r>
            <w:r>
              <w:rPr>
                <w:rFonts w:hint="default" w:ascii="仿宋_GB2312" w:hAnsi="仿宋_GB2312" w:eastAsia="仿宋_GB2312" w:cs="仿宋_GB2312"/>
                <w:b w:val="0"/>
                <w:bCs w:val="0"/>
                <w:sz w:val="24"/>
                <w:szCs w:val="24"/>
                <w:vertAlign w:val="baseline"/>
                <w:lang w:val="en-US" w:eastAsia="zh-CN"/>
              </w:rPr>
              <w:t>第四十条</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bCs/>
                <w:sz w:val="24"/>
                <w:szCs w:val="24"/>
                <w:vertAlign w:val="baseline"/>
                <w:lang w:val="en-US" w:eastAsia="zh-CN"/>
              </w:rPr>
              <w:t>产生工业固体废物的单位应当根据经济、技术条件对工业固体废物加以利用；对暂时不利用或者不能利用的，应当按照国务院生态环境等主管部门的规定建设贮存设施、场所</w:t>
            </w:r>
            <w:r>
              <w:rPr>
                <w:rFonts w:hint="default" w:ascii="仿宋_GB2312" w:hAnsi="仿宋_GB2312" w:eastAsia="仿宋_GB2312" w:cs="仿宋_GB2312"/>
                <w:b w:val="0"/>
                <w:bCs w:val="0"/>
                <w:sz w:val="24"/>
                <w:szCs w:val="24"/>
                <w:vertAlign w:val="baseline"/>
                <w:lang w:val="en-US" w:eastAsia="zh-CN"/>
              </w:rPr>
              <w:t>，安全分类存放，或者采取无害化处置措施。贮存工业固体废物应当采取符合国家环境保护标准的防护措施。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default" w:ascii="仿宋_GB2312" w:hAnsi="仿宋_GB2312" w:eastAsia="仿宋_GB2312" w:cs="仿宋_GB2312"/>
                <w:b w:val="0"/>
                <w:bCs w:val="0"/>
                <w:strike/>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建设工业固体废物贮存、处置的设施、场所，应当符合国家环境保护标准</w:t>
            </w:r>
            <w:r>
              <w:rPr>
                <w:rFonts w:hint="default"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龙岗区一般工业固废档案管理要求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根据《固废法》，龙岗区一般工业固废档案管理要求如下：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档案内容</w:t>
            </w:r>
          </w:p>
        </w:tc>
        <w:tc>
          <w:tcPr>
            <w:tcW w:w="4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一般工业固废管理台账</w:t>
            </w:r>
          </w:p>
        </w:tc>
        <w:tc>
          <w:tcPr>
            <w:tcW w:w="496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w:t>
            </w:r>
            <w:r>
              <w:rPr>
                <w:rFonts w:hint="default" w:ascii="仿宋_GB2312" w:hAnsi="仿宋_GB2312" w:eastAsia="仿宋_GB2312" w:cs="仿宋_GB2312"/>
                <w:b w:val="0"/>
                <w:bCs w:val="0"/>
                <w:sz w:val="24"/>
                <w:szCs w:val="24"/>
                <w:vertAlign w:val="baseline"/>
                <w:lang w:val="en-US" w:eastAsia="zh-CN"/>
              </w:rPr>
              <w:t>第三十六条</w:t>
            </w: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bCs/>
                <w:sz w:val="24"/>
                <w:szCs w:val="24"/>
                <w:vertAlign w:val="baseline"/>
                <w:lang w:val="en-US" w:eastAsia="zh-CN"/>
              </w:rPr>
              <w:t>产生工业固体废物的单位应当建立健全工业固体废物产生、收集、贮存、运输、利用、处置全过程的污染环境防治责任制度，建立工业固体废物管理台账，如实记录产生工业固体废物的种类、数量、流向、贮存、利用、处置等信息</w:t>
            </w:r>
            <w:r>
              <w:rPr>
                <w:rFonts w:hint="default" w:ascii="仿宋_GB2312" w:hAnsi="仿宋_GB2312" w:eastAsia="仿宋_GB2312" w:cs="仿宋_GB2312"/>
                <w:b w:val="0"/>
                <w:bCs w:val="0"/>
                <w:sz w:val="24"/>
                <w:szCs w:val="24"/>
                <w:vertAlign w:val="baseline"/>
                <w:lang w:val="en-US" w:eastAsia="zh-CN"/>
              </w:rPr>
              <w:t>，实现工业固体废物可追溯、可查询，并采取防治工业固体废物污染环境的措施</w:t>
            </w: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一般工业固废回收处置合同</w:t>
            </w:r>
          </w:p>
        </w:tc>
        <w:tc>
          <w:tcPr>
            <w:tcW w:w="496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《固废法》第三十七条，</w:t>
            </w:r>
            <w:r>
              <w:rPr>
                <w:rFonts w:hint="eastAsia" w:ascii="仿宋_GB2312" w:hAnsi="仿宋_GB2312" w:eastAsia="仿宋_GB2312" w:cs="仿宋_GB2312"/>
                <w:b/>
                <w:bCs/>
                <w:sz w:val="24"/>
                <w:szCs w:val="24"/>
                <w:vertAlign w:val="baseline"/>
                <w:lang w:val="en-US" w:eastAsia="zh-CN"/>
              </w:rPr>
              <w:t>产生工业固体废物的单位委托他人运输、利用、处置工业固体废物的，应当对受托方的主体资格和技术能力进行核实，依法签订书面合同，在合同中约定污染防治要求</w:t>
            </w: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一般工业固废申报登记资料、跨省利用或跨省处置备案资料</w:t>
            </w:r>
          </w:p>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96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《固废法》第三十九条，</w:t>
            </w:r>
            <w:r>
              <w:rPr>
                <w:rFonts w:hint="eastAsia" w:ascii="仿宋_GB2312" w:hAnsi="仿宋_GB2312" w:eastAsia="仿宋_GB2312" w:cs="仿宋_GB2312"/>
                <w:b/>
                <w:bCs/>
                <w:sz w:val="24"/>
                <w:szCs w:val="24"/>
                <w:vertAlign w:val="baseline"/>
                <w:lang w:val="en-US" w:eastAsia="zh-CN"/>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r>
              <w:rPr>
                <w:rFonts w:hint="eastAsia" w:ascii="仿宋_GB2312" w:hAnsi="仿宋_GB2312" w:eastAsia="仿宋_GB2312" w:cs="仿宋_GB2312"/>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《固废法》第二十二条，</w:t>
            </w:r>
            <w:r>
              <w:rPr>
                <w:rFonts w:hint="eastAsia" w:ascii="仿宋_GB2312" w:hAnsi="仿宋_GB2312" w:eastAsia="仿宋_GB2312" w:cs="仿宋_GB2312"/>
                <w:b/>
                <w:bCs/>
                <w:sz w:val="24"/>
                <w:szCs w:val="24"/>
                <w:vertAlign w:val="baseline"/>
                <w:lang w:val="en-US" w:eastAsia="zh-CN"/>
              </w:rPr>
              <w:t>转移固体废物出省、自治区、直辖市行政区域贮存、处置的，应当向固体废物移出地的省、自治区、直辖市人民政府生态环境主管部门提出申请</w:t>
            </w:r>
            <w:r>
              <w:rPr>
                <w:rFonts w:hint="eastAsia" w:ascii="仿宋_GB2312" w:hAnsi="仿宋_GB2312" w:eastAsia="仿宋_GB2312" w:cs="仿宋_GB2312"/>
                <w:b w:val="0"/>
                <w:bCs w:val="0"/>
                <w:sz w:val="24"/>
                <w:szCs w:val="24"/>
                <w:vertAlign w:val="baseline"/>
                <w:lang w:val="en-US" w:eastAsia="zh-CN"/>
              </w:rPr>
              <w:t>。移出地的省、自治区、直辖市人民政府生态环境主管部门应当及时商经接受地的省、自治区、直辖市人民政府生态环境主管部门同意后，在规定期限内批准转移该固体废物出省、自治区、直辖市行政区域。</w:t>
            </w:r>
            <w:r>
              <w:rPr>
                <w:rFonts w:hint="eastAsia" w:ascii="仿宋_GB2312" w:hAnsi="仿宋_GB2312" w:eastAsia="仿宋_GB2312" w:cs="仿宋_GB2312"/>
                <w:b/>
                <w:bCs/>
                <w:sz w:val="24"/>
                <w:szCs w:val="24"/>
                <w:vertAlign w:val="baseline"/>
                <w:lang w:val="en-US" w:eastAsia="zh-CN"/>
              </w:rPr>
              <w:t>未经批准的，不得转移</w:t>
            </w:r>
            <w:r>
              <w:rPr>
                <w:rFonts w:hint="eastAsia" w:ascii="仿宋_GB2312" w:hAnsi="仿宋_GB2312" w:eastAsia="仿宋_GB2312" w:cs="仿宋_GB2312"/>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转移固体废物出省、自治区、直辖市行政区域利用的，应当报固体废物移出地的省、自治区、直辖市人民政府生态环境主管部门备案</w:t>
            </w:r>
            <w:r>
              <w:rPr>
                <w:rFonts w:hint="eastAsia" w:ascii="仿宋_GB2312" w:hAnsi="仿宋_GB2312" w:eastAsia="仿宋_GB2312" w:cs="仿宋_GB2312"/>
                <w:b w:val="0"/>
                <w:bCs w:val="0"/>
                <w:sz w:val="24"/>
                <w:szCs w:val="24"/>
                <w:vertAlign w:val="baseline"/>
                <w:lang w:val="en-US" w:eastAsia="zh-CN"/>
              </w:rPr>
              <w:t>。移出地的省、自治区、直辖市人民政府生态环境主管部门应当将备案信息通报接受地的省、自治区、直辖市人民政府生态环境主管部门。</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违反《中华人民共和国固体废物污染环境防治法》的法律责任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366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21" w:type="dxa"/>
            <w:vAlign w:val="center"/>
          </w:tcPr>
          <w:p>
            <w:pPr>
              <w:numPr>
                <w:ilvl w:val="0"/>
                <w:numId w:val="0"/>
              </w:num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法律条款</w:t>
            </w:r>
          </w:p>
        </w:tc>
        <w:tc>
          <w:tcPr>
            <w:tcW w:w="3660" w:type="dxa"/>
            <w:vAlign w:val="center"/>
          </w:tcPr>
          <w:p>
            <w:pPr>
              <w:numPr>
                <w:ilvl w:val="0"/>
                <w:numId w:val="0"/>
              </w:num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违法行为</w:t>
            </w:r>
          </w:p>
        </w:tc>
        <w:tc>
          <w:tcPr>
            <w:tcW w:w="2841" w:type="dxa"/>
            <w:vAlign w:val="center"/>
          </w:tcPr>
          <w:p>
            <w:pPr>
              <w:numPr>
                <w:ilvl w:val="0"/>
                <w:numId w:val="0"/>
              </w:num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《固废法》第一百零二条</w:t>
            </w:r>
          </w:p>
        </w:tc>
        <w:tc>
          <w:tcPr>
            <w:tcW w:w="3660" w:type="dxa"/>
            <w:vAlign w:val="top"/>
          </w:tcPr>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（一）产生、收集、贮存、运输、利用、处置固体废物的单位未依法及时公开固体废物污染环境防治信息的；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（二）生活垃圾处理单位未按照国家有关规定安装使用监测设备、实时监测污染物的排放情况并公开污染排放数据的；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（三）将列入限期淘汰名录被淘汰的设备转让给他人使用的；　</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（四）在生态保护红线区域、永久基本农田集中区域和其他需要特别保护的区域内，建设工业固体废物、危险废物集中贮存、利用、处置的设施、场所和生活垃圾填埋场的；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五）转移固体废物出省、自治区、直辖市行政区域贮存、处置未经批准的；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r>
              <w:rPr>
                <w:rFonts w:hint="default" w:ascii="仿宋_GB2312" w:hAnsi="仿宋_GB2312" w:eastAsia="仿宋_GB2312" w:cs="仿宋_GB2312"/>
                <w:b w:val="0"/>
                <w:bCs w:val="0"/>
                <w:sz w:val="24"/>
                <w:szCs w:val="24"/>
                <w:vertAlign w:val="baseline"/>
                <w:lang w:val="en-US" w:eastAsia="zh-CN"/>
              </w:rPr>
              <w:t>六）转移固体废物出省、自治区、直辖市行政区域利用未报备案的；　</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（七）擅自倾倒、堆放、丢弃、遗撒工业固体废物，或者未采取相应防范措施，造成工业固体废物扬散、流失、渗漏或者其他环境污染的；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（八）产生工业固体废物的单位未建立固体废物管理台账并如实记录的；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（九）产生工业固体废物的单位违反本法规定委托他人运输、利用、处置工业固体废物的；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（十）贮存工业固体废物未采取符合国家环境保护标准的防护措施的；</w:t>
            </w:r>
          </w:p>
          <w:p>
            <w:pPr>
              <w:numPr>
                <w:ilvl w:val="0"/>
                <w:numId w:val="0"/>
              </w:numPr>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（十一）单位和其他生产经营者违反固体废物管理其他要求，污染环境、破坏生态的。</w:t>
            </w:r>
          </w:p>
        </w:tc>
        <w:tc>
          <w:tcPr>
            <w:tcW w:w="2841" w:type="dxa"/>
            <w:vAlign w:val="center"/>
          </w:tcPr>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有第一项、第八项行为之一，</w:t>
            </w:r>
            <w:r>
              <w:rPr>
                <w:rFonts w:hint="default" w:ascii="仿宋_GB2312" w:hAnsi="仿宋_GB2312" w:eastAsia="仿宋_GB2312" w:cs="仿宋_GB2312"/>
                <w:b/>
                <w:bCs/>
                <w:sz w:val="24"/>
                <w:szCs w:val="24"/>
                <w:vertAlign w:val="baseline"/>
                <w:lang w:val="en-US" w:eastAsia="zh-CN"/>
              </w:rPr>
              <w:t>处五万元以上二十万元以下的罚款</w:t>
            </w:r>
            <w:r>
              <w:rPr>
                <w:rFonts w:hint="default" w:ascii="仿宋_GB2312" w:hAnsi="仿宋_GB2312" w:eastAsia="仿宋_GB2312" w:cs="仿宋_GB2312"/>
                <w:b w:val="0"/>
                <w:bCs w:val="0"/>
                <w:sz w:val="24"/>
                <w:szCs w:val="24"/>
                <w:vertAlign w:val="baseline"/>
                <w:lang w:val="en-US" w:eastAsia="zh-CN"/>
              </w:rPr>
              <w:t>；</w:t>
            </w:r>
          </w:p>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有第二项、第三项、第四项、第五项、第六项、第九项、第十项、第十一项行为之一，</w:t>
            </w:r>
            <w:r>
              <w:rPr>
                <w:rFonts w:hint="default" w:ascii="仿宋_GB2312" w:hAnsi="仿宋_GB2312" w:eastAsia="仿宋_GB2312" w:cs="仿宋_GB2312"/>
                <w:b/>
                <w:bCs/>
                <w:sz w:val="24"/>
                <w:szCs w:val="24"/>
                <w:vertAlign w:val="baseline"/>
                <w:lang w:val="en-US" w:eastAsia="zh-CN"/>
              </w:rPr>
              <w:t>处十万元以上一百万元以下的罚款</w:t>
            </w:r>
            <w:r>
              <w:rPr>
                <w:rFonts w:hint="default" w:ascii="仿宋_GB2312" w:hAnsi="仿宋_GB2312" w:eastAsia="仿宋_GB2312" w:cs="仿宋_GB2312"/>
                <w:b w:val="0"/>
                <w:bCs w:val="0"/>
                <w:sz w:val="24"/>
                <w:szCs w:val="24"/>
                <w:vertAlign w:val="baseline"/>
                <w:lang w:val="en-US" w:eastAsia="zh-CN"/>
              </w:rPr>
              <w:t>；</w:t>
            </w:r>
          </w:p>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有第七项行为，处</w:t>
            </w:r>
            <w:r>
              <w:rPr>
                <w:rFonts w:hint="default" w:ascii="仿宋_GB2312" w:hAnsi="仿宋_GB2312" w:eastAsia="仿宋_GB2312" w:cs="仿宋_GB2312"/>
                <w:b/>
                <w:bCs/>
                <w:sz w:val="24"/>
                <w:szCs w:val="24"/>
                <w:vertAlign w:val="baseline"/>
                <w:lang w:val="en-US" w:eastAsia="zh-CN"/>
              </w:rPr>
              <w:t>所需处置费用一倍以上三倍以下的罚款，所需处置费用不足十万元的，按十万元计算</w:t>
            </w:r>
            <w:r>
              <w:rPr>
                <w:rFonts w:hint="eastAsia" w:ascii="仿宋_GB2312" w:hAnsi="仿宋_GB2312" w:eastAsia="仿宋_GB2312" w:cs="仿宋_GB2312"/>
                <w:b w:val="0"/>
                <w:bCs w:val="0"/>
                <w:sz w:val="24"/>
                <w:szCs w:val="24"/>
                <w:vertAlign w:val="baseline"/>
                <w:lang w:val="en-US" w:eastAsia="zh-CN"/>
              </w:rPr>
              <w:t>；</w:t>
            </w:r>
          </w:p>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对第十一项行为的处罚，有关法律、行政法规另有规定的，适用其规定</w:t>
            </w: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《固废法》</w:t>
            </w:r>
            <w:r>
              <w:rPr>
                <w:rFonts w:hint="default" w:ascii="仿宋_GB2312" w:hAnsi="仿宋_GB2312" w:eastAsia="仿宋_GB2312" w:cs="仿宋_GB2312"/>
                <w:b w:val="0"/>
                <w:bCs w:val="0"/>
                <w:sz w:val="24"/>
                <w:szCs w:val="24"/>
                <w:vertAlign w:val="baseline"/>
                <w:lang w:val="en-US" w:eastAsia="zh-CN"/>
              </w:rPr>
              <w:t>第一百二十条</w:t>
            </w:r>
          </w:p>
        </w:tc>
        <w:tc>
          <w:tcPr>
            <w:tcW w:w="3660" w:type="dxa"/>
            <w:vAlign w:val="center"/>
          </w:tcPr>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（一）擅自倾倒、堆放、丢弃、遗撒固体废物，造成严重后果的</w:t>
            </w:r>
            <w:r>
              <w:rPr>
                <w:rFonts w:hint="eastAsia" w:ascii="仿宋_GB2312" w:hAnsi="仿宋_GB2312" w:eastAsia="仿宋_GB2312" w:cs="仿宋_GB2312"/>
                <w:b w:val="0"/>
                <w:bCs w:val="0"/>
                <w:sz w:val="24"/>
                <w:szCs w:val="24"/>
                <w:vertAlign w:val="baseline"/>
                <w:lang w:val="en-US" w:eastAsia="zh-CN"/>
              </w:rPr>
              <w:t>。</w:t>
            </w:r>
          </w:p>
        </w:tc>
        <w:tc>
          <w:tcPr>
            <w:tcW w:w="2841" w:type="dxa"/>
            <w:vAlign w:val="center"/>
          </w:tcPr>
          <w:p>
            <w:pPr>
              <w:numPr>
                <w:ilvl w:val="0"/>
                <w:numId w:val="0"/>
              </w:numPr>
              <w:jc w:val="both"/>
              <w:rPr>
                <w:rFonts w:hint="default"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24"/>
                <w:szCs w:val="24"/>
                <w:vertAlign w:val="baseline"/>
                <w:lang w:val="en-US" w:eastAsia="zh-CN"/>
              </w:rPr>
              <w:t>有</w:t>
            </w:r>
            <w:r>
              <w:rPr>
                <w:rFonts w:hint="eastAsia" w:ascii="仿宋_GB2312" w:hAnsi="仿宋_GB2312" w:eastAsia="仿宋_GB2312" w:cs="仿宋_GB2312"/>
                <w:b w:val="0"/>
                <w:bCs w:val="0"/>
                <w:sz w:val="24"/>
                <w:szCs w:val="24"/>
                <w:vertAlign w:val="baseline"/>
                <w:lang w:val="en-US" w:eastAsia="zh-CN"/>
              </w:rPr>
              <w:t>第一项行为</w:t>
            </w:r>
            <w:r>
              <w:rPr>
                <w:rFonts w:hint="default" w:ascii="仿宋_GB2312" w:hAnsi="仿宋_GB2312" w:eastAsia="仿宋_GB2312" w:cs="仿宋_GB2312"/>
                <w:b w:val="0"/>
                <w:bCs w:val="0"/>
                <w:sz w:val="24"/>
                <w:szCs w:val="24"/>
                <w:vertAlign w:val="baseline"/>
                <w:lang w:val="en-US" w:eastAsia="zh-CN"/>
              </w:rPr>
              <w:t>，尚不构成犯罪的，由公安机关对法定代表人、主要负责人、直接负责的主管人员和其他责任人员</w:t>
            </w:r>
            <w:r>
              <w:rPr>
                <w:rFonts w:hint="default" w:ascii="仿宋_GB2312" w:hAnsi="仿宋_GB2312" w:eastAsia="仿宋_GB2312" w:cs="仿宋_GB2312"/>
                <w:b/>
                <w:bCs/>
                <w:sz w:val="24"/>
                <w:szCs w:val="24"/>
                <w:vertAlign w:val="baseline"/>
                <w:lang w:val="en-US" w:eastAsia="zh-CN"/>
              </w:rPr>
              <w:t>处十日以上十五日以下的拘留；情节较轻的，处五日以上十日以下的拘留</w:t>
            </w: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一般工业固废贮存，处置场提示标识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default" w:ascii="仿宋_GB2312" w:hAnsi="仿宋_GB2312" w:eastAsia="仿宋_GB2312" w:cs="仿宋_GB2312"/>
          <w:b w:val="0"/>
          <w:bCs w:val="0"/>
          <w:sz w:val="32"/>
          <w:szCs w:val="32"/>
          <w:lang w:val="en-US" w:eastAsia="zh-CN"/>
        </w:rPr>
        <w:t>环境保护图形标志-固体废物贮存(处置)场</w:t>
      </w:r>
      <w:r>
        <w:rPr>
          <w:rFonts w:hint="eastAsia" w:ascii="仿宋_GB2312" w:hAnsi="仿宋_GB2312" w:eastAsia="仿宋_GB2312" w:cs="仿宋_GB2312"/>
          <w:b w:val="0"/>
          <w:bCs w:val="0"/>
          <w:sz w:val="32"/>
          <w:szCs w:val="32"/>
          <w:lang w:val="en-US" w:eastAsia="zh-CN"/>
        </w:rPr>
        <w:t>(GB 15562.2-1995)》，一般固体废物贮存，处置场提示标识如下：</w:t>
      </w:r>
    </w:p>
    <w:p>
      <w:pPr>
        <w:numPr>
          <w:ilvl w:val="0"/>
          <w:numId w:val="0"/>
        </w:numPr>
        <w:jc w:val="center"/>
      </w:pPr>
      <w:r>
        <w:rPr>
          <w:rFonts w:hint="default" w:ascii="仿宋_GB2312" w:hAnsi="仿宋_GB2312" w:eastAsia="仿宋_GB2312" w:cs="仿宋_GB2312"/>
          <w:b w:val="0"/>
          <w:bCs w:val="0"/>
          <w:sz w:val="32"/>
          <w:szCs w:val="32"/>
          <w:lang w:val="en-US" w:eastAsia="zh-CN"/>
        </w:rPr>
        <w:drawing>
          <wp:inline distT="0" distB="0" distL="114300" distR="114300">
            <wp:extent cx="4709795" cy="2901950"/>
            <wp:effectExtent l="0" t="0" r="14605" b="12700"/>
            <wp:docPr id="1" name="图片 1" descr="3adf91cddad9aeac9ef2bae27c519d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3adf91cddad9aeac9ef2bae27c519d4"/>
                    <pic:cNvPicPr>
                      <a:picLocks noChangeAspect="true"/>
                    </pic:cNvPicPr>
                  </pic:nvPicPr>
                  <pic:blipFill>
                    <a:blip r:embed="rId4"/>
                    <a:srcRect l="2600" t="-5263"/>
                    <a:stretch>
                      <a:fillRect/>
                    </a:stretch>
                  </pic:blipFill>
                  <pic:spPr>
                    <a:xfrm>
                      <a:off x="0" y="0"/>
                      <a:ext cx="4709795" cy="2901950"/>
                    </a:xfrm>
                    <a:prstGeom prst="rect">
                      <a:avLst/>
                    </a:prstGeom>
                    <a:noFill/>
                    <a:ln>
                      <a:noFill/>
                    </a:ln>
                  </pic:spPr>
                </pic:pic>
              </a:graphicData>
            </a:graphic>
          </wp:inline>
        </w:drawing>
      </w:r>
    </w:p>
    <w:sectPr>
      <w:pgSz w:w="11850" w:h="16783"/>
      <w:pgMar w:top="1440" w:right="1558"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81E33"/>
    <w:multiLevelType w:val="singleLevel"/>
    <w:tmpl w:val="2C781E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85F38"/>
    <w:rsid w:val="01CE3AFA"/>
    <w:rsid w:val="03530491"/>
    <w:rsid w:val="09BD49D9"/>
    <w:rsid w:val="0A137D40"/>
    <w:rsid w:val="0F251230"/>
    <w:rsid w:val="155E4A87"/>
    <w:rsid w:val="1A7B49CB"/>
    <w:rsid w:val="1B5E4831"/>
    <w:rsid w:val="1CBD3729"/>
    <w:rsid w:val="266E4619"/>
    <w:rsid w:val="2EE22DAE"/>
    <w:rsid w:val="307534C8"/>
    <w:rsid w:val="311C6E49"/>
    <w:rsid w:val="325669AC"/>
    <w:rsid w:val="35F45B88"/>
    <w:rsid w:val="3723044C"/>
    <w:rsid w:val="37DF189F"/>
    <w:rsid w:val="3A2A6E51"/>
    <w:rsid w:val="40CB49D9"/>
    <w:rsid w:val="410E48BA"/>
    <w:rsid w:val="47700D43"/>
    <w:rsid w:val="51EB568F"/>
    <w:rsid w:val="56000D18"/>
    <w:rsid w:val="560A5ED9"/>
    <w:rsid w:val="56C20704"/>
    <w:rsid w:val="57001874"/>
    <w:rsid w:val="59085F38"/>
    <w:rsid w:val="5FE52686"/>
    <w:rsid w:val="60CC1D0D"/>
    <w:rsid w:val="60F966B3"/>
    <w:rsid w:val="61FD2D56"/>
    <w:rsid w:val="61FE58C5"/>
    <w:rsid w:val="64093273"/>
    <w:rsid w:val="66AB67C3"/>
    <w:rsid w:val="6C4544DD"/>
    <w:rsid w:val="6E583E6A"/>
    <w:rsid w:val="77AC8173"/>
    <w:rsid w:val="7A0141EF"/>
    <w:rsid w:val="7DC56856"/>
    <w:rsid w:val="7E2F40F8"/>
    <w:rsid w:val="7E5F1701"/>
    <w:rsid w:val="7F196C19"/>
    <w:rsid w:val="FBDF4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二级"/>
    <w:basedOn w:val="1"/>
    <w:next w:val="4"/>
    <w:link w:val="10"/>
    <w:qFormat/>
    <w:uiPriority w:val="0"/>
    <w:pPr>
      <w:ind w:firstLine="640" w:firstLineChars="200"/>
    </w:pPr>
    <w:rPr>
      <w:rFonts w:ascii="楷体_GB2312" w:hAnsi="楷体_GB2312" w:eastAsia="楷体_GB2312" w:cs="Times New Roman"/>
      <w:sz w:val="32"/>
      <w:szCs w:val="32"/>
    </w:rPr>
  </w:style>
  <w:style w:type="character" w:customStyle="1" w:styleId="10">
    <w:name w:val="公文二级 Char"/>
    <w:link w:val="9"/>
    <w:qFormat/>
    <w:uiPriority w:val="0"/>
    <w:rPr>
      <w:rFonts w:ascii="楷体_GB2312" w:hAnsi="楷体_GB2312" w:eastAsia="楷体_GB2312" w:cs="Times New Roman"/>
      <w:sz w:val="32"/>
      <w:szCs w:val="32"/>
    </w:rPr>
  </w:style>
  <w:style w:type="paragraph" w:customStyle="1" w:styleId="11">
    <w:name w:val="手动目录1"/>
    <w:qFormat/>
    <w:uiPriority w:val="0"/>
    <w:pPr>
      <w:ind w:leftChars="0"/>
    </w:pPr>
    <w:rPr>
      <w:rFonts w:ascii="Times New Roman" w:hAnsi="Times New Roman" w:eastAsia="仿宋_GB2312"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2021-05-25T20:39:00Z</dcterms:created>
  <dc:creator>zengsm</dc:creator>
  <cp:lastModifiedBy>stlgg</cp:lastModifiedBy>
  <cp:lastPrinted>2021-05-27T19:37:00Z</cp:lastPrinted>
  <dcterms:modified xsi:type="dcterms:W3CDTF">2023-08-25T16:49:45Z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1D6F58CF1A5941489C822B3AE324C777</vt:lpwstr>
  </property>
</Properties>
</file>