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lang w:eastAsia="zh-CN"/>
        </w:rPr>
      </w:pPr>
      <w:r>
        <w:rPr>
          <w:rFonts w:hint="eastAsia"/>
          <w:b/>
          <w:bCs/>
          <w:sz w:val="28"/>
          <w:szCs w:val="36"/>
          <w:lang w:val="en-US" w:eastAsia="zh-CN"/>
        </w:rPr>
        <w:t>宝龙智造园停车场充电桩采购</w:t>
      </w:r>
      <w:r>
        <w:rPr>
          <w:rFonts w:hint="eastAsia"/>
          <w:b/>
          <w:bCs/>
          <w:sz w:val="28"/>
          <w:szCs w:val="36"/>
          <w:lang w:eastAsia="zh-CN"/>
        </w:rPr>
        <w:t>项目综合评分表</w:t>
      </w:r>
    </w:p>
    <w:tbl>
      <w:tblPr>
        <w:tblStyle w:val="5"/>
        <w:tblW w:w="8868" w:type="dxa"/>
        <w:jc w:val="center"/>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4F81BD"/>
        <w:tblLayout w:type="fixed"/>
        <w:tblCellMar>
          <w:top w:w="0" w:type="dxa"/>
          <w:left w:w="0" w:type="dxa"/>
          <w:bottom w:w="0" w:type="dxa"/>
          <w:right w:w="0" w:type="dxa"/>
        </w:tblCellMar>
      </w:tblPr>
      <w:tblGrid>
        <w:gridCol w:w="711"/>
        <w:gridCol w:w="855"/>
        <w:gridCol w:w="4890"/>
        <w:gridCol w:w="1485"/>
        <w:gridCol w:w="927"/>
      </w:tblGrid>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4F81BD"/>
          <w:tblCellMar>
            <w:top w:w="0" w:type="dxa"/>
            <w:left w:w="0" w:type="dxa"/>
            <w:bottom w:w="0" w:type="dxa"/>
            <w:right w:w="0" w:type="dxa"/>
          </w:tblCellMar>
        </w:tblPrEx>
        <w:trPr>
          <w:trHeight w:val="620" w:hRule="atLeast"/>
          <w:tblHeader/>
          <w:jc w:val="center"/>
        </w:trPr>
        <w:tc>
          <w:tcPr>
            <w:tcW w:w="8868" w:type="dxa"/>
            <w:gridSpan w:val="5"/>
            <w:tcBorders>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keepNext w:val="0"/>
              <w:keepLines w:val="0"/>
              <w:widowControl/>
              <w:suppressLineNumbers w:val="0"/>
              <w:jc w:val="center"/>
              <w:rPr>
                <w:rFonts w:ascii="宋体" w:hAnsi="宋体" w:eastAsia="宋体" w:cs="宋体"/>
                <w:b w:val="0"/>
                <w:bCs w:val="0"/>
                <w:kern w:val="2"/>
                <w:sz w:val="21"/>
                <w:szCs w:val="21"/>
              </w:rPr>
            </w:pPr>
            <w:r>
              <w:rPr>
                <w:rFonts w:eastAsia="PingFang SC Regular"/>
                <w:kern w:val="2"/>
                <w:sz w:val="36"/>
                <w:szCs w:val="36"/>
              </w:rPr>
              <w:t>综合评分表</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620" w:hRule="atLeast"/>
          <w:tblHeader/>
          <w:jc w:val="center"/>
        </w:trPr>
        <w:tc>
          <w:tcPr>
            <w:tcW w:w="711" w:type="dxa"/>
            <w:tcBorders>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rPr>
            </w:pPr>
            <w:r>
              <w:rPr>
                <w:rFonts w:ascii="宋体" w:hAnsi="宋体" w:eastAsia="宋体" w:cs="宋体"/>
                <w:b/>
                <w:bCs/>
                <w:kern w:val="2"/>
                <w:sz w:val="21"/>
                <w:szCs w:val="21"/>
              </w:rPr>
              <w:t>序号</w:t>
            </w:r>
          </w:p>
        </w:tc>
        <w:tc>
          <w:tcPr>
            <w:tcW w:w="855"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b/>
                <w:bCs/>
                <w:kern w:val="2"/>
                <w:sz w:val="21"/>
                <w:szCs w:val="21"/>
              </w:rPr>
            </w:pPr>
            <w:r>
              <w:rPr>
                <w:rFonts w:ascii="宋体" w:hAnsi="宋体" w:eastAsia="宋体" w:cs="宋体"/>
                <w:b/>
                <w:bCs/>
                <w:kern w:val="2"/>
                <w:sz w:val="21"/>
                <w:szCs w:val="21"/>
              </w:rPr>
              <w:t>评审</w:t>
            </w:r>
          </w:p>
          <w:p>
            <w:pPr>
              <w:tabs>
                <w:tab w:val="left" w:pos="420"/>
              </w:tabs>
              <w:spacing w:before="0" w:line="20" w:lineRule="atLeast"/>
              <w:jc w:val="center"/>
              <w:rPr>
                <w:rFonts w:hint="default"/>
              </w:rPr>
            </w:pPr>
            <w:r>
              <w:rPr>
                <w:rFonts w:ascii="宋体" w:hAnsi="宋体" w:eastAsia="宋体" w:cs="宋体"/>
                <w:b/>
                <w:bCs/>
                <w:kern w:val="2"/>
                <w:sz w:val="21"/>
                <w:szCs w:val="21"/>
              </w:rPr>
              <w:t>项目</w:t>
            </w:r>
          </w:p>
        </w:tc>
        <w:tc>
          <w:tcPr>
            <w:tcW w:w="4890"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s>
              <w:spacing w:before="0" w:line="20" w:lineRule="atLeast"/>
              <w:jc w:val="center"/>
              <w:rPr>
                <w:rFonts w:hint="default"/>
              </w:rPr>
            </w:pPr>
            <w:r>
              <w:rPr>
                <w:rFonts w:ascii="宋体" w:hAnsi="宋体" w:eastAsia="宋体" w:cs="宋体"/>
                <w:b/>
                <w:bCs/>
                <w:kern w:val="2"/>
                <w:sz w:val="21"/>
                <w:szCs w:val="21"/>
              </w:rPr>
              <w:t>评审标准</w:t>
            </w:r>
          </w:p>
        </w:tc>
        <w:tc>
          <w:tcPr>
            <w:tcW w:w="1485"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 w:val="left" w:pos="840"/>
                <w:tab w:val="left" w:pos="1260"/>
              </w:tabs>
              <w:spacing w:before="0" w:line="20" w:lineRule="atLeast"/>
              <w:jc w:val="center"/>
              <w:rPr>
                <w:rFonts w:hint="default"/>
              </w:rPr>
            </w:pPr>
            <w:r>
              <w:rPr>
                <w:rFonts w:ascii="宋体" w:hAnsi="宋体" w:eastAsia="宋体" w:cs="宋体"/>
                <w:b/>
                <w:bCs/>
                <w:kern w:val="2"/>
                <w:sz w:val="21"/>
                <w:szCs w:val="21"/>
              </w:rPr>
              <w:t>证明材料</w:t>
            </w:r>
          </w:p>
        </w:tc>
        <w:tc>
          <w:tcPr>
            <w:tcW w:w="927"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rPr>
            </w:pPr>
            <w:r>
              <w:rPr>
                <w:rFonts w:ascii="宋体" w:hAnsi="宋体" w:eastAsia="宋体" w:cs="宋体"/>
                <w:b/>
                <w:bCs/>
                <w:kern w:val="2"/>
                <w:sz w:val="21"/>
                <w:szCs w:val="21"/>
              </w:rPr>
              <w:t>分值</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131" w:hRule="atLeast"/>
          <w:jc w:val="center"/>
        </w:trPr>
        <w:tc>
          <w:tcPr>
            <w:tcW w:w="711"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w:t>
            </w:r>
          </w:p>
        </w:tc>
        <w:tc>
          <w:tcPr>
            <w:tcW w:w="85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rPr>
              <w:t>报价得分</w:t>
            </w:r>
          </w:p>
        </w:tc>
        <w:tc>
          <w:tcPr>
            <w:tcW w:w="4890"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lang w:val="en-US" w:eastAsia="zh-CN"/>
              </w:rPr>
            </w:pPr>
            <w:r>
              <w:rPr>
                <w:rFonts w:hint="eastAsia"/>
                <w:lang w:val="en-US" w:eastAsia="zh-CN"/>
              </w:rPr>
              <w:t>符合要求且报价最低的为基准价，其价格分为满分。</w:t>
            </w:r>
          </w:p>
          <w:p>
            <w:pPr>
              <w:widowControl w:val="0"/>
              <w:tabs>
                <w:tab w:val="left" w:pos="420"/>
                <w:tab w:val="left" w:pos="840"/>
                <w:tab w:val="left" w:pos="1260"/>
              </w:tabs>
              <w:spacing w:before="0" w:line="20" w:lineRule="atLeast"/>
              <w:jc w:val="center"/>
              <w:rPr>
                <w:rFonts w:hint="eastAsia"/>
                <w:lang w:val="en-US" w:eastAsia="zh-CN"/>
              </w:rPr>
            </w:pPr>
            <w:r>
              <w:rPr>
                <w:rFonts w:hint="eastAsia"/>
                <w:lang w:val="en-US" w:eastAsia="zh-CN"/>
              </w:rPr>
              <w:t>其他响应承包商的价格分统一按照报价得分=(基准价格/响应报价)×30计算。</w:t>
            </w:r>
          </w:p>
          <w:p>
            <w:pPr>
              <w:keepNext w:val="0"/>
              <w:keepLines w:val="0"/>
              <w:widowControl/>
              <w:suppressLineNumbers w:val="0"/>
              <w:jc w:val="left"/>
              <w:rPr>
                <w:rFonts w:hint="eastAsia"/>
                <w:lang w:val="en-US" w:eastAsia="zh-CN"/>
              </w:rPr>
            </w:pPr>
            <w:r>
              <w:rPr>
                <w:rFonts w:hint="eastAsia" w:ascii="宋体" w:hAnsi="宋体" w:eastAsia="宋体" w:cs="宋体"/>
                <w:kern w:val="2"/>
                <w:sz w:val="21"/>
                <w:szCs w:val="21"/>
                <w:lang w:val="en-US" w:eastAsia="zh-CN"/>
              </w:rPr>
              <w:t>注：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c>
          <w:tcPr>
            <w:tcW w:w="148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rPr>
              <w:t>提供响应报价承诺函，并加盖公章</w:t>
            </w:r>
          </w:p>
        </w:tc>
        <w:tc>
          <w:tcPr>
            <w:tcW w:w="927"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rPr>
              <w:t>30分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784" w:hRule="atLeast"/>
          <w:jc w:val="center"/>
        </w:trPr>
        <w:tc>
          <w:tcPr>
            <w:tcW w:w="711"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w:t>
            </w:r>
          </w:p>
        </w:tc>
        <w:tc>
          <w:tcPr>
            <w:tcW w:w="85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企业资质</w:t>
            </w:r>
          </w:p>
        </w:tc>
        <w:tc>
          <w:tcPr>
            <w:tcW w:w="4890"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numPr>
                <w:ilvl w:val="0"/>
                <w:numId w:val="0"/>
              </w:numPr>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bidi="ar-SA"/>
              </w:rPr>
              <w:t>1、</w:t>
            </w:r>
            <w:r>
              <w:rPr>
                <w:rFonts w:hint="eastAsia" w:ascii="宋体" w:hAnsi="宋体" w:cs="宋体"/>
                <w:kern w:val="2"/>
                <w:sz w:val="21"/>
                <w:szCs w:val="21"/>
                <w:lang w:val="en-US" w:eastAsia="zh-CN"/>
              </w:rPr>
              <w:t>响应单位</w:t>
            </w:r>
            <w:r>
              <w:rPr>
                <w:rFonts w:hint="eastAsia" w:ascii="宋体" w:hAnsi="宋体" w:eastAsia="宋体" w:cs="宋体"/>
                <w:kern w:val="2"/>
                <w:sz w:val="21"/>
                <w:szCs w:val="21"/>
                <w:lang w:val="en-US" w:eastAsia="zh-CN"/>
              </w:rPr>
              <w:t>拥有国家高新技术企业证书的得3分；</w:t>
            </w:r>
          </w:p>
          <w:p>
            <w:pPr>
              <w:widowControl w:val="0"/>
              <w:numPr>
                <w:ilvl w:val="0"/>
                <w:numId w:val="0"/>
              </w:numPr>
              <w:tabs>
                <w:tab w:val="left" w:pos="420"/>
                <w:tab w:val="left" w:pos="840"/>
                <w:tab w:val="left" w:pos="1260"/>
              </w:tabs>
              <w:spacing w:before="0" w:line="240" w:lineRule="auto"/>
              <w:jc w:val="left"/>
              <w:rPr>
                <w:rFonts w:hint="eastAsia" w:ascii="宋体" w:hAnsi="宋体" w:eastAsia="宋体" w:cs="宋体"/>
                <w:kern w:val="2"/>
                <w:sz w:val="21"/>
                <w:szCs w:val="21"/>
                <w:lang w:val="en-US" w:eastAsia="zh-CN"/>
              </w:rPr>
            </w:pPr>
            <w:r>
              <w:rPr>
                <w:rFonts w:hint="default" w:ascii="宋体" w:hAnsi="宋体" w:eastAsia="宋体" w:cs="宋体"/>
                <w:kern w:val="2"/>
                <w:sz w:val="21"/>
                <w:szCs w:val="21"/>
                <w:lang w:val="en-US" w:eastAsia="zh-CN" w:bidi="ar-SA"/>
              </w:rPr>
              <w:t>2、</w:t>
            </w:r>
            <w:r>
              <w:rPr>
                <w:rFonts w:hint="eastAsia" w:ascii="宋体" w:hAnsi="宋体" w:cs="宋体"/>
                <w:kern w:val="2"/>
                <w:sz w:val="21"/>
                <w:szCs w:val="21"/>
                <w:lang w:val="en-US" w:eastAsia="zh-CN"/>
              </w:rPr>
              <w:t>响应单位</w:t>
            </w:r>
            <w:r>
              <w:rPr>
                <w:rFonts w:hint="eastAsia" w:ascii="宋体" w:hAnsi="宋体" w:eastAsia="宋体" w:cs="宋体"/>
                <w:kern w:val="2"/>
                <w:sz w:val="21"/>
                <w:szCs w:val="21"/>
                <w:lang w:val="en-US" w:eastAsia="zh-CN"/>
              </w:rPr>
              <w:t>拥有专精特新中小企业证书的得3分；</w:t>
            </w:r>
          </w:p>
          <w:p>
            <w:pPr>
              <w:pStyle w:val="2"/>
              <w:spacing w:line="240" w:lineRule="auto"/>
              <w:ind w:left="0" w:leftChars="0" w:firstLine="0" w:firstLineChars="0"/>
              <w:rPr>
                <w:rFonts w:hint="eastAsia" w:ascii="宋体" w:hAnsi="宋体" w:cs="宋体"/>
                <w:kern w:val="2"/>
                <w:sz w:val="21"/>
                <w:szCs w:val="21"/>
                <w:lang w:val="en-US" w:eastAsia="zh-CN"/>
              </w:rPr>
            </w:pPr>
            <w:r>
              <w:rPr>
                <w:rFonts w:hint="eastAsia" w:ascii="宋体" w:hAnsi="宋体" w:cs="宋体"/>
                <w:kern w:val="2"/>
                <w:sz w:val="21"/>
                <w:szCs w:val="21"/>
                <w:lang w:val="en-US" w:eastAsia="zh-CN"/>
              </w:rPr>
              <w:t>3、响应单位拥有充电桩专利的数量，每拥有1个专利，得0.2分，最高得4分。</w:t>
            </w:r>
          </w:p>
          <w:p>
            <w:pPr>
              <w:spacing w:line="240" w:lineRule="auto"/>
              <w:rPr>
                <w:rFonts w:hint="default"/>
                <w:lang w:val="en-US" w:eastAsia="zh-CN"/>
              </w:rPr>
            </w:pPr>
            <w:r>
              <w:rPr>
                <w:rFonts w:hint="eastAsia" w:ascii="宋体" w:hAnsi="宋体" w:cs="宋体"/>
                <w:kern w:val="2"/>
                <w:sz w:val="21"/>
                <w:szCs w:val="21"/>
                <w:lang w:val="en-US" w:eastAsia="zh-CN"/>
              </w:rPr>
              <w:t>4、近2年（自公告日往前推算），响应单位无行政处罚记录的，得2分，每有一个行政处罚记录扣1分，最多扣2分。</w:t>
            </w:r>
          </w:p>
        </w:tc>
        <w:tc>
          <w:tcPr>
            <w:tcW w:w="148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提供对应的证书</w:t>
            </w:r>
          </w:p>
        </w:tc>
        <w:tc>
          <w:tcPr>
            <w:tcW w:w="927"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12分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784" w:hRule="atLeast"/>
          <w:jc w:val="center"/>
        </w:trPr>
        <w:tc>
          <w:tcPr>
            <w:tcW w:w="711"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3</w:t>
            </w:r>
          </w:p>
        </w:tc>
        <w:tc>
          <w:tcPr>
            <w:tcW w:w="85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设备技术要求</w:t>
            </w:r>
          </w:p>
        </w:tc>
        <w:tc>
          <w:tcPr>
            <w:tcW w:w="4890"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numPr>
                <w:ilvl w:val="0"/>
                <w:numId w:val="0"/>
              </w:numPr>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满足招标文件技术指标及 《电动汽车传导充电系统》（GB/T 18487.1-2015）标准的符合情况，其中采购文件明确的技术参数，由响应单位提供参数说明，标准符合情况应提供对应设备型式试验检测报告，均满足要求的（无负偏离及型式试验无不符合项），得10分，每有一项负偏离的扣1分，扣减完为止。</w:t>
            </w:r>
          </w:p>
          <w:p>
            <w:pPr>
              <w:widowControl w:val="0"/>
              <w:numPr>
                <w:ilvl w:val="0"/>
                <w:numId w:val="0"/>
              </w:numPr>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注：1、根据技术参数响应情况进行打分，响应单位需根据采购文件对产品的技术指标、参数要求如实填写技术规格偏离表。</w:t>
            </w:r>
          </w:p>
          <w:p>
            <w:pPr>
              <w:pStyle w:val="2"/>
              <w:rPr>
                <w:rFonts w:hint="eastAsia" w:ascii="宋体" w:hAnsi="宋体" w:cs="宋体"/>
                <w:kern w:val="2"/>
                <w:sz w:val="21"/>
                <w:szCs w:val="21"/>
                <w:lang w:val="en-US" w:eastAsia="zh-CN"/>
              </w:rPr>
            </w:pPr>
            <w:r>
              <w:rPr>
                <w:rFonts w:hint="eastAsia" w:ascii="宋体" w:hAnsi="宋体" w:cs="宋体"/>
                <w:kern w:val="2"/>
                <w:sz w:val="21"/>
                <w:szCs w:val="21"/>
                <w:lang w:val="en-US" w:eastAsia="zh-CN"/>
              </w:rPr>
              <w:t>2、响应单位应提供拟使用设备的型式试验检测报告</w:t>
            </w:r>
          </w:p>
        </w:tc>
        <w:tc>
          <w:tcPr>
            <w:tcW w:w="148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w:t>
            </w:r>
            <w:bookmarkStart w:id="0" w:name="_GoBack"/>
            <w:bookmarkEnd w:id="0"/>
            <w:r>
              <w:rPr>
                <w:rFonts w:hint="eastAsia" w:ascii="宋体" w:hAnsi="宋体" w:eastAsia="宋体" w:cs="宋体"/>
                <w:kern w:val="2"/>
                <w:sz w:val="21"/>
                <w:szCs w:val="21"/>
                <w:lang w:val="en-US" w:eastAsia="zh-CN"/>
              </w:rPr>
              <w:t>供技术参数说明及偏离情况说明</w:t>
            </w:r>
          </w:p>
        </w:tc>
        <w:tc>
          <w:tcPr>
            <w:tcW w:w="927"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10分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810" w:hRule="atLeast"/>
          <w:jc w:val="center"/>
        </w:trPr>
        <w:tc>
          <w:tcPr>
            <w:tcW w:w="711"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4</w:t>
            </w:r>
          </w:p>
        </w:tc>
        <w:tc>
          <w:tcPr>
            <w:tcW w:w="85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项目安装实施方案</w:t>
            </w:r>
          </w:p>
        </w:tc>
        <w:tc>
          <w:tcPr>
            <w:tcW w:w="4890"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横向对比项目实施方案，根据项目实际情况，从工期，安全质量保证体系，安全文明施工、人员配置（管理人员及操作人员，并提供证书）等方面综合评价评优得11-15分，良得6-10分，中得1-5分，差得0分。</w:t>
            </w:r>
          </w:p>
        </w:tc>
        <w:tc>
          <w:tcPr>
            <w:tcW w:w="148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提供实施方案</w:t>
            </w:r>
          </w:p>
        </w:tc>
        <w:tc>
          <w:tcPr>
            <w:tcW w:w="927"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15分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131" w:hRule="atLeast"/>
          <w:jc w:val="center"/>
        </w:trPr>
        <w:tc>
          <w:tcPr>
            <w:tcW w:w="711"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5</w:t>
            </w:r>
          </w:p>
        </w:tc>
        <w:tc>
          <w:tcPr>
            <w:tcW w:w="85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both"/>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充电桩平台</w:t>
            </w:r>
          </w:p>
        </w:tc>
        <w:tc>
          <w:tcPr>
            <w:tcW w:w="4890"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pStyle w:val="2"/>
              <w:ind w:left="0" w:leftChars="0" w:firstLine="0" w:firstLineChars="0"/>
              <w:jc w:val="left"/>
              <w:rPr>
                <w:rFonts w:hint="eastAsia"/>
                <w:lang w:val="en-US" w:eastAsia="zh-CN"/>
              </w:rPr>
            </w:pPr>
            <w:r>
              <w:rPr>
                <w:rFonts w:hint="eastAsia"/>
                <w:lang w:val="en-US" w:eastAsia="zh-CN"/>
              </w:rPr>
              <w:t>1、响应单位是否有自主研发充电运营平台（自有知识产权），有自主平台的得2分；</w:t>
            </w:r>
          </w:p>
          <w:p>
            <w:pPr>
              <w:rPr>
                <w:rFonts w:hint="default" w:ascii="Calibri" w:hAnsi="Calibri" w:eastAsia="宋体" w:cs="Times New Roman"/>
                <w:kern w:val="0"/>
                <w:sz w:val="22"/>
                <w:szCs w:val="22"/>
                <w:lang w:val="en-US" w:eastAsia="zh-CN" w:bidi="ar-SA"/>
              </w:rPr>
            </w:pPr>
            <w:r>
              <w:rPr>
                <w:rFonts w:hint="eastAsia" w:ascii="Calibri" w:hAnsi="Calibri" w:eastAsia="宋体" w:cs="Times New Roman"/>
                <w:kern w:val="0"/>
                <w:sz w:val="22"/>
                <w:szCs w:val="22"/>
                <w:lang w:val="en-US" w:eastAsia="zh-CN" w:bidi="ar-SA"/>
              </w:rPr>
              <w:t>2、响应单位提供的运营平台，支持采购方自主修改收费标准，支持在城投ipark端口使用的（响应单位能提供标准的API接口，并实现在第三方平台收款功能），并能实现微信支付、支付宝支付功能的，得2分。</w:t>
            </w:r>
          </w:p>
          <w:p>
            <w:pPr>
              <w:pStyle w:val="2"/>
              <w:ind w:left="0" w:leftChars="0" w:firstLine="0" w:firstLineChars="0"/>
              <w:rPr>
                <w:rFonts w:hint="eastAsia" w:ascii="宋体" w:hAnsi="宋体" w:cs="宋体"/>
                <w:kern w:val="2"/>
                <w:sz w:val="21"/>
                <w:szCs w:val="21"/>
                <w:lang w:val="en-US" w:eastAsia="zh-CN" w:bidi="ar-SA"/>
              </w:rPr>
            </w:pPr>
            <w:r>
              <w:rPr>
                <w:rFonts w:hint="eastAsia" w:ascii="宋体" w:hAnsi="宋体" w:eastAsia="宋体" w:cs="宋体"/>
                <w:kern w:val="2"/>
                <w:sz w:val="21"/>
                <w:szCs w:val="21"/>
                <w:lang w:val="en-US" w:eastAsia="zh-CN" w:bidi="ar-SA"/>
              </w:rPr>
              <w:t>3、提供免费的充电平台使用权限，</w:t>
            </w:r>
            <w:r>
              <w:rPr>
                <w:rFonts w:hint="eastAsia" w:ascii="宋体" w:hAnsi="宋体" w:cs="宋体"/>
                <w:kern w:val="2"/>
                <w:sz w:val="21"/>
                <w:szCs w:val="21"/>
                <w:lang w:val="en-US" w:eastAsia="zh-CN" w:bidi="ar-SA"/>
              </w:rPr>
              <w:t>平台使用收费的，该项不得分，提供的免费使用平台的年限，每1年得1分，最高得6分。</w:t>
            </w:r>
          </w:p>
          <w:p>
            <w:pPr>
              <w:rPr>
                <w:rFonts w:hint="default"/>
                <w:lang w:val="en-US" w:eastAsia="zh-CN"/>
              </w:rPr>
            </w:pPr>
            <w:r>
              <w:rPr>
                <w:rFonts w:hint="eastAsia" w:ascii="宋体" w:hAnsi="宋体" w:cs="宋体"/>
                <w:kern w:val="2"/>
                <w:sz w:val="21"/>
                <w:szCs w:val="21"/>
                <w:lang w:val="en-US" w:eastAsia="zh-CN" w:bidi="ar-SA"/>
              </w:rPr>
              <w:t>4、提供的运营平台收费的（或前期免费，后期收费的），横向对比收费标准，按收费标准从低到高排序，排第一的，得4分，排第二的得2分，其余不得分。（备注：统一按充电服务费比例申报）</w:t>
            </w:r>
          </w:p>
        </w:tc>
        <w:tc>
          <w:tcPr>
            <w:tcW w:w="148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提供平台截图、相关知识产权证书及免费使用承诺函及与城投IPARK系统对接承诺及第三方平台收款案例、平台收费标准情况</w:t>
            </w:r>
          </w:p>
        </w:tc>
        <w:tc>
          <w:tcPr>
            <w:tcW w:w="927"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14分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276" w:hRule="atLeast"/>
          <w:jc w:val="center"/>
        </w:trPr>
        <w:tc>
          <w:tcPr>
            <w:tcW w:w="711"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6</w:t>
            </w:r>
          </w:p>
        </w:tc>
        <w:tc>
          <w:tcPr>
            <w:tcW w:w="85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项目案例</w:t>
            </w:r>
          </w:p>
        </w:tc>
        <w:tc>
          <w:tcPr>
            <w:tcW w:w="4890"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响应单位近两年（从公告截止之日起倒算）有7KW慢充桩安装业绩，每提供一项得2分，最多提供5项，最高得10分。</w:t>
            </w:r>
          </w:p>
        </w:tc>
        <w:tc>
          <w:tcPr>
            <w:tcW w:w="148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提供项目合同</w:t>
            </w:r>
          </w:p>
        </w:tc>
        <w:tc>
          <w:tcPr>
            <w:tcW w:w="927"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10分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2160" w:hRule="atLeast"/>
          <w:jc w:val="center"/>
        </w:trPr>
        <w:tc>
          <w:tcPr>
            <w:tcW w:w="711"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7</w:t>
            </w:r>
          </w:p>
        </w:tc>
        <w:tc>
          <w:tcPr>
            <w:tcW w:w="85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售后</w:t>
            </w:r>
            <w:r>
              <w:rPr>
                <w:rFonts w:hint="eastAsia" w:ascii="宋体" w:hAnsi="宋体" w:eastAsia="宋体" w:cs="宋体"/>
                <w:kern w:val="2"/>
                <w:sz w:val="21"/>
                <w:szCs w:val="21"/>
                <w:u w:color="000000"/>
                <w:lang w:val="en-US" w:eastAsia="zh-CN"/>
              </w:rPr>
              <w:t>质保服务</w:t>
            </w:r>
          </w:p>
        </w:tc>
        <w:tc>
          <w:tcPr>
            <w:tcW w:w="4890"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numPr>
                <w:ilvl w:val="0"/>
                <w:numId w:val="1"/>
              </w:numPr>
              <w:tabs>
                <w:tab w:val="left" w:pos="420"/>
                <w:tab w:val="left" w:pos="840"/>
                <w:tab w:val="left" w:pos="1260"/>
                <w:tab w:val="left" w:pos="1680"/>
                <w:tab w:val="left" w:pos="2100"/>
                <w:tab w:val="left" w:pos="2520"/>
                <w:tab w:val="left" w:pos="2940"/>
                <w:tab w:val="left" w:pos="3360"/>
              </w:tabs>
              <w:spacing w:before="0" w:line="240" w:lineRule="auto"/>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质保期：质保期至少为2年，每增加1年，加1分，最多增加2分；</w:t>
            </w:r>
          </w:p>
          <w:p>
            <w:pPr>
              <w:widowControl w:val="0"/>
              <w:numPr>
                <w:ilvl w:val="0"/>
                <w:numId w:val="1"/>
              </w:numPr>
              <w:tabs>
                <w:tab w:val="left" w:pos="420"/>
                <w:tab w:val="left" w:pos="840"/>
                <w:tab w:val="left" w:pos="1260"/>
                <w:tab w:val="left" w:pos="1680"/>
                <w:tab w:val="left" w:pos="2100"/>
                <w:tab w:val="left" w:pos="2520"/>
                <w:tab w:val="left" w:pos="2940"/>
                <w:tab w:val="left" w:pos="3360"/>
              </w:tabs>
              <w:spacing w:before="0" w:line="240" w:lineRule="auto"/>
              <w:jc w:val="both"/>
              <w:rPr>
                <w:rFonts w:hint="eastAsia"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在</w:t>
            </w:r>
            <w:r>
              <w:rPr>
                <w:rFonts w:hint="eastAsia" w:ascii="宋体" w:hAnsi="宋体" w:eastAsia="宋体" w:cs="宋体"/>
                <w:kern w:val="2"/>
                <w:sz w:val="21"/>
                <w:szCs w:val="21"/>
                <w:lang w:val="en-US" w:eastAsia="zh-CN" w:bidi="ar-SA"/>
              </w:rPr>
              <w:t>深圳</w:t>
            </w:r>
            <w:r>
              <w:rPr>
                <w:rFonts w:hint="default" w:ascii="宋体" w:hAnsi="宋体" w:eastAsia="宋体" w:cs="宋体"/>
                <w:kern w:val="2"/>
                <w:sz w:val="21"/>
                <w:szCs w:val="21"/>
                <w:lang w:val="en-US" w:eastAsia="zh-CN" w:bidi="ar-SA"/>
              </w:rPr>
              <w:t>市内有固定办公场所</w:t>
            </w:r>
            <w:r>
              <w:rPr>
                <w:rFonts w:hint="eastAsia" w:ascii="宋体" w:hAnsi="宋体" w:eastAsia="宋体" w:cs="宋体"/>
                <w:kern w:val="2"/>
                <w:sz w:val="21"/>
                <w:szCs w:val="21"/>
                <w:lang w:val="en-US" w:eastAsia="zh-CN" w:bidi="ar-SA"/>
              </w:rPr>
              <w:t>，售后服务能在1小时内赶到现场处置的，得2分；</w:t>
            </w:r>
          </w:p>
          <w:p>
            <w:pPr>
              <w:pStyle w:val="2"/>
              <w:numPr>
                <w:ilvl w:val="0"/>
                <w:numId w:val="0"/>
              </w:num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3、根据投标人提供的售后服务方案，售后团队规模及能力的保障措施等情况进行对比：</w:t>
            </w:r>
          </w:p>
          <w:p>
            <w:pPr>
              <w:pStyle w:val="2"/>
              <w:numPr>
                <w:ilvl w:val="0"/>
                <w:numId w:val="0"/>
              </w:num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售后服务方案合理、有针对性、可行性强，售后团队强，服务承诺保证措施充分合理可行的，得</w:t>
            </w:r>
            <w:r>
              <w:rPr>
                <w:rFonts w:hint="eastAsia" w:ascii="宋体" w:hAnsi="宋体" w:cs="宋体"/>
                <w:kern w:val="2"/>
                <w:sz w:val="21"/>
                <w:szCs w:val="21"/>
                <w:lang w:val="en-US" w:eastAsia="zh-CN" w:bidi="ar-SA"/>
              </w:rPr>
              <w:t>2</w:t>
            </w:r>
            <w:r>
              <w:rPr>
                <w:rFonts w:hint="eastAsia" w:ascii="宋体" w:hAnsi="宋体" w:eastAsia="宋体" w:cs="宋体"/>
                <w:kern w:val="2"/>
                <w:sz w:val="21"/>
                <w:szCs w:val="21"/>
                <w:lang w:val="en-US" w:eastAsia="zh-CN" w:bidi="ar-SA"/>
              </w:rPr>
              <w:t>分；</w:t>
            </w:r>
          </w:p>
          <w:p>
            <w:pPr>
              <w:pStyle w:val="2"/>
              <w:numPr>
                <w:ilvl w:val="0"/>
                <w:numId w:val="0"/>
              </w:num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售后服务方案较合理、具有一定的可行性，售后团队较强，服务承诺保证措施较充分的，得</w:t>
            </w:r>
            <w:r>
              <w:rPr>
                <w:rFonts w:hint="eastAsia" w:ascii="宋体" w:hAnsi="宋体" w:cs="宋体"/>
                <w:kern w:val="2"/>
                <w:sz w:val="21"/>
                <w:szCs w:val="21"/>
                <w:lang w:val="en-US" w:eastAsia="zh-CN" w:bidi="ar-SA"/>
              </w:rPr>
              <w:t>1</w:t>
            </w:r>
            <w:r>
              <w:rPr>
                <w:rFonts w:hint="eastAsia" w:ascii="宋体" w:hAnsi="宋体" w:eastAsia="宋体" w:cs="宋体"/>
                <w:kern w:val="2"/>
                <w:sz w:val="21"/>
                <w:szCs w:val="21"/>
                <w:lang w:val="en-US" w:eastAsia="zh-CN" w:bidi="ar-SA"/>
              </w:rPr>
              <w:t>分；</w:t>
            </w:r>
          </w:p>
          <w:p>
            <w:pPr>
              <w:pStyle w:val="2"/>
              <w:numPr>
                <w:ilvl w:val="0"/>
                <w:numId w:val="0"/>
              </w:num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售后服务方案较简单，售后团队一般，服务承诺保证措施一般的得1分；</w:t>
            </w:r>
          </w:p>
          <w:p>
            <w:pPr>
              <w:pStyle w:val="2"/>
              <w:numPr>
                <w:ilvl w:val="0"/>
                <w:numId w:val="0"/>
              </w:numPr>
              <w:spacing w:line="240" w:lineRule="auto"/>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未提供的不得分。</w:t>
            </w:r>
          </w:p>
        </w:tc>
        <w:tc>
          <w:tcPr>
            <w:tcW w:w="148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numPr>
                <w:ilvl w:val="0"/>
                <w:numId w:val="0"/>
              </w:numPr>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bidi="ar-SA"/>
              </w:rPr>
              <w:t>1、</w:t>
            </w:r>
            <w:r>
              <w:rPr>
                <w:rFonts w:hint="eastAsia" w:ascii="宋体" w:hAnsi="宋体" w:eastAsia="宋体" w:cs="宋体"/>
                <w:kern w:val="2"/>
                <w:sz w:val="21"/>
                <w:szCs w:val="21"/>
                <w:lang w:val="en-US" w:eastAsia="zh-CN"/>
              </w:rPr>
              <w:t>提供质保期的有关承诺；</w:t>
            </w:r>
          </w:p>
          <w:p>
            <w:pPr>
              <w:widowControl w:val="0"/>
              <w:tabs>
                <w:tab w:val="left" w:pos="420"/>
                <w:tab w:val="left" w:pos="840"/>
                <w:tab w:val="left" w:pos="1260"/>
              </w:tabs>
              <w:spacing w:before="0" w:line="20" w:lineRule="atLeast"/>
              <w:jc w:val="both"/>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2、提供租赁合同及响应的承诺</w:t>
            </w:r>
          </w:p>
          <w:p>
            <w:pPr>
              <w:pStyle w:val="2"/>
              <w:ind w:left="0" w:leftChars="0" w:firstLine="0" w:firstLineChars="0"/>
              <w:rPr>
                <w:rFonts w:hint="default"/>
                <w:lang w:val="en-US" w:eastAsia="zh-CN"/>
              </w:rPr>
            </w:pPr>
            <w:r>
              <w:rPr>
                <w:rFonts w:hint="eastAsia" w:ascii="宋体" w:hAnsi="宋体" w:cs="宋体"/>
                <w:kern w:val="2"/>
                <w:sz w:val="21"/>
                <w:szCs w:val="21"/>
                <w:lang w:val="en-US" w:eastAsia="zh-CN"/>
              </w:rPr>
              <w:t>3、提供售后保障方案</w:t>
            </w:r>
          </w:p>
        </w:tc>
        <w:tc>
          <w:tcPr>
            <w:tcW w:w="927"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6分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276" w:hRule="atLeast"/>
          <w:jc w:val="center"/>
        </w:trPr>
        <w:tc>
          <w:tcPr>
            <w:tcW w:w="711"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8</w:t>
            </w:r>
          </w:p>
        </w:tc>
        <w:tc>
          <w:tcPr>
            <w:tcW w:w="85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rPr>
              <w:t>响应文件编制质量</w:t>
            </w:r>
          </w:p>
        </w:tc>
        <w:tc>
          <w:tcPr>
            <w:tcW w:w="4890"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1、响应文件有缺漏项或出现前后不一致但未导致实质性偏离的；</w:t>
            </w:r>
          </w:p>
          <w:p>
            <w:pPr>
              <w:widowControl w:val="0"/>
              <w:tabs>
                <w:tab w:val="left" w:pos="420"/>
                <w:tab w:val="left" w:pos="840"/>
                <w:tab w:val="left" w:pos="1260"/>
              </w:tabs>
              <w:spacing w:before="0" w:line="20" w:lineRule="atLeast"/>
              <w:jc w:val="left"/>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2、响应文件资料扫描不清晰的；</w:t>
            </w:r>
          </w:p>
          <w:p>
            <w:pPr>
              <w:widowControl w:val="0"/>
              <w:tabs>
                <w:tab w:val="left" w:pos="420"/>
                <w:tab w:val="left" w:pos="840"/>
                <w:tab w:val="left" w:pos="1260"/>
              </w:tabs>
              <w:spacing w:before="0" w:line="20" w:lineRule="atLeast"/>
              <w:jc w:val="left"/>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3、响应文件未按节点编排的。</w:t>
            </w:r>
          </w:p>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rPr>
              <w:t>以上情况每出现一种扣1分，最低0分。无上述情况本项得3分。</w:t>
            </w:r>
          </w:p>
        </w:tc>
        <w:tc>
          <w:tcPr>
            <w:tcW w:w="148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rPr>
              <w:t>提供完整投标文件，专家评审</w:t>
            </w:r>
          </w:p>
        </w:tc>
        <w:tc>
          <w:tcPr>
            <w:tcW w:w="927"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rPr>
              <w:t>3分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347" w:hRule="atLeast"/>
          <w:jc w:val="center"/>
        </w:trPr>
        <w:tc>
          <w:tcPr>
            <w:tcW w:w="7941" w:type="dxa"/>
            <w:gridSpan w:val="4"/>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合计</w:t>
            </w:r>
          </w:p>
        </w:tc>
        <w:tc>
          <w:tcPr>
            <w:tcW w:w="927"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100分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767" w:hRule="atLeast"/>
          <w:jc w:val="center"/>
        </w:trPr>
        <w:tc>
          <w:tcPr>
            <w:tcW w:w="7941" w:type="dxa"/>
            <w:gridSpan w:val="4"/>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b/>
                <w:bCs/>
                <w:kern w:val="2"/>
                <w:sz w:val="21"/>
                <w:szCs w:val="21"/>
                <w:lang w:val="en-US" w:eastAsia="zh-CN"/>
              </w:rPr>
              <w:t>拟推荐成交候选供应商（原则推荐评审综合得分最高的单位）</w:t>
            </w:r>
          </w:p>
        </w:tc>
        <w:tc>
          <w:tcPr>
            <w:tcW w:w="927"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p>
        </w:tc>
      </w:tr>
    </w:tbl>
    <w:p>
      <w:pPr>
        <w:jc w:val="center"/>
        <w:rPr>
          <w:rFonts w:hint="eastAsia"/>
          <w:sz w:val="28"/>
          <w:szCs w:val="36"/>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ingFang SC Regular">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4FF8A1"/>
    <w:multiLevelType w:val="singleLevel"/>
    <w:tmpl w:val="CF4FF8A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kMGM2OTdkYTFhZTdmZjY2MTNkODc3Zjk0MTNhOTQifQ=="/>
  </w:docVars>
  <w:rsids>
    <w:rsidRoot w:val="00000000"/>
    <w:rsid w:val="09734036"/>
    <w:rsid w:val="0D6426A0"/>
    <w:rsid w:val="1096257C"/>
    <w:rsid w:val="10E749B4"/>
    <w:rsid w:val="12BF5EFF"/>
    <w:rsid w:val="17C80E27"/>
    <w:rsid w:val="206E1226"/>
    <w:rsid w:val="20F572B3"/>
    <w:rsid w:val="220515DB"/>
    <w:rsid w:val="2A9E2ED5"/>
    <w:rsid w:val="34A95EB1"/>
    <w:rsid w:val="36810653"/>
    <w:rsid w:val="4FD9151E"/>
    <w:rsid w:val="50EE41C3"/>
    <w:rsid w:val="51F003FF"/>
    <w:rsid w:val="548B2763"/>
    <w:rsid w:val="54F93A6F"/>
    <w:rsid w:val="5D9E3405"/>
    <w:rsid w:val="62D9469E"/>
    <w:rsid w:val="651A1B10"/>
    <w:rsid w:val="67BC2B18"/>
    <w:rsid w:val="67CD4DA0"/>
    <w:rsid w:val="6D671359"/>
    <w:rsid w:val="757F7CCC"/>
    <w:rsid w:val="75B37548"/>
    <w:rsid w:val="7EBC0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2"/>
    <w:basedOn w:val="1"/>
    <w:next w:val="1"/>
    <w:unhideWhenUsed/>
    <w:qFormat/>
    <w:uiPriority w:val="39"/>
    <w:pPr>
      <w:widowControl/>
      <w:spacing w:after="100" w:line="276" w:lineRule="auto"/>
      <w:ind w:left="220"/>
      <w:jc w:val="left"/>
    </w:pPr>
    <w:rPr>
      <w:rFonts w:ascii="Calibri" w:hAnsi="Calibri" w:eastAsia="宋体" w:cs="Times New Roman"/>
      <w:kern w:val="0"/>
      <w:sz w:val="22"/>
      <w:szCs w:val="22"/>
    </w:rPr>
  </w:style>
  <w:style w:type="table" w:customStyle="1" w:styleId="5">
    <w:name w:val="Table Normal"/>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1456</Words>
  <Characters>1506</Characters>
  <Lines>0</Lines>
  <Paragraphs>0</Paragraphs>
  <TotalTime>12</TotalTime>
  <ScaleCrop>false</ScaleCrop>
  <LinksUpToDate>false</LinksUpToDate>
  <CharactersWithSpaces>1508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2023-04-26T11:31:00Z</dcterms:created>
  <dc:creator>Administrator</dc:creator>
  <cp:lastModifiedBy>CZY</cp:lastModifiedBy>
  <dcterms:modified xsi:type="dcterms:W3CDTF">2023-08-16T02:08:30Z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53F46A4B3A0B47CC85E85F2A2D4CC423_13</vt:lpwstr>
  </property>
</Properties>
</file>