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深圳市龙岗区人民医院电动观光车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技术参数及服务要求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一、采购需求</w:t>
      </w:r>
    </w:p>
    <w:tbl>
      <w:tblPr>
        <w:tblStyle w:val="4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393"/>
        <w:gridCol w:w="1665"/>
        <w:gridCol w:w="1440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意向品牌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电动观光车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卓越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873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参考图片：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drawing>
                <wp:inline distT="0" distB="0" distL="114300" distR="114300">
                  <wp:extent cx="2573655" cy="1931035"/>
                  <wp:effectExtent l="0" t="0" r="17145" b="12065"/>
                  <wp:docPr id="1" name="图片 1" descr="5a373e3c26cfb2f8de26465a1de9c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a373e3c26cfb2f8de26465a1de9c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drawing>
                <wp:inline distT="0" distB="0" distL="114300" distR="114300">
                  <wp:extent cx="2626360" cy="1969770"/>
                  <wp:effectExtent l="0" t="0" r="2540" b="11430"/>
                  <wp:docPr id="2" name="图片 2" descr="3e4bb42fdcfcd7178f094c3c9d6f5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e4bb42fdcfcd7178f094c3c9d6f53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360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主要技术参数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570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参数类别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载客数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11人（包括司机）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外型尺寸：长×宽×高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4300mm×1500mm×2020mm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整车整备质量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额定载重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900㎏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前轮距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1200㎜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后轮距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1200㎜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最小离地间隙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 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最高车速（满载）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35㎞/h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制动距离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≤4500㎜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最小转弯半径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5700 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最大爬坡度（满载）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电机额定功率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7.5KW/72V 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电池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铅酸免维护蓄电池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充电时间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8-10小时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续驶里程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80-100㎞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轮胎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165/70 R13真空胎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整车基本配置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车身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工程塑料材质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底盘：电泳后喷分钢结构，底盘坚固耐用，耐腐蚀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前挡风玻璃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夹胶安全玻璃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顶篷：工程塑料材质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电机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7.5KW交流电机，牵引性能优越，过载能力强，使用寿命长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电池：免维护铅酸蓄电池，8V/9块/180AH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控制调速系统： 72V 350A交流电控系统，具有过温保护电路的功能，启动更平稳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充电装置：全自动高效脉冲式微电脑智能充电机，充满电后自动停止，可有效延长电池使用寿命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悬挂系统：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前部避震为独立支撑悬挂式减振器，后部为轿车式减振器悬挂，平稳舒适  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转向系统:电动助力，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方向轻便，驾驶感好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制动系统：四轮液压刹车、真空助力刹车平稳、制动效果好、安全可靠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轮胎形式：165/70 R13真空胎，铝合金轮毂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多功能仪表台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蓝牙多媒体音响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电子时钟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每个座位配置两点式安全带，每排座椅配防护链及整车配置灭火器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17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赠送遮阳帘及防滑地垫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其它服务要求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1.整车质保年限：不少于2年，质保期内除人为和不可抗力造成的损坏，均由供应商负责免费维修，不得额外收取任何费用。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日常维护保养年限：不少于5年，维保期内需要每年对电动观光车进行不少于1次的年检，年检报告原件需提交医院归档；质保期结束后，供应商仍需负责所供应电动观光车的日常维修责任，除必需的维修材料费外不得收取其他费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3.电动车保险：供应商需承担第1年的车辆保险。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F357B"/>
    <w:multiLevelType w:val="singleLevel"/>
    <w:tmpl w:val="913F35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MTFkOWEzZjE1MTdlNmNjODRiMTdmNDc2ODA1ODkifQ=="/>
  </w:docVars>
  <w:rsids>
    <w:rsidRoot w:val="59EC1464"/>
    <w:rsid w:val="0AB56430"/>
    <w:rsid w:val="259D32B7"/>
    <w:rsid w:val="313A7C2E"/>
    <w:rsid w:val="425B3F1A"/>
    <w:rsid w:val="48CF180C"/>
    <w:rsid w:val="59EC1464"/>
    <w:rsid w:val="5C470D42"/>
    <w:rsid w:val="622D504B"/>
    <w:rsid w:val="64C96720"/>
    <w:rsid w:val="68F338FF"/>
    <w:rsid w:val="70A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suppressAutoHyphens/>
      <w:ind w:left="100" w:hanging="200"/>
    </w:pPr>
    <w:rPr>
      <w:rFonts w:ascii="宋体" w:hAnsi="宋体" w:cs="宋体"/>
      <w:kern w:val="1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893</Characters>
  <Lines>0</Lines>
  <Paragraphs>0</Paragraphs>
  <TotalTime>48</TotalTime>
  <ScaleCrop>false</ScaleCrop>
  <LinksUpToDate>false</LinksUpToDate>
  <CharactersWithSpaces>907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2023-06-16T02:33:00Z</dcterms:created>
  <dc:creator>李荣林</dc:creator>
  <cp:lastModifiedBy>Janet</cp:lastModifiedBy>
  <dcterms:modified xsi:type="dcterms:W3CDTF">2023-06-19T02:19:21Z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606520CC6B494821937827822C2BA2C6_11</vt:lpwstr>
  </property>
</Properties>
</file>