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36"/>
          <w:szCs w:val="36"/>
        </w:rPr>
      </w:pPr>
      <w:r>
        <w:rPr>
          <w:rFonts w:hint="eastAsia" w:ascii="仿宋_GB2312" w:eastAsia="仿宋_GB2312"/>
          <w:sz w:val="36"/>
          <w:szCs w:val="36"/>
        </w:rPr>
        <w:t>龙岗区妇幼保健院工程类社会招标采购代理机构</w:t>
      </w:r>
    </w:p>
    <w:p>
      <w:pPr>
        <w:jc w:val="center"/>
        <w:rPr>
          <w:rFonts w:ascii="仿宋_GB2312" w:eastAsia="仿宋_GB2312"/>
          <w:sz w:val="36"/>
          <w:szCs w:val="36"/>
        </w:rPr>
      </w:pPr>
      <w:r>
        <w:rPr>
          <w:rFonts w:hint="eastAsia" w:ascii="仿宋_GB2312" w:eastAsia="仿宋_GB2312"/>
          <w:sz w:val="36"/>
          <w:szCs w:val="36"/>
        </w:rPr>
        <w:t>遴选评分标准</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990"/>
        <w:gridCol w:w="1545"/>
        <w:gridCol w:w="870"/>
        <w:gridCol w:w="5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14" w:type="dxa"/>
            <w:vAlign w:val="center"/>
          </w:tcPr>
          <w:p>
            <w:pPr>
              <w:jc w:val="center"/>
              <w:rPr>
                <w:b/>
                <w:bCs/>
                <w:sz w:val="21"/>
                <w:szCs w:val="21"/>
                <w:highlight w:val="none"/>
              </w:rPr>
            </w:pPr>
            <w:r>
              <w:rPr>
                <w:b/>
                <w:bCs/>
                <w:sz w:val="21"/>
                <w:szCs w:val="21"/>
                <w:highlight w:val="none"/>
              </w:rPr>
              <w:t>序号</w:t>
            </w:r>
          </w:p>
        </w:tc>
        <w:tc>
          <w:tcPr>
            <w:tcW w:w="3405" w:type="dxa"/>
            <w:gridSpan w:val="3"/>
            <w:vAlign w:val="center"/>
          </w:tcPr>
          <w:p>
            <w:pPr>
              <w:jc w:val="center"/>
              <w:rPr>
                <w:highlight w:val="none"/>
              </w:rPr>
            </w:pPr>
            <w:r>
              <w:rPr>
                <w:b/>
                <w:bCs/>
                <w:sz w:val="21"/>
                <w:szCs w:val="21"/>
                <w:highlight w:val="none"/>
              </w:rPr>
              <w:t>评分项</w:t>
            </w:r>
          </w:p>
        </w:tc>
        <w:tc>
          <w:tcPr>
            <w:tcW w:w="5635" w:type="dxa"/>
            <w:vAlign w:val="center"/>
          </w:tcPr>
          <w:p>
            <w:pPr>
              <w:jc w:val="center"/>
              <w:rPr>
                <w:highlight w:val="none"/>
              </w:rPr>
            </w:pPr>
            <w:r>
              <w:rPr>
                <w:b/>
                <w:bCs/>
                <w:sz w:val="21"/>
                <w:szCs w:val="21"/>
                <w:highlight w:val="none"/>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pPr>
              <w:jc w:val="center"/>
              <w:rPr>
                <w:highlight w:val="none"/>
              </w:rPr>
            </w:pPr>
            <w:r>
              <w:rPr>
                <w:rFonts w:hint="eastAsia"/>
                <w:highlight w:val="none"/>
              </w:rPr>
              <w:t>1</w:t>
            </w:r>
          </w:p>
        </w:tc>
        <w:tc>
          <w:tcPr>
            <w:tcW w:w="3405" w:type="dxa"/>
            <w:gridSpan w:val="3"/>
            <w:vAlign w:val="center"/>
          </w:tcPr>
          <w:p>
            <w:pPr>
              <w:jc w:val="center"/>
              <w:rPr>
                <w:highlight w:val="none"/>
              </w:rPr>
            </w:pPr>
            <w:r>
              <w:rPr>
                <w:rFonts w:hint="eastAsia"/>
                <w:b/>
                <w:sz w:val="21"/>
                <w:szCs w:val="21"/>
                <w:highlight w:val="none"/>
              </w:rPr>
              <w:t>服务费用</w:t>
            </w:r>
            <w:r>
              <w:rPr>
                <w:b/>
                <w:sz w:val="21"/>
                <w:szCs w:val="21"/>
                <w:highlight w:val="none"/>
              </w:rPr>
              <w:t>部分</w:t>
            </w:r>
          </w:p>
        </w:tc>
        <w:tc>
          <w:tcPr>
            <w:tcW w:w="5635" w:type="dxa"/>
            <w:vAlign w:val="center"/>
          </w:tcPr>
          <w:p>
            <w:pPr>
              <w:jc w:val="center"/>
              <w:rPr>
                <w:rFonts w:hint="eastAsia" w:eastAsia="宋体"/>
                <w:highlight w:val="none"/>
                <w:lang w:eastAsia="zh-CN"/>
              </w:rPr>
            </w:pPr>
            <w:r>
              <w:rPr>
                <w:rFonts w:hint="eastAsia"/>
                <w:highlight w:val="none"/>
              </w:rPr>
              <w:t>1</w:t>
            </w:r>
            <w:r>
              <w:rPr>
                <w:rFonts w:hint="eastAsia"/>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14" w:type="dxa"/>
            <w:vMerge w:val="restart"/>
            <w:vAlign w:val="center"/>
          </w:tcPr>
          <w:p>
            <w:pPr>
              <w:jc w:val="center"/>
              <w:rPr>
                <w:highlight w:val="none"/>
              </w:rPr>
            </w:pPr>
          </w:p>
        </w:tc>
        <w:tc>
          <w:tcPr>
            <w:tcW w:w="990" w:type="dxa"/>
            <w:vAlign w:val="center"/>
          </w:tcPr>
          <w:p>
            <w:pPr>
              <w:jc w:val="center"/>
              <w:rPr>
                <w:b/>
                <w:sz w:val="21"/>
                <w:szCs w:val="21"/>
                <w:highlight w:val="none"/>
              </w:rPr>
            </w:pPr>
            <w:r>
              <w:rPr>
                <w:b/>
                <w:bCs/>
                <w:sz w:val="21"/>
                <w:szCs w:val="21"/>
                <w:highlight w:val="none"/>
              </w:rPr>
              <w:t>序号</w:t>
            </w:r>
          </w:p>
        </w:tc>
        <w:tc>
          <w:tcPr>
            <w:tcW w:w="1545" w:type="dxa"/>
            <w:vAlign w:val="center"/>
          </w:tcPr>
          <w:p>
            <w:pPr>
              <w:jc w:val="center"/>
              <w:rPr>
                <w:b/>
                <w:sz w:val="21"/>
                <w:szCs w:val="21"/>
                <w:highlight w:val="none"/>
              </w:rPr>
            </w:pPr>
            <w:r>
              <w:rPr>
                <w:b/>
                <w:bCs/>
                <w:sz w:val="21"/>
                <w:szCs w:val="21"/>
                <w:highlight w:val="none"/>
              </w:rPr>
              <w:t>评分因素</w:t>
            </w:r>
          </w:p>
        </w:tc>
        <w:tc>
          <w:tcPr>
            <w:tcW w:w="870" w:type="dxa"/>
            <w:vAlign w:val="center"/>
          </w:tcPr>
          <w:p>
            <w:pPr>
              <w:jc w:val="center"/>
              <w:rPr>
                <w:b/>
                <w:sz w:val="21"/>
                <w:szCs w:val="21"/>
                <w:highlight w:val="none"/>
              </w:rPr>
            </w:pPr>
            <w:r>
              <w:rPr>
                <w:b/>
                <w:bCs/>
                <w:sz w:val="21"/>
                <w:szCs w:val="21"/>
                <w:highlight w:val="none"/>
              </w:rPr>
              <w:t>权重</w:t>
            </w:r>
          </w:p>
        </w:tc>
        <w:tc>
          <w:tcPr>
            <w:tcW w:w="5635" w:type="dxa"/>
            <w:vAlign w:val="center"/>
          </w:tcPr>
          <w:p>
            <w:pPr>
              <w:jc w:val="center"/>
              <w:rPr>
                <w:highlight w:val="none"/>
              </w:rPr>
            </w:pPr>
            <w:r>
              <w:rPr>
                <w:b/>
                <w:bCs/>
                <w:sz w:val="21"/>
                <w:szCs w:val="21"/>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tcPr>
          <w:p>
            <w:pPr>
              <w:rPr>
                <w:highlight w:val="none"/>
              </w:rPr>
            </w:pPr>
          </w:p>
        </w:tc>
        <w:tc>
          <w:tcPr>
            <w:tcW w:w="990" w:type="dxa"/>
            <w:vAlign w:val="center"/>
          </w:tcPr>
          <w:p>
            <w:pPr>
              <w:jc w:val="center"/>
              <w:rPr>
                <w:highlight w:val="none"/>
              </w:rPr>
            </w:pPr>
            <w:r>
              <w:rPr>
                <w:rFonts w:hint="eastAsia"/>
                <w:highlight w:val="none"/>
              </w:rPr>
              <w:t>1</w:t>
            </w:r>
          </w:p>
        </w:tc>
        <w:tc>
          <w:tcPr>
            <w:tcW w:w="1545" w:type="dxa"/>
            <w:vAlign w:val="center"/>
          </w:tcPr>
          <w:p>
            <w:pPr>
              <w:jc w:val="center"/>
              <w:rPr>
                <w:highlight w:val="none"/>
              </w:rPr>
            </w:pPr>
            <w:r>
              <w:rPr>
                <w:rFonts w:hint="eastAsia"/>
                <w:sz w:val="21"/>
                <w:szCs w:val="21"/>
                <w:highlight w:val="none"/>
              </w:rPr>
              <w:t>服务费用收取方式和标准</w:t>
            </w:r>
          </w:p>
        </w:tc>
        <w:tc>
          <w:tcPr>
            <w:tcW w:w="870" w:type="dxa"/>
            <w:vAlign w:val="center"/>
          </w:tcPr>
          <w:p>
            <w:pPr>
              <w:jc w:val="center"/>
              <w:rPr>
                <w:highlight w:val="none"/>
              </w:rPr>
            </w:pPr>
            <w:r>
              <w:rPr>
                <w:rFonts w:hint="eastAsia"/>
                <w:highlight w:val="none"/>
              </w:rPr>
              <w:t>8</w:t>
            </w:r>
          </w:p>
        </w:tc>
        <w:tc>
          <w:tcPr>
            <w:tcW w:w="5635" w:type="dxa"/>
            <w:vAlign w:val="center"/>
          </w:tcPr>
          <w:p>
            <w:pPr>
              <w:rPr>
                <w:highlight w:val="none"/>
              </w:rPr>
            </w:pPr>
            <w:r>
              <w:rPr>
                <w:rFonts w:hint="eastAsia"/>
                <w:sz w:val="21"/>
                <w:szCs w:val="21"/>
                <w:highlight w:val="none"/>
              </w:rPr>
              <w:t>根据《深圳市龙岗区财政局关于规范龙岗区社会采购代理机构管理有关事项的通知》（深龙财〔2019〕37号）收费参考标准折扣率进行计算：在下浮10%的基础上，每下浮5%得</w:t>
            </w:r>
            <w:r>
              <w:rPr>
                <w:rFonts w:hint="eastAsia"/>
                <w:sz w:val="21"/>
                <w:szCs w:val="21"/>
                <w:highlight w:val="none"/>
                <w:lang w:val="en-US" w:eastAsia="zh-CN"/>
              </w:rPr>
              <w:t>4</w:t>
            </w:r>
            <w:r>
              <w:rPr>
                <w:rFonts w:hint="eastAsia"/>
                <w:sz w:val="21"/>
                <w:szCs w:val="21"/>
                <w:highlight w:val="none"/>
              </w:rPr>
              <w:t>分，满分8分。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tcPr>
          <w:p>
            <w:pPr>
              <w:rPr>
                <w:highlight w:val="none"/>
              </w:rPr>
            </w:pPr>
          </w:p>
        </w:tc>
        <w:tc>
          <w:tcPr>
            <w:tcW w:w="990" w:type="dxa"/>
            <w:vAlign w:val="center"/>
          </w:tcPr>
          <w:p>
            <w:pPr>
              <w:jc w:val="center"/>
              <w:rPr>
                <w:highlight w:val="none"/>
              </w:rPr>
            </w:pPr>
            <w:r>
              <w:rPr>
                <w:rFonts w:hint="eastAsia"/>
                <w:highlight w:val="none"/>
              </w:rPr>
              <w:t>2</w:t>
            </w:r>
          </w:p>
        </w:tc>
        <w:tc>
          <w:tcPr>
            <w:tcW w:w="1545" w:type="dxa"/>
            <w:vAlign w:val="center"/>
          </w:tcPr>
          <w:p>
            <w:pPr>
              <w:jc w:val="center"/>
              <w:rPr>
                <w:highlight w:val="none"/>
              </w:rPr>
            </w:pPr>
            <w:r>
              <w:rPr>
                <w:rFonts w:hint="eastAsia"/>
                <w:sz w:val="21"/>
                <w:szCs w:val="21"/>
                <w:highlight w:val="none"/>
              </w:rPr>
              <w:t>最低收费标准</w:t>
            </w:r>
          </w:p>
        </w:tc>
        <w:tc>
          <w:tcPr>
            <w:tcW w:w="870" w:type="dxa"/>
            <w:vAlign w:val="center"/>
          </w:tcPr>
          <w:p>
            <w:pPr>
              <w:jc w:val="center"/>
              <w:rPr>
                <w:highlight w:val="none"/>
              </w:rPr>
            </w:pPr>
            <w:r>
              <w:rPr>
                <w:rFonts w:hint="eastAsia"/>
                <w:highlight w:val="none"/>
              </w:rPr>
              <w:t>2</w:t>
            </w:r>
          </w:p>
        </w:tc>
        <w:tc>
          <w:tcPr>
            <w:tcW w:w="5635" w:type="dxa"/>
            <w:vAlign w:val="center"/>
          </w:tcPr>
          <w:p>
            <w:pPr>
              <w:rPr>
                <w:sz w:val="21"/>
                <w:szCs w:val="21"/>
                <w:highlight w:val="none"/>
              </w:rPr>
            </w:pPr>
            <w:r>
              <w:rPr>
                <w:rFonts w:hint="eastAsia"/>
                <w:sz w:val="21"/>
                <w:szCs w:val="21"/>
                <w:highlight w:val="none"/>
              </w:rPr>
              <w:t>最低收费标准低于3</w:t>
            </w:r>
            <w:r>
              <w:rPr>
                <w:rFonts w:hint="eastAsia"/>
                <w:sz w:val="21"/>
                <w:szCs w:val="21"/>
                <w:highlight w:val="none"/>
                <w:lang w:val="en-US" w:eastAsia="zh-CN"/>
              </w:rPr>
              <w:t>0</w:t>
            </w:r>
            <w:r>
              <w:rPr>
                <w:rFonts w:hint="eastAsia"/>
                <w:sz w:val="21"/>
                <w:szCs w:val="21"/>
                <w:highlight w:val="none"/>
              </w:rPr>
              <w:t>00元（含）得2分；</w:t>
            </w:r>
          </w:p>
          <w:p>
            <w:pPr>
              <w:rPr>
                <w:sz w:val="21"/>
                <w:szCs w:val="21"/>
                <w:highlight w:val="none"/>
              </w:rPr>
            </w:pPr>
            <w:r>
              <w:rPr>
                <w:rFonts w:hint="eastAsia"/>
                <w:sz w:val="21"/>
                <w:szCs w:val="21"/>
                <w:highlight w:val="none"/>
              </w:rPr>
              <w:t>最低收费标准3</w:t>
            </w:r>
            <w:r>
              <w:rPr>
                <w:rFonts w:hint="eastAsia"/>
                <w:sz w:val="21"/>
                <w:szCs w:val="21"/>
                <w:highlight w:val="none"/>
                <w:lang w:val="en-US" w:eastAsia="zh-CN"/>
              </w:rPr>
              <w:t>0</w:t>
            </w:r>
            <w:r>
              <w:rPr>
                <w:rFonts w:hint="eastAsia"/>
                <w:sz w:val="21"/>
                <w:szCs w:val="21"/>
                <w:highlight w:val="none"/>
              </w:rPr>
              <w:t>00元（不含）-</w:t>
            </w:r>
            <w:r>
              <w:rPr>
                <w:rFonts w:hint="eastAsia"/>
                <w:sz w:val="21"/>
                <w:szCs w:val="21"/>
                <w:highlight w:val="none"/>
                <w:lang w:val="en-US" w:eastAsia="zh-CN"/>
              </w:rPr>
              <w:t>35</w:t>
            </w:r>
            <w:r>
              <w:rPr>
                <w:rFonts w:hint="eastAsia"/>
                <w:sz w:val="21"/>
                <w:szCs w:val="21"/>
                <w:highlight w:val="none"/>
              </w:rPr>
              <w:t>00元（含）得1.5分；</w:t>
            </w:r>
          </w:p>
          <w:p>
            <w:pPr>
              <w:rPr>
                <w:sz w:val="21"/>
                <w:szCs w:val="21"/>
                <w:highlight w:val="none"/>
              </w:rPr>
            </w:pPr>
            <w:r>
              <w:rPr>
                <w:rFonts w:hint="eastAsia"/>
                <w:sz w:val="21"/>
                <w:szCs w:val="21"/>
                <w:highlight w:val="none"/>
              </w:rPr>
              <w:t>最低收费标准</w:t>
            </w:r>
            <w:r>
              <w:rPr>
                <w:rFonts w:hint="eastAsia"/>
                <w:sz w:val="21"/>
                <w:szCs w:val="21"/>
                <w:highlight w:val="none"/>
                <w:lang w:val="en-US" w:eastAsia="zh-CN"/>
              </w:rPr>
              <w:t>35</w:t>
            </w:r>
            <w:r>
              <w:rPr>
                <w:rFonts w:hint="eastAsia"/>
                <w:sz w:val="21"/>
                <w:szCs w:val="21"/>
                <w:highlight w:val="none"/>
              </w:rPr>
              <w:t>00元（不含）-4</w:t>
            </w:r>
            <w:r>
              <w:rPr>
                <w:rFonts w:hint="eastAsia"/>
                <w:sz w:val="21"/>
                <w:szCs w:val="21"/>
                <w:highlight w:val="none"/>
                <w:lang w:val="en-US" w:eastAsia="zh-CN"/>
              </w:rPr>
              <w:t>0</w:t>
            </w:r>
            <w:r>
              <w:rPr>
                <w:rFonts w:hint="eastAsia"/>
                <w:sz w:val="21"/>
                <w:szCs w:val="21"/>
                <w:highlight w:val="none"/>
              </w:rPr>
              <w:t>00元（含）得1分；</w:t>
            </w:r>
          </w:p>
          <w:p>
            <w:pPr>
              <w:rPr>
                <w:rFonts w:hint="eastAsia" w:eastAsia="宋体"/>
                <w:highlight w:val="none"/>
                <w:lang w:eastAsia="zh-CN"/>
              </w:rPr>
            </w:pPr>
            <w:r>
              <w:rPr>
                <w:rFonts w:hint="eastAsia"/>
                <w:sz w:val="21"/>
                <w:szCs w:val="21"/>
                <w:highlight w:val="none"/>
              </w:rPr>
              <w:t>最低收费标准4</w:t>
            </w:r>
            <w:r>
              <w:rPr>
                <w:rFonts w:hint="eastAsia"/>
                <w:sz w:val="21"/>
                <w:szCs w:val="21"/>
                <w:highlight w:val="none"/>
                <w:lang w:val="en-US" w:eastAsia="zh-CN"/>
              </w:rPr>
              <w:t>0</w:t>
            </w:r>
            <w:r>
              <w:rPr>
                <w:rFonts w:hint="eastAsia"/>
                <w:sz w:val="21"/>
                <w:szCs w:val="21"/>
                <w:highlight w:val="none"/>
              </w:rPr>
              <w:t>00元（不含）-</w:t>
            </w:r>
            <w:r>
              <w:rPr>
                <w:rFonts w:hint="eastAsia"/>
                <w:sz w:val="21"/>
                <w:szCs w:val="21"/>
                <w:highlight w:val="none"/>
                <w:lang w:val="en-US" w:eastAsia="zh-CN"/>
              </w:rPr>
              <w:t>45</w:t>
            </w:r>
            <w:r>
              <w:rPr>
                <w:rFonts w:hint="eastAsia"/>
                <w:sz w:val="21"/>
                <w:szCs w:val="21"/>
                <w:highlight w:val="none"/>
              </w:rPr>
              <w:t>00元（含）得0.5分</w:t>
            </w:r>
            <w:r>
              <w:rPr>
                <w:rFonts w:hint="eastAsia"/>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pPr>
              <w:jc w:val="center"/>
              <w:rPr>
                <w:highlight w:val="none"/>
              </w:rPr>
            </w:pPr>
            <w:r>
              <w:rPr>
                <w:rFonts w:hint="eastAsia"/>
                <w:highlight w:val="none"/>
              </w:rPr>
              <w:t>2</w:t>
            </w:r>
          </w:p>
        </w:tc>
        <w:tc>
          <w:tcPr>
            <w:tcW w:w="3405" w:type="dxa"/>
            <w:gridSpan w:val="3"/>
            <w:vAlign w:val="center"/>
          </w:tcPr>
          <w:p>
            <w:pPr>
              <w:jc w:val="center"/>
              <w:rPr>
                <w:highlight w:val="none"/>
              </w:rPr>
            </w:pPr>
            <w:r>
              <w:rPr>
                <w:b/>
                <w:sz w:val="21"/>
                <w:szCs w:val="21"/>
                <w:highlight w:val="none"/>
              </w:rPr>
              <w:t>技术部分</w:t>
            </w:r>
          </w:p>
        </w:tc>
        <w:tc>
          <w:tcPr>
            <w:tcW w:w="5635" w:type="dxa"/>
            <w:vAlign w:val="center"/>
          </w:tcPr>
          <w:p>
            <w:pPr>
              <w:jc w:val="center"/>
              <w:rPr>
                <w:highlight w:val="none"/>
              </w:rPr>
            </w:pPr>
            <w:r>
              <w:rPr>
                <w:rFonts w:hint="eastAsia"/>
                <w:highlight w:val="none"/>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14" w:type="dxa"/>
            <w:vMerge w:val="restart"/>
          </w:tcPr>
          <w:p>
            <w:pPr>
              <w:rPr>
                <w:highlight w:val="none"/>
              </w:rPr>
            </w:pPr>
          </w:p>
        </w:tc>
        <w:tc>
          <w:tcPr>
            <w:tcW w:w="990" w:type="dxa"/>
            <w:vAlign w:val="center"/>
          </w:tcPr>
          <w:p>
            <w:pPr>
              <w:jc w:val="center"/>
              <w:rPr>
                <w:b/>
                <w:bCs/>
                <w:sz w:val="21"/>
                <w:szCs w:val="21"/>
                <w:highlight w:val="none"/>
              </w:rPr>
            </w:pPr>
            <w:r>
              <w:rPr>
                <w:b/>
                <w:bCs/>
                <w:sz w:val="21"/>
                <w:szCs w:val="21"/>
                <w:highlight w:val="none"/>
              </w:rPr>
              <w:t>序号</w:t>
            </w:r>
          </w:p>
        </w:tc>
        <w:tc>
          <w:tcPr>
            <w:tcW w:w="1545" w:type="dxa"/>
            <w:vAlign w:val="center"/>
          </w:tcPr>
          <w:p>
            <w:pPr>
              <w:jc w:val="center"/>
              <w:rPr>
                <w:b/>
                <w:bCs/>
                <w:sz w:val="21"/>
                <w:szCs w:val="21"/>
                <w:highlight w:val="none"/>
              </w:rPr>
            </w:pPr>
            <w:r>
              <w:rPr>
                <w:b/>
                <w:bCs/>
                <w:sz w:val="21"/>
                <w:szCs w:val="21"/>
                <w:highlight w:val="none"/>
              </w:rPr>
              <w:t>评分因素</w:t>
            </w:r>
          </w:p>
        </w:tc>
        <w:tc>
          <w:tcPr>
            <w:tcW w:w="870" w:type="dxa"/>
            <w:vAlign w:val="center"/>
          </w:tcPr>
          <w:p>
            <w:pPr>
              <w:jc w:val="center"/>
              <w:rPr>
                <w:b/>
                <w:bCs/>
                <w:sz w:val="21"/>
                <w:szCs w:val="21"/>
                <w:highlight w:val="none"/>
              </w:rPr>
            </w:pPr>
            <w:r>
              <w:rPr>
                <w:b/>
                <w:bCs/>
                <w:sz w:val="21"/>
                <w:szCs w:val="21"/>
                <w:highlight w:val="none"/>
              </w:rPr>
              <w:t>权重</w:t>
            </w:r>
          </w:p>
        </w:tc>
        <w:tc>
          <w:tcPr>
            <w:tcW w:w="5635" w:type="dxa"/>
            <w:vAlign w:val="center"/>
          </w:tcPr>
          <w:p>
            <w:pPr>
              <w:jc w:val="center"/>
              <w:rPr>
                <w:highlight w:val="none"/>
              </w:rPr>
            </w:pPr>
            <w:r>
              <w:rPr>
                <w:b/>
                <w:bCs/>
                <w:sz w:val="21"/>
                <w:szCs w:val="21"/>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tcPr>
          <w:p>
            <w:pPr>
              <w:rPr>
                <w:highlight w:val="none"/>
              </w:rPr>
            </w:pPr>
          </w:p>
        </w:tc>
        <w:tc>
          <w:tcPr>
            <w:tcW w:w="990" w:type="dxa"/>
            <w:vAlign w:val="center"/>
          </w:tcPr>
          <w:p>
            <w:pPr>
              <w:jc w:val="center"/>
              <w:rPr>
                <w:highlight w:val="none"/>
              </w:rPr>
            </w:pPr>
            <w:r>
              <w:rPr>
                <w:rFonts w:hint="eastAsia"/>
                <w:highlight w:val="none"/>
              </w:rPr>
              <w:t>1</w:t>
            </w:r>
          </w:p>
        </w:tc>
        <w:tc>
          <w:tcPr>
            <w:tcW w:w="1545" w:type="dxa"/>
            <w:vAlign w:val="center"/>
          </w:tcPr>
          <w:p>
            <w:pPr>
              <w:jc w:val="center"/>
              <w:rPr>
                <w:sz w:val="21"/>
                <w:szCs w:val="21"/>
                <w:highlight w:val="none"/>
              </w:rPr>
            </w:pPr>
            <w:r>
              <w:rPr>
                <w:rFonts w:hint="eastAsia"/>
                <w:sz w:val="21"/>
                <w:szCs w:val="21"/>
                <w:highlight w:val="none"/>
              </w:rPr>
              <w:t>招标采购组织实施方案</w:t>
            </w:r>
          </w:p>
        </w:tc>
        <w:tc>
          <w:tcPr>
            <w:tcW w:w="870" w:type="dxa"/>
            <w:vAlign w:val="center"/>
          </w:tcPr>
          <w:p>
            <w:pPr>
              <w:jc w:val="center"/>
              <w:rPr>
                <w:sz w:val="21"/>
                <w:szCs w:val="21"/>
                <w:highlight w:val="none"/>
              </w:rPr>
            </w:pPr>
            <w:r>
              <w:rPr>
                <w:rFonts w:hint="eastAsia"/>
                <w:sz w:val="21"/>
                <w:szCs w:val="21"/>
                <w:highlight w:val="none"/>
              </w:rPr>
              <w:t>17</w:t>
            </w:r>
          </w:p>
        </w:tc>
        <w:tc>
          <w:tcPr>
            <w:tcW w:w="5635" w:type="dxa"/>
            <w:vAlign w:val="center"/>
          </w:tcPr>
          <w:p>
            <w:pPr>
              <w:rPr>
                <w:rFonts w:ascii="宋体" w:hAnsi="宋体" w:cs="宋体"/>
                <w:sz w:val="21"/>
                <w:szCs w:val="21"/>
                <w:highlight w:val="none"/>
              </w:rPr>
            </w:pPr>
            <w:r>
              <w:rPr>
                <w:rFonts w:hint="eastAsia" w:ascii="宋体" w:hAnsi="宋体" w:cs="宋体"/>
                <w:sz w:val="21"/>
                <w:szCs w:val="21"/>
                <w:highlight w:val="none"/>
              </w:rPr>
              <w:t>投标人提供委托工程类项目的招标采购组织实施方案，评审专家根据投标人提供的实施方案内容合理性评分：</w:t>
            </w:r>
          </w:p>
          <w:p>
            <w:pPr>
              <w:rPr>
                <w:rFonts w:ascii="宋体" w:hAnsi="宋体" w:cs="宋体"/>
                <w:sz w:val="21"/>
                <w:szCs w:val="21"/>
                <w:highlight w:val="none"/>
              </w:rPr>
            </w:pPr>
            <w:r>
              <w:rPr>
                <w:rFonts w:hint="eastAsia" w:ascii="宋体" w:hAnsi="宋体" w:cs="宋体"/>
                <w:sz w:val="21"/>
                <w:szCs w:val="21"/>
                <w:highlight w:val="none"/>
              </w:rPr>
              <w:t>实施</w:t>
            </w:r>
            <w:r>
              <w:rPr>
                <w:rFonts w:ascii="宋体" w:hAnsi="宋体" w:cs="宋体"/>
                <w:sz w:val="21"/>
                <w:szCs w:val="21"/>
                <w:highlight w:val="none"/>
              </w:rPr>
              <w:t>方案步骤详细具体，</w:t>
            </w:r>
            <w:r>
              <w:rPr>
                <w:rFonts w:hint="eastAsia" w:ascii="宋体" w:hAnsi="宋体" w:cs="宋体"/>
                <w:sz w:val="21"/>
                <w:szCs w:val="21"/>
                <w:highlight w:val="none"/>
              </w:rPr>
              <w:t>条理严谨</w:t>
            </w:r>
            <w:r>
              <w:rPr>
                <w:rFonts w:ascii="宋体" w:hAnsi="宋体" w:cs="宋体"/>
                <w:sz w:val="21"/>
                <w:szCs w:val="21"/>
                <w:highlight w:val="none"/>
              </w:rPr>
              <w:t>清晰，</w:t>
            </w:r>
            <w:r>
              <w:rPr>
                <w:rFonts w:hint="eastAsia" w:ascii="宋体" w:hAnsi="宋体" w:cs="宋体"/>
                <w:sz w:val="21"/>
                <w:szCs w:val="21"/>
                <w:highlight w:val="none"/>
              </w:rPr>
              <w:t>针对性和可操作性强，</w:t>
            </w:r>
            <w:r>
              <w:rPr>
                <w:rFonts w:ascii="宋体" w:hAnsi="宋体" w:cs="宋体"/>
                <w:sz w:val="21"/>
                <w:szCs w:val="21"/>
                <w:highlight w:val="none"/>
              </w:rPr>
              <w:t>所有环节依法合规</w:t>
            </w:r>
            <w:r>
              <w:rPr>
                <w:rFonts w:hint="eastAsia" w:ascii="宋体" w:hAnsi="宋体" w:cs="宋体"/>
                <w:sz w:val="21"/>
                <w:szCs w:val="21"/>
                <w:highlight w:val="none"/>
              </w:rPr>
              <w:t>，评价为优，得17分；</w:t>
            </w:r>
          </w:p>
          <w:p>
            <w:pPr>
              <w:rPr>
                <w:rFonts w:ascii="宋体" w:hAnsi="宋体" w:cs="宋体"/>
                <w:sz w:val="21"/>
                <w:szCs w:val="21"/>
                <w:highlight w:val="none"/>
              </w:rPr>
            </w:pPr>
            <w:r>
              <w:rPr>
                <w:rFonts w:hint="eastAsia" w:ascii="宋体" w:hAnsi="宋体" w:cs="宋体"/>
                <w:sz w:val="21"/>
                <w:szCs w:val="21"/>
                <w:highlight w:val="none"/>
              </w:rPr>
              <w:t>实施方案步骤比较具体，条理较为清晰，针对性和可操作性较强，所有环节依法合规，评价为良，得10分；</w:t>
            </w:r>
          </w:p>
          <w:p>
            <w:pPr>
              <w:rPr>
                <w:rFonts w:ascii="宋体" w:hAnsi="宋体" w:cs="宋体"/>
                <w:sz w:val="21"/>
                <w:szCs w:val="21"/>
                <w:highlight w:val="none"/>
              </w:rPr>
            </w:pPr>
            <w:r>
              <w:rPr>
                <w:rFonts w:hint="eastAsia" w:ascii="宋体" w:hAnsi="宋体" w:cs="宋体"/>
                <w:sz w:val="21"/>
                <w:szCs w:val="21"/>
                <w:highlight w:val="none"/>
              </w:rPr>
              <w:t>实施方案步骤基本具体，条理基本清晰，针对性和可操作性一般，所有环节依法合规，评价为中，得5分；</w:t>
            </w:r>
          </w:p>
          <w:p>
            <w:pPr>
              <w:rPr>
                <w:sz w:val="21"/>
                <w:szCs w:val="21"/>
                <w:highlight w:val="none"/>
              </w:rPr>
            </w:pPr>
            <w:r>
              <w:rPr>
                <w:rFonts w:hint="eastAsia" w:ascii="宋体" w:hAnsi="宋体" w:cs="宋体"/>
                <w:sz w:val="21"/>
                <w:szCs w:val="21"/>
                <w:highlight w:val="none"/>
              </w:rPr>
              <w:t>实施方案不完整，条理不清晰，针对性和可操作性差，近3年招标环节被市、区财政局通报不合规，评价为差，不得分。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tcPr>
          <w:p>
            <w:pPr>
              <w:rPr>
                <w:highlight w:val="none"/>
              </w:rPr>
            </w:pPr>
          </w:p>
        </w:tc>
        <w:tc>
          <w:tcPr>
            <w:tcW w:w="990" w:type="dxa"/>
            <w:vAlign w:val="center"/>
          </w:tcPr>
          <w:p>
            <w:pPr>
              <w:jc w:val="center"/>
              <w:rPr>
                <w:highlight w:val="none"/>
              </w:rPr>
            </w:pPr>
            <w:r>
              <w:rPr>
                <w:rFonts w:hint="eastAsia"/>
                <w:highlight w:val="none"/>
              </w:rPr>
              <w:t>2</w:t>
            </w:r>
          </w:p>
        </w:tc>
        <w:tc>
          <w:tcPr>
            <w:tcW w:w="1545" w:type="dxa"/>
            <w:vAlign w:val="center"/>
          </w:tcPr>
          <w:p>
            <w:pPr>
              <w:jc w:val="center"/>
              <w:rPr>
                <w:sz w:val="21"/>
                <w:szCs w:val="21"/>
                <w:highlight w:val="none"/>
              </w:rPr>
            </w:pPr>
            <w:r>
              <w:rPr>
                <w:rFonts w:hint="eastAsia"/>
                <w:sz w:val="21"/>
                <w:szCs w:val="21"/>
                <w:highlight w:val="none"/>
              </w:rPr>
              <w:t>内控管理制度</w:t>
            </w:r>
          </w:p>
        </w:tc>
        <w:tc>
          <w:tcPr>
            <w:tcW w:w="870" w:type="dxa"/>
            <w:vAlign w:val="center"/>
          </w:tcPr>
          <w:p>
            <w:pPr>
              <w:jc w:val="center"/>
              <w:rPr>
                <w:sz w:val="21"/>
                <w:szCs w:val="21"/>
                <w:highlight w:val="none"/>
              </w:rPr>
            </w:pPr>
            <w:r>
              <w:rPr>
                <w:rFonts w:hint="eastAsia"/>
                <w:sz w:val="21"/>
                <w:szCs w:val="21"/>
                <w:highlight w:val="none"/>
              </w:rPr>
              <w:t>6</w:t>
            </w:r>
          </w:p>
        </w:tc>
        <w:tc>
          <w:tcPr>
            <w:tcW w:w="5635" w:type="dxa"/>
            <w:vAlign w:val="center"/>
          </w:tcPr>
          <w:p>
            <w:pPr>
              <w:rPr>
                <w:sz w:val="21"/>
                <w:szCs w:val="21"/>
                <w:highlight w:val="none"/>
              </w:rPr>
            </w:pPr>
            <w:r>
              <w:rPr>
                <w:rFonts w:hint="eastAsia"/>
                <w:sz w:val="21"/>
                <w:szCs w:val="21"/>
                <w:highlight w:val="none"/>
              </w:rPr>
              <w:t>投标人需提供内控流程制度及相关管理制度，包括但不限于工程招标采购代理委托管理制度、工程招标采购文件编制管理制度、信息公开管理制度、廉政管理制度、保密管理制度、岗位设置制度、员工守则制度等。</w:t>
            </w:r>
          </w:p>
          <w:p>
            <w:pPr>
              <w:rPr>
                <w:sz w:val="21"/>
                <w:szCs w:val="21"/>
                <w:highlight w:val="none"/>
              </w:rPr>
            </w:pPr>
            <w:r>
              <w:rPr>
                <w:rFonts w:hint="eastAsia"/>
                <w:sz w:val="21"/>
                <w:szCs w:val="21"/>
                <w:highlight w:val="none"/>
              </w:rPr>
              <w:t>评审专家根据投标人提供的管理制度内容进行评分：</w:t>
            </w:r>
          </w:p>
          <w:p>
            <w:pPr>
              <w:rPr>
                <w:sz w:val="21"/>
                <w:szCs w:val="21"/>
                <w:highlight w:val="none"/>
              </w:rPr>
            </w:pPr>
            <w:r>
              <w:rPr>
                <w:rFonts w:hint="eastAsia"/>
                <w:sz w:val="21"/>
                <w:szCs w:val="21"/>
                <w:highlight w:val="none"/>
              </w:rPr>
              <w:t>各项管理制度内容全面具体，条理清晰，可行性和可操作性强，评价为优，得6分；</w:t>
            </w:r>
          </w:p>
          <w:p>
            <w:pPr>
              <w:rPr>
                <w:sz w:val="21"/>
                <w:szCs w:val="21"/>
                <w:highlight w:val="none"/>
              </w:rPr>
            </w:pPr>
            <w:r>
              <w:rPr>
                <w:rFonts w:hint="eastAsia"/>
                <w:sz w:val="21"/>
                <w:szCs w:val="21"/>
                <w:highlight w:val="none"/>
              </w:rPr>
              <w:t>各项管理制度内容较为全面，条理较为清晰，可行性和可操作性较强，评价为良，得3分；</w:t>
            </w:r>
          </w:p>
          <w:p>
            <w:pPr>
              <w:rPr>
                <w:sz w:val="21"/>
                <w:szCs w:val="21"/>
                <w:highlight w:val="none"/>
              </w:rPr>
            </w:pPr>
            <w:r>
              <w:rPr>
                <w:rFonts w:hint="eastAsia"/>
                <w:sz w:val="21"/>
                <w:szCs w:val="21"/>
                <w:highlight w:val="none"/>
              </w:rPr>
              <w:t>各项管理制度内容基本全面，条理基本清晰，可行性和可操作性一般，评价为中，得1分；</w:t>
            </w:r>
          </w:p>
          <w:p>
            <w:pPr>
              <w:rPr>
                <w:sz w:val="21"/>
                <w:szCs w:val="21"/>
                <w:highlight w:val="none"/>
              </w:rPr>
            </w:pPr>
            <w:r>
              <w:rPr>
                <w:rFonts w:hint="eastAsia"/>
                <w:sz w:val="21"/>
                <w:szCs w:val="21"/>
                <w:highlight w:val="none"/>
              </w:rPr>
              <w:t>各项管理制度内容不全面，条理不清晰，可行性和可操作性差，评价为差，不得分。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tcPr>
          <w:p>
            <w:pPr>
              <w:rPr>
                <w:highlight w:val="none"/>
              </w:rPr>
            </w:pPr>
          </w:p>
        </w:tc>
        <w:tc>
          <w:tcPr>
            <w:tcW w:w="990" w:type="dxa"/>
            <w:vAlign w:val="center"/>
          </w:tcPr>
          <w:p>
            <w:pPr>
              <w:jc w:val="center"/>
              <w:rPr>
                <w:highlight w:val="none"/>
              </w:rPr>
            </w:pPr>
            <w:r>
              <w:rPr>
                <w:rFonts w:hint="eastAsia"/>
                <w:highlight w:val="none"/>
              </w:rPr>
              <w:t>3</w:t>
            </w:r>
          </w:p>
        </w:tc>
        <w:tc>
          <w:tcPr>
            <w:tcW w:w="1545" w:type="dxa"/>
            <w:vAlign w:val="center"/>
          </w:tcPr>
          <w:p>
            <w:pPr>
              <w:jc w:val="center"/>
              <w:rPr>
                <w:sz w:val="21"/>
                <w:szCs w:val="21"/>
                <w:highlight w:val="none"/>
              </w:rPr>
            </w:pPr>
            <w:r>
              <w:rPr>
                <w:rFonts w:hint="eastAsia"/>
                <w:sz w:val="21"/>
                <w:szCs w:val="21"/>
                <w:highlight w:val="none"/>
              </w:rPr>
              <w:t>代理机构规模评价</w:t>
            </w:r>
          </w:p>
        </w:tc>
        <w:tc>
          <w:tcPr>
            <w:tcW w:w="870" w:type="dxa"/>
            <w:vAlign w:val="center"/>
          </w:tcPr>
          <w:p>
            <w:pPr>
              <w:jc w:val="center"/>
              <w:rPr>
                <w:sz w:val="21"/>
                <w:szCs w:val="21"/>
                <w:highlight w:val="none"/>
              </w:rPr>
            </w:pPr>
            <w:r>
              <w:rPr>
                <w:rFonts w:hint="eastAsia"/>
                <w:sz w:val="21"/>
                <w:szCs w:val="21"/>
                <w:highlight w:val="none"/>
              </w:rPr>
              <w:t>18</w:t>
            </w:r>
          </w:p>
        </w:tc>
        <w:tc>
          <w:tcPr>
            <w:tcW w:w="5635" w:type="dxa"/>
          </w:tcPr>
          <w:p>
            <w:pPr>
              <w:numPr>
                <w:ilvl w:val="0"/>
                <w:numId w:val="1"/>
              </w:numPr>
              <w:wordWrap w:val="0"/>
              <w:rPr>
                <w:rFonts w:ascii="宋体" w:hAnsi="宋体" w:cs="宋体"/>
                <w:sz w:val="21"/>
                <w:szCs w:val="21"/>
                <w:highlight w:val="none"/>
              </w:rPr>
            </w:pPr>
            <w:r>
              <w:rPr>
                <w:rFonts w:hint="eastAsia" w:ascii="宋体" w:hAnsi="宋体" w:cs="宋体"/>
                <w:sz w:val="21"/>
                <w:szCs w:val="21"/>
                <w:highlight w:val="none"/>
              </w:rPr>
              <w:t>评分内容：</w:t>
            </w:r>
          </w:p>
          <w:p>
            <w:pPr>
              <w:jc w:val="left"/>
              <w:rPr>
                <w:rFonts w:ascii="宋体" w:hAnsi="宋体" w:cs="宋体"/>
                <w:sz w:val="21"/>
                <w:szCs w:val="21"/>
                <w:highlight w:val="none"/>
              </w:rPr>
            </w:pPr>
            <w:r>
              <w:rPr>
                <w:rFonts w:hint="eastAsia" w:ascii="宋体" w:hAnsi="宋体" w:cs="宋体"/>
                <w:sz w:val="21"/>
                <w:szCs w:val="21"/>
                <w:highlight w:val="none"/>
              </w:rPr>
              <w:t>1、有9个评标室得4分，在此基础上每增加1个加2分，最高得10分；少于9个评标室不得分；</w:t>
            </w:r>
          </w:p>
          <w:p>
            <w:pPr>
              <w:jc w:val="left"/>
              <w:rPr>
                <w:rFonts w:ascii="宋体" w:hAnsi="宋体" w:cs="宋体"/>
                <w:sz w:val="21"/>
                <w:szCs w:val="21"/>
                <w:highlight w:val="none"/>
              </w:rPr>
            </w:pPr>
            <w:r>
              <w:rPr>
                <w:rFonts w:hint="eastAsia" w:ascii="宋体" w:hAnsi="宋体" w:cs="宋体"/>
                <w:sz w:val="21"/>
                <w:szCs w:val="21"/>
                <w:highlight w:val="none"/>
              </w:rPr>
              <w:t>2、开评标监控及录音录像、办公设备设施齐全，得3分；</w:t>
            </w:r>
          </w:p>
          <w:p>
            <w:pPr>
              <w:jc w:val="left"/>
              <w:rPr>
                <w:rFonts w:ascii="宋体" w:hAnsi="宋体" w:cs="宋体"/>
                <w:sz w:val="21"/>
                <w:szCs w:val="21"/>
                <w:highlight w:val="none"/>
              </w:rPr>
            </w:pPr>
            <w:r>
              <w:rPr>
                <w:rFonts w:hint="eastAsia" w:ascii="宋体" w:hAnsi="宋体" w:cs="宋体"/>
                <w:sz w:val="21"/>
                <w:szCs w:val="21"/>
                <w:highlight w:val="none"/>
              </w:rPr>
              <w:t>3、拥有独立的档案室，得4分；</w:t>
            </w:r>
          </w:p>
          <w:p>
            <w:pPr>
              <w:jc w:val="left"/>
              <w:rPr>
                <w:rFonts w:ascii="宋体" w:hAnsi="宋体" w:cs="宋体"/>
                <w:sz w:val="21"/>
                <w:szCs w:val="21"/>
                <w:highlight w:val="none"/>
              </w:rPr>
            </w:pPr>
            <w:r>
              <w:rPr>
                <w:rFonts w:hint="eastAsia" w:ascii="宋体" w:hAnsi="宋体" w:cs="宋体"/>
                <w:sz w:val="21"/>
                <w:szCs w:val="21"/>
                <w:highlight w:val="none"/>
              </w:rPr>
              <w:t>4、拥有独立的专家休息室及抽取室，得2分。</w:t>
            </w:r>
          </w:p>
          <w:p>
            <w:pPr>
              <w:jc w:val="left"/>
              <w:rPr>
                <w:rFonts w:ascii="宋体" w:hAnsi="宋体" w:cs="宋体"/>
                <w:sz w:val="21"/>
                <w:szCs w:val="21"/>
                <w:highlight w:val="none"/>
              </w:rPr>
            </w:pPr>
            <w:r>
              <w:rPr>
                <w:rFonts w:hint="eastAsia" w:ascii="宋体" w:hAnsi="宋体" w:cs="宋体"/>
                <w:sz w:val="21"/>
                <w:szCs w:val="21"/>
                <w:highlight w:val="none"/>
              </w:rPr>
              <w:t>以上4项累加计分，最高得18分。</w:t>
            </w:r>
          </w:p>
          <w:p>
            <w:pPr>
              <w:numPr>
                <w:ilvl w:val="0"/>
                <w:numId w:val="2"/>
              </w:numPr>
              <w:jc w:val="left"/>
              <w:rPr>
                <w:rFonts w:ascii="宋体" w:hAnsi="宋体" w:cs="宋体"/>
                <w:sz w:val="21"/>
                <w:szCs w:val="21"/>
                <w:highlight w:val="none"/>
              </w:rPr>
            </w:pPr>
            <w:r>
              <w:rPr>
                <w:rFonts w:hint="eastAsia" w:ascii="宋体" w:hAnsi="宋体" w:cs="宋体"/>
                <w:sz w:val="21"/>
                <w:szCs w:val="21"/>
                <w:highlight w:val="none"/>
              </w:rPr>
              <w:t>评分依据：</w:t>
            </w:r>
          </w:p>
          <w:p>
            <w:pPr>
              <w:jc w:val="left"/>
              <w:rPr>
                <w:rFonts w:ascii="宋体" w:hAnsi="宋体" w:cs="宋体"/>
                <w:sz w:val="21"/>
                <w:szCs w:val="21"/>
                <w:highlight w:val="none"/>
              </w:rPr>
            </w:pPr>
            <w:r>
              <w:rPr>
                <w:rFonts w:hint="eastAsia" w:ascii="宋体" w:hAnsi="宋体" w:cs="宋体"/>
                <w:sz w:val="21"/>
                <w:szCs w:val="21"/>
                <w:highlight w:val="none"/>
              </w:rPr>
              <w:t>1、供应商须提供深圳市社会采购代理机构从业信息登记表（或从业登记信息审核通过截图），未提供者不得分。</w:t>
            </w:r>
          </w:p>
          <w:p>
            <w:pPr>
              <w:jc w:val="left"/>
              <w:rPr>
                <w:rFonts w:ascii="宋体" w:hAnsi="宋体" w:cs="宋体"/>
                <w:sz w:val="21"/>
                <w:szCs w:val="21"/>
                <w:highlight w:val="none"/>
              </w:rPr>
            </w:pPr>
            <w:r>
              <w:rPr>
                <w:rFonts w:hint="eastAsia" w:ascii="宋体" w:hAnsi="宋体" w:cs="宋体"/>
                <w:sz w:val="21"/>
                <w:szCs w:val="21"/>
                <w:highlight w:val="none"/>
              </w:rPr>
              <w:t>2、第1项要求提供评标室的现场照片。</w:t>
            </w:r>
          </w:p>
          <w:p>
            <w:pPr>
              <w:jc w:val="left"/>
              <w:rPr>
                <w:rFonts w:ascii="宋体" w:hAnsi="宋体" w:cs="宋体"/>
                <w:sz w:val="21"/>
                <w:szCs w:val="21"/>
                <w:highlight w:val="none"/>
              </w:rPr>
            </w:pPr>
            <w:r>
              <w:rPr>
                <w:rFonts w:hint="eastAsia" w:ascii="宋体" w:hAnsi="宋体" w:cs="宋体"/>
                <w:sz w:val="21"/>
                <w:szCs w:val="21"/>
                <w:highlight w:val="none"/>
              </w:rPr>
              <w:t>3、第2项要求提供①监控及录音录像、办公设备设施照片②不少于5个办公设备（电脑、打印机、录音录像设备等）的购置发票扫描件③监控室现场照片。</w:t>
            </w:r>
          </w:p>
          <w:p>
            <w:pPr>
              <w:jc w:val="left"/>
              <w:rPr>
                <w:rFonts w:ascii="宋体" w:hAnsi="宋体" w:cs="宋体"/>
                <w:sz w:val="21"/>
                <w:szCs w:val="21"/>
                <w:highlight w:val="none"/>
              </w:rPr>
            </w:pPr>
            <w:r>
              <w:rPr>
                <w:rFonts w:hint="eastAsia" w:ascii="宋体" w:hAnsi="宋体" w:cs="宋体"/>
                <w:sz w:val="21"/>
                <w:szCs w:val="21"/>
                <w:highlight w:val="none"/>
              </w:rPr>
              <w:t>4、第3项要求提供独立档案室的现场照片和产权证明材料（或租赁合同）复印件作为得分依据。若委托第三方保管档案，须提供与第三方签订的委托协议和档案室照片。</w:t>
            </w:r>
          </w:p>
          <w:p>
            <w:pPr>
              <w:jc w:val="left"/>
              <w:rPr>
                <w:sz w:val="21"/>
                <w:szCs w:val="21"/>
                <w:highlight w:val="none"/>
              </w:rPr>
            </w:pPr>
            <w:r>
              <w:rPr>
                <w:rFonts w:hint="eastAsia" w:ascii="宋体" w:hAnsi="宋体" w:cs="宋体"/>
                <w:sz w:val="21"/>
                <w:szCs w:val="21"/>
                <w:highlight w:val="none"/>
              </w:rPr>
              <w:t>5、第4项要求提供专家休息室及抽取室现场照片。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14" w:type="dxa"/>
            <w:vAlign w:val="center"/>
          </w:tcPr>
          <w:p>
            <w:pPr>
              <w:jc w:val="center"/>
              <w:rPr>
                <w:b/>
                <w:sz w:val="21"/>
                <w:szCs w:val="21"/>
                <w:highlight w:val="none"/>
              </w:rPr>
            </w:pPr>
            <w:r>
              <w:rPr>
                <w:rFonts w:hint="eastAsia"/>
                <w:b/>
                <w:sz w:val="21"/>
                <w:szCs w:val="21"/>
                <w:highlight w:val="none"/>
              </w:rPr>
              <w:t>3</w:t>
            </w:r>
          </w:p>
        </w:tc>
        <w:tc>
          <w:tcPr>
            <w:tcW w:w="3405" w:type="dxa"/>
            <w:gridSpan w:val="3"/>
            <w:vAlign w:val="center"/>
          </w:tcPr>
          <w:p>
            <w:pPr>
              <w:jc w:val="center"/>
              <w:rPr>
                <w:b/>
                <w:sz w:val="21"/>
                <w:szCs w:val="21"/>
                <w:highlight w:val="none"/>
              </w:rPr>
            </w:pPr>
            <w:r>
              <w:rPr>
                <w:rFonts w:hint="eastAsia"/>
                <w:b/>
                <w:sz w:val="21"/>
                <w:szCs w:val="21"/>
                <w:highlight w:val="none"/>
              </w:rPr>
              <w:t>综合实力</w:t>
            </w:r>
          </w:p>
        </w:tc>
        <w:tc>
          <w:tcPr>
            <w:tcW w:w="5635" w:type="dxa"/>
            <w:vAlign w:val="center"/>
          </w:tcPr>
          <w:p>
            <w:pPr>
              <w:jc w:val="center"/>
              <w:rPr>
                <w:rFonts w:hint="eastAsia" w:eastAsia="宋体"/>
                <w:b/>
                <w:sz w:val="21"/>
                <w:szCs w:val="21"/>
                <w:highlight w:val="none"/>
                <w:lang w:eastAsia="zh-CN"/>
              </w:rPr>
            </w:pPr>
            <w:r>
              <w:rPr>
                <w:rFonts w:hint="eastAsia"/>
                <w:b/>
                <w:sz w:val="21"/>
                <w:szCs w:val="21"/>
                <w:highlight w:val="none"/>
              </w:rPr>
              <w:t>4</w:t>
            </w:r>
            <w:r>
              <w:rPr>
                <w:rFonts w:hint="eastAsia"/>
                <w:b/>
                <w:sz w:val="21"/>
                <w:szCs w:val="21"/>
                <w:highlight w:val="no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14" w:type="dxa"/>
            <w:vMerge w:val="restart"/>
          </w:tcPr>
          <w:p>
            <w:pPr>
              <w:rPr>
                <w:highlight w:val="none"/>
              </w:rPr>
            </w:pPr>
          </w:p>
        </w:tc>
        <w:tc>
          <w:tcPr>
            <w:tcW w:w="990" w:type="dxa"/>
            <w:vAlign w:val="center"/>
          </w:tcPr>
          <w:p>
            <w:pPr>
              <w:jc w:val="center"/>
              <w:rPr>
                <w:highlight w:val="none"/>
              </w:rPr>
            </w:pPr>
            <w:r>
              <w:rPr>
                <w:b/>
                <w:bCs/>
                <w:sz w:val="21"/>
                <w:szCs w:val="21"/>
                <w:highlight w:val="none"/>
              </w:rPr>
              <w:t>序号</w:t>
            </w:r>
          </w:p>
        </w:tc>
        <w:tc>
          <w:tcPr>
            <w:tcW w:w="1545" w:type="dxa"/>
            <w:vAlign w:val="center"/>
          </w:tcPr>
          <w:p>
            <w:pPr>
              <w:jc w:val="center"/>
              <w:rPr>
                <w:highlight w:val="none"/>
              </w:rPr>
            </w:pPr>
            <w:r>
              <w:rPr>
                <w:b/>
                <w:bCs/>
                <w:sz w:val="21"/>
                <w:szCs w:val="21"/>
                <w:highlight w:val="none"/>
              </w:rPr>
              <w:t>评分因素</w:t>
            </w:r>
          </w:p>
        </w:tc>
        <w:tc>
          <w:tcPr>
            <w:tcW w:w="870" w:type="dxa"/>
            <w:vAlign w:val="center"/>
          </w:tcPr>
          <w:p>
            <w:pPr>
              <w:jc w:val="center"/>
              <w:rPr>
                <w:highlight w:val="none"/>
              </w:rPr>
            </w:pPr>
            <w:r>
              <w:rPr>
                <w:b/>
                <w:bCs/>
                <w:sz w:val="21"/>
                <w:szCs w:val="21"/>
                <w:highlight w:val="none"/>
              </w:rPr>
              <w:t>权重</w:t>
            </w:r>
          </w:p>
        </w:tc>
        <w:tc>
          <w:tcPr>
            <w:tcW w:w="5635" w:type="dxa"/>
            <w:vAlign w:val="center"/>
          </w:tcPr>
          <w:p>
            <w:pPr>
              <w:jc w:val="center"/>
              <w:rPr>
                <w:highlight w:val="none"/>
              </w:rPr>
            </w:pPr>
            <w:r>
              <w:rPr>
                <w:b/>
                <w:bCs/>
                <w:sz w:val="21"/>
                <w:szCs w:val="21"/>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tcPr>
          <w:p>
            <w:pPr>
              <w:rPr>
                <w:highlight w:val="none"/>
              </w:rPr>
            </w:pPr>
          </w:p>
        </w:tc>
        <w:tc>
          <w:tcPr>
            <w:tcW w:w="990" w:type="dxa"/>
            <w:vAlign w:val="center"/>
          </w:tcPr>
          <w:p>
            <w:pPr>
              <w:jc w:val="center"/>
              <w:rPr>
                <w:rFonts w:ascii="宋体" w:hAnsi="宋体" w:cs="宋体"/>
                <w:sz w:val="21"/>
                <w:szCs w:val="21"/>
                <w:highlight w:val="none"/>
              </w:rPr>
            </w:pPr>
            <w:r>
              <w:rPr>
                <w:rFonts w:hint="eastAsia" w:ascii="宋体" w:hAnsi="宋体" w:cs="宋体"/>
                <w:sz w:val="21"/>
                <w:szCs w:val="21"/>
                <w:highlight w:val="none"/>
              </w:rPr>
              <w:t>1</w:t>
            </w:r>
          </w:p>
        </w:tc>
        <w:tc>
          <w:tcPr>
            <w:tcW w:w="1545" w:type="dxa"/>
            <w:vAlign w:val="center"/>
          </w:tcPr>
          <w:p>
            <w:pPr>
              <w:jc w:val="center"/>
              <w:rPr>
                <w:rFonts w:ascii="宋体" w:hAnsi="宋体" w:cs="宋体"/>
                <w:sz w:val="21"/>
                <w:szCs w:val="21"/>
                <w:highlight w:val="none"/>
              </w:rPr>
            </w:pPr>
            <w:r>
              <w:rPr>
                <w:rFonts w:hint="eastAsia" w:ascii="宋体" w:hAnsi="宋体" w:cs="宋体"/>
                <w:sz w:val="21"/>
                <w:szCs w:val="21"/>
                <w:highlight w:val="none"/>
              </w:rPr>
              <w:t>同类项目业绩情况</w:t>
            </w:r>
          </w:p>
        </w:tc>
        <w:tc>
          <w:tcPr>
            <w:tcW w:w="870" w:type="dxa"/>
            <w:vAlign w:val="center"/>
          </w:tcPr>
          <w:p>
            <w:pPr>
              <w:jc w:val="center"/>
              <w:rPr>
                <w:rFonts w:ascii="宋体" w:hAnsi="宋体" w:cs="宋体"/>
                <w:sz w:val="21"/>
                <w:szCs w:val="21"/>
                <w:highlight w:val="none"/>
              </w:rPr>
            </w:pPr>
            <w:r>
              <w:rPr>
                <w:rFonts w:hint="eastAsia" w:ascii="宋体" w:hAnsi="宋体" w:cs="宋体"/>
                <w:sz w:val="21"/>
                <w:szCs w:val="21"/>
                <w:highlight w:val="none"/>
              </w:rPr>
              <w:t>28</w:t>
            </w:r>
          </w:p>
        </w:tc>
        <w:tc>
          <w:tcPr>
            <w:tcW w:w="5635" w:type="dxa"/>
          </w:tcPr>
          <w:p>
            <w:pPr>
              <w:jc w:val="left"/>
              <w:rPr>
                <w:rFonts w:ascii="宋体" w:hAnsi="宋体" w:cs="宋体"/>
                <w:sz w:val="21"/>
                <w:szCs w:val="21"/>
                <w:highlight w:val="none"/>
              </w:rPr>
            </w:pPr>
            <w:r>
              <w:rPr>
                <w:rFonts w:hint="eastAsia" w:ascii="宋体" w:hAnsi="宋体" w:cs="宋体"/>
                <w:sz w:val="21"/>
                <w:szCs w:val="21"/>
                <w:highlight w:val="none"/>
              </w:rPr>
              <w:t>1、投标人提供2020年1月1日至本项目截标之日内所签订的</w:t>
            </w:r>
            <w:r>
              <w:rPr>
                <w:rFonts w:hint="eastAsia" w:ascii="宋体" w:hAnsi="宋体" w:cs="宋体"/>
                <w:sz w:val="21"/>
                <w:szCs w:val="21"/>
                <w:highlight w:val="none"/>
                <w:lang w:val="en-US" w:eastAsia="zh-CN"/>
              </w:rPr>
              <w:t>工程类</w:t>
            </w:r>
            <w:r>
              <w:rPr>
                <w:rFonts w:hint="eastAsia" w:ascii="宋体" w:hAnsi="宋体" w:cs="宋体"/>
                <w:sz w:val="21"/>
                <w:szCs w:val="21"/>
                <w:highlight w:val="none"/>
              </w:rPr>
              <w:t>代理合同（以合同签订日期为准），提供</w:t>
            </w:r>
            <w:r>
              <w:rPr>
                <w:rFonts w:hint="eastAsia" w:ascii="宋体" w:hAnsi="宋体" w:cs="宋体"/>
                <w:sz w:val="21"/>
                <w:szCs w:val="21"/>
                <w:highlight w:val="none"/>
                <w:lang w:val="en-US" w:eastAsia="zh-CN"/>
              </w:rPr>
              <w:t>15</w:t>
            </w:r>
            <w:r>
              <w:rPr>
                <w:rFonts w:hint="eastAsia" w:ascii="宋体" w:hAnsi="宋体" w:cs="宋体"/>
                <w:sz w:val="21"/>
                <w:szCs w:val="21"/>
                <w:highlight w:val="none"/>
              </w:rPr>
              <w:t>个及以上合同得12分；提供</w:t>
            </w:r>
            <w:r>
              <w:rPr>
                <w:rFonts w:hint="eastAsia" w:ascii="宋体" w:hAnsi="宋体" w:cs="宋体"/>
                <w:sz w:val="21"/>
                <w:szCs w:val="21"/>
                <w:highlight w:val="none"/>
                <w:lang w:val="en-US" w:eastAsia="zh-CN"/>
              </w:rPr>
              <w:t>10</w:t>
            </w:r>
            <w:r>
              <w:rPr>
                <w:rFonts w:hint="eastAsia" w:ascii="宋体" w:hAnsi="宋体" w:cs="宋体"/>
                <w:sz w:val="21"/>
                <w:szCs w:val="21"/>
                <w:highlight w:val="none"/>
              </w:rPr>
              <w:t>（含）-</w:t>
            </w:r>
            <w:r>
              <w:rPr>
                <w:rFonts w:hint="eastAsia" w:ascii="宋体" w:hAnsi="宋体" w:cs="宋体"/>
                <w:sz w:val="21"/>
                <w:szCs w:val="21"/>
                <w:highlight w:val="none"/>
                <w:lang w:val="en-US" w:eastAsia="zh-CN"/>
              </w:rPr>
              <w:t>1</w:t>
            </w:r>
            <w:r>
              <w:rPr>
                <w:rFonts w:hint="eastAsia" w:ascii="宋体" w:hAnsi="宋体" w:cs="宋体"/>
                <w:sz w:val="21"/>
                <w:szCs w:val="21"/>
                <w:highlight w:val="none"/>
              </w:rPr>
              <w:t>5个合同得6分；提供5（含）-</w:t>
            </w:r>
            <w:r>
              <w:rPr>
                <w:rFonts w:hint="eastAsia" w:ascii="宋体" w:hAnsi="宋体" w:cs="宋体"/>
                <w:sz w:val="21"/>
                <w:szCs w:val="21"/>
                <w:highlight w:val="none"/>
                <w:lang w:val="en-US" w:eastAsia="zh-CN"/>
              </w:rPr>
              <w:t>1</w:t>
            </w:r>
            <w:r>
              <w:rPr>
                <w:rFonts w:hint="eastAsia" w:ascii="宋体" w:hAnsi="宋体" w:cs="宋体"/>
                <w:sz w:val="21"/>
                <w:szCs w:val="21"/>
                <w:highlight w:val="none"/>
              </w:rPr>
              <w:t>0个合同得3分；提供5个以下合同得1分，未提供不得分。本项最高得12分。（投标人提供</w:t>
            </w:r>
            <w:r>
              <w:rPr>
                <w:rFonts w:hint="eastAsia" w:ascii="宋体" w:hAnsi="宋体" w:cs="宋体"/>
                <w:sz w:val="21"/>
                <w:szCs w:val="21"/>
                <w:highlight w:val="none"/>
                <w:lang w:val="en-US" w:eastAsia="zh-CN"/>
              </w:rPr>
              <w:t>交易集团招标项目</w:t>
            </w:r>
            <w:r>
              <w:rPr>
                <w:rFonts w:hint="eastAsia" w:ascii="宋体" w:hAnsi="宋体" w:cs="宋体"/>
                <w:sz w:val="21"/>
                <w:szCs w:val="21"/>
                <w:highlight w:val="none"/>
              </w:rPr>
              <w:t>合同关键页</w:t>
            </w:r>
            <w:r>
              <w:rPr>
                <w:rFonts w:hint="eastAsia" w:ascii="宋体" w:hAnsi="宋体" w:cs="宋体"/>
                <w:sz w:val="21"/>
                <w:szCs w:val="21"/>
                <w:highlight w:val="none"/>
                <w:lang w:val="en-US" w:eastAsia="zh-CN"/>
              </w:rPr>
              <w:t>复印件</w:t>
            </w:r>
            <w:r>
              <w:rPr>
                <w:rFonts w:hint="eastAsia" w:ascii="宋体" w:hAnsi="宋体" w:cs="宋体"/>
                <w:sz w:val="21"/>
                <w:szCs w:val="21"/>
                <w:highlight w:val="none"/>
              </w:rPr>
              <w:t>作为得分依据，同一家</w:t>
            </w:r>
            <w:r>
              <w:rPr>
                <w:rFonts w:hint="eastAsia" w:ascii="宋体" w:hAnsi="宋体" w:cs="宋体"/>
                <w:sz w:val="21"/>
                <w:szCs w:val="21"/>
                <w:highlight w:val="none"/>
                <w:lang w:val="en-US" w:eastAsia="zh-CN"/>
              </w:rPr>
              <w:t>单位</w:t>
            </w:r>
            <w:r>
              <w:rPr>
                <w:rFonts w:hint="eastAsia" w:ascii="宋体" w:hAnsi="宋体" w:cs="宋体"/>
                <w:sz w:val="21"/>
                <w:szCs w:val="21"/>
                <w:highlight w:val="none"/>
              </w:rPr>
              <w:t>多次签约的只计算为一个合同。）</w:t>
            </w:r>
          </w:p>
          <w:p>
            <w:pPr>
              <w:jc w:val="left"/>
              <w:rPr>
                <w:rFonts w:hint="default" w:eastAsia="宋体"/>
                <w:highlight w:val="none"/>
                <w:lang w:val="en-US" w:eastAsia="zh-CN"/>
              </w:rPr>
            </w:pPr>
            <w:r>
              <w:rPr>
                <w:rFonts w:hint="eastAsia" w:ascii="宋体" w:hAnsi="宋体" w:cs="宋体"/>
                <w:sz w:val="21"/>
                <w:szCs w:val="21"/>
                <w:highlight w:val="none"/>
              </w:rPr>
              <w:t>2、投标人提供2020年1月1日至本项目截标之日内招标采购代理工程类项目合计在</w:t>
            </w:r>
            <w:r>
              <w:rPr>
                <w:rFonts w:hint="eastAsia" w:ascii="宋体" w:hAnsi="宋体" w:cs="宋体"/>
                <w:sz w:val="21"/>
                <w:szCs w:val="21"/>
                <w:highlight w:val="none"/>
                <w:lang w:val="en-US" w:eastAsia="zh-CN"/>
              </w:rPr>
              <w:t>25</w:t>
            </w:r>
            <w:r>
              <w:rPr>
                <w:rFonts w:hint="eastAsia" w:ascii="宋体" w:hAnsi="宋体" w:cs="宋体"/>
                <w:sz w:val="21"/>
                <w:szCs w:val="21"/>
                <w:highlight w:val="none"/>
              </w:rPr>
              <w:t>0个以上得16分；合计</w:t>
            </w:r>
            <w:r>
              <w:rPr>
                <w:rFonts w:hint="eastAsia" w:ascii="宋体" w:hAnsi="宋体" w:cs="宋体"/>
                <w:sz w:val="21"/>
                <w:szCs w:val="21"/>
                <w:highlight w:val="none"/>
                <w:lang w:val="en-US" w:eastAsia="zh-CN"/>
              </w:rPr>
              <w:t>15</w:t>
            </w:r>
            <w:r>
              <w:rPr>
                <w:rFonts w:hint="eastAsia" w:ascii="宋体" w:hAnsi="宋体" w:cs="宋体"/>
                <w:sz w:val="21"/>
                <w:szCs w:val="21"/>
                <w:highlight w:val="none"/>
              </w:rPr>
              <w:t>0（含）―</w:t>
            </w:r>
            <w:r>
              <w:rPr>
                <w:rFonts w:hint="eastAsia" w:ascii="宋体" w:hAnsi="宋体" w:cs="宋体"/>
                <w:sz w:val="21"/>
                <w:szCs w:val="21"/>
                <w:highlight w:val="none"/>
                <w:lang w:val="en-US" w:eastAsia="zh-CN"/>
              </w:rPr>
              <w:t>25</w:t>
            </w:r>
            <w:r>
              <w:rPr>
                <w:rFonts w:hint="eastAsia" w:ascii="宋体" w:hAnsi="宋体" w:cs="宋体"/>
                <w:sz w:val="21"/>
                <w:szCs w:val="21"/>
                <w:highlight w:val="none"/>
              </w:rPr>
              <w:t>0个项目得8分；合计100（含）―</w:t>
            </w:r>
            <w:r>
              <w:rPr>
                <w:rFonts w:hint="eastAsia" w:ascii="宋体" w:hAnsi="宋体" w:cs="宋体"/>
                <w:sz w:val="21"/>
                <w:szCs w:val="21"/>
                <w:highlight w:val="none"/>
                <w:lang w:val="en-US" w:eastAsia="zh-CN"/>
              </w:rPr>
              <w:t>15</w:t>
            </w:r>
            <w:r>
              <w:rPr>
                <w:rFonts w:hint="eastAsia" w:ascii="宋体" w:hAnsi="宋体" w:cs="宋体"/>
                <w:sz w:val="21"/>
                <w:szCs w:val="21"/>
                <w:highlight w:val="none"/>
              </w:rPr>
              <w:t>0个项目得4分；合计50（含）―100个项目得1分，合计50个项目以下得0分。提供已完成的招标代理项目明细清单</w:t>
            </w:r>
            <w:r>
              <w:rPr>
                <w:rFonts w:hint="eastAsia" w:ascii="宋体" w:hAnsi="宋体" w:cs="宋体"/>
                <w:sz w:val="21"/>
                <w:szCs w:val="21"/>
                <w:highlight w:val="none"/>
                <w:lang w:eastAsia="zh-CN"/>
              </w:rPr>
              <w:t>，</w:t>
            </w:r>
            <w:r>
              <w:rPr>
                <w:rFonts w:hint="eastAsia" w:ascii="宋体" w:hAnsi="宋体" w:cs="宋体"/>
                <w:sz w:val="21"/>
                <w:szCs w:val="21"/>
                <w:highlight w:val="none"/>
              </w:rPr>
              <w:t>清单格式不限，但必须包含①项目名称、②采购单位、③预算金额、④中标金额</w:t>
            </w:r>
            <w:r>
              <w:rPr>
                <w:rFonts w:hint="eastAsia" w:ascii="宋体" w:hAnsi="宋体" w:cs="宋体"/>
                <w:sz w:val="21"/>
                <w:szCs w:val="21"/>
                <w:highlight w:val="none"/>
                <w:lang w:val="en-US" w:eastAsia="zh-CN"/>
              </w:rPr>
              <w:t>/下浮率</w:t>
            </w:r>
            <w:r>
              <w:rPr>
                <w:rFonts w:hint="eastAsia" w:ascii="宋体" w:hAnsi="宋体" w:cs="宋体"/>
                <w:sz w:val="21"/>
                <w:szCs w:val="21"/>
                <w:highlight w:val="none"/>
              </w:rPr>
              <w:t>、⑤中标时间五项内容，缺少前述任一序列内容的，视为无效证明材料，本项不得分</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未提供者不得分。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tcPr>
          <w:p>
            <w:pPr>
              <w:rPr>
                <w:highlight w:val="none"/>
              </w:rPr>
            </w:pPr>
          </w:p>
        </w:tc>
        <w:tc>
          <w:tcPr>
            <w:tcW w:w="990" w:type="dxa"/>
            <w:vAlign w:val="center"/>
          </w:tcPr>
          <w:p>
            <w:pPr>
              <w:jc w:val="center"/>
              <w:rPr>
                <w:rFonts w:ascii="宋体" w:hAnsi="宋体" w:cs="宋体"/>
                <w:sz w:val="21"/>
                <w:szCs w:val="21"/>
                <w:highlight w:val="none"/>
              </w:rPr>
            </w:pPr>
            <w:r>
              <w:rPr>
                <w:rFonts w:hint="eastAsia" w:ascii="宋体" w:hAnsi="宋体" w:cs="宋体"/>
                <w:sz w:val="21"/>
                <w:szCs w:val="21"/>
                <w:highlight w:val="none"/>
              </w:rPr>
              <w:t>2</w:t>
            </w:r>
          </w:p>
        </w:tc>
        <w:tc>
          <w:tcPr>
            <w:tcW w:w="1545" w:type="dxa"/>
            <w:vAlign w:val="center"/>
          </w:tcPr>
          <w:p>
            <w:pPr>
              <w:jc w:val="center"/>
              <w:rPr>
                <w:rFonts w:ascii="宋体" w:hAnsi="宋体" w:cs="宋体"/>
                <w:sz w:val="21"/>
                <w:szCs w:val="21"/>
                <w:highlight w:val="none"/>
              </w:rPr>
            </w:pPr>
            <w:r>
              <w:rPr>
                <w:rFonts w:hint="eastAsia" w:ascii="宋体" w:hAnsi="宋体" w:cs="宋体"/>
                <w:sz w:val="21"/>
                <w:szCs w:val="21"/>
                <w:highlight w:val="none"/>
              </w:rPr>
              <w:t>拟安排的项目负责人情况</w:t>
            </w:r>
          </w:p>
        </w:tc>
        <w:tc>
          <w:tcPr>
            <w:tcW w:w="870" w:type="dxa"/>
            <w:vAlign w:val="center"/>
          </w:tcPr>
          <w:p>
            <w:pPr>
              <w:jc w:val="center"/>
              <w:rPr>
                <w:rFonts w:ascii="宋体" w:hAnsi="宋体" w:cs="宋体"/>
                <w:sz w:val="21"/>
                <w:szCs w:val="21"/>
                <w:highlight w:val="none"/>
              </w:rPr>
            </w:pPr>
            <w:r>
              <w:rPr>
                <w:rFonts w:hint="eastAsia" w:ascii="宋体" w:hAnsi="宋体" w:cs="宋体"/>
                <w:sz w:val="21"/>
                <w:szCs w:val="21"/>
                <w:highlight w:val="none"/>
              </w:rPr>
              <w:t>8</w:t>
            </w:r>
          </w:p>
        </w:tc>
        <w:tc>
          <w:tcPr>
            <w:tcW w:w="5635" w:type="dxa"/>
          </w:tcPr>
          <w:p>
            <w:pPr>
              <w:wordWrap w:val="0"/>
              <w:rPr>
                <w:rFonts w:ascii="宋体" w:hAnsi="宋体" w:cs="宋体"/>
                <w:sz w:val="21"/>
                <w:szCs w:val="21"/>
                <w:highlight w:val="none"/>
              </w:rPr>
            </w:pPr>
            <w:r>
              <w:rPr>
                <w:rFonts w:hint="eastAsia" w:ascii="宋体" w:hAnsi="宋体" w:cs="宋体"/>
                <w:sz w:val="21"/>
                <w:szCs w:val="21"/>
                <w:highlight w:val="none"/>
              </w:rPr>
              <w:t>（一）评分内容：</w:t>
            </w:r>
          </w:p>
          <w:p>
            <w:pPr>
              <w:jc w:val="left"/>
              <w:rPr>
                <w:rFonts w:ascii="宋体" w:hAnsi="宋体" w:cs="宋体"/>
                <w:sz w:val="21"/>
                <w:szCs w:val="21"/>
                <w:highlight w:val="none"/>
              </w:rPr>
            </w:pPr>
            <w:r>
              <w:rPr>
                <w:rFonts w:hint="eastAsia" w:ascii="宋体" w:hAnsi="宋体" w:cs="宋体"/>
                <w:sz w:val="21"/>
                <w:szCs w:val="21"/>
                <w:highlight w:val="none"/>
              </w:rPr>
              <w:t>拟安排的项目负责人须为投标人自有员工，提供近</w:t>
            </w:r>
            <w:r>
              <w:rPr>
                <w:rFonts w:hint="eastAsia" w:ascii="宋体" w:hAnsi="宋体" w:cs="宋体"/>
                <w:sz w:val="21"/>
                <w:szCs w:val="21"/>
                <w:highlight w:val="none"/>
                <w:lang w:val="en-US" w:eastAsia="zh-CN"/>
              </w:rPr>
              <w:t>1</w:t>
            </w:r>
            <w:r>
              <w:rPr>
                <w:rFonts w:hint="eastAsia" w:ascii="宋体" w:hAnsi="宋体" w:cs="宋体"/>
                <w:sz w:val="21"/>
                <w:szCs w:val="21"/>
                <w:highlight w:val="none"/>
              </w:rPr>
              <w:t>个月在投标单位缴纳载有社保部门公章的社保缴</w:t>
            </w:r>
            <w:r>
              <w:rPr>
                <w:rFonts w:hint="eastAsia" w:ascii="宋体" w:hAnsi="宋体" w:cs="宋体"/>
                <w:sz w:val="21"/>
                <w:szCs w:val="21"/>
                <w:highlight w:val="none"/>
                <w:lang w:val="en-US" w:eastAsia="zh-CN"/>
              </w:rPr>
              <w:t>纳</w:t>
            </w:r>
            <w:r>
              <w:rPr>
                <w:rFonts w:hint="eastAsia" w:ascii="宋体" w:hAnsi="宋体" w:cs="宋体"/>
                <w:sz w:val="21"/>
                <w:szCs w:val="21"/>
                <w:highlight w:val="none"/>
              </w:rPr>
              <w:t>证明材料。在此基础上：</w:t>
            </w:r>
          </w:p>
          <w:p>
            <w:pPr>
              <w:jc w:val="left"/>
              <w:rPr>
                <w:rFonts w:ascii="宋体" w:hAnsi="宋体" w:cs="宋体"/>
                <w:sz w:val="21"/>
                <w:szCs w:val="21"/>
                <w:highlight w:val="none"/>
              </w:rPr>
            </w:pPr>
            <w:r>
              <w:rPr>
                <w:rFonts w:hint="eastAsia" w:ascii="宋体" w:hAnsi="宋体" w:cs="宋体"/>
                <w:sz w:val="21"/>
                <w:szCs w:val="21"/>
                <w:highlight w:val="none"/>
              </w:rPr>
              <w:t>1、拟安排项目负责人具有一级造价工程师，得2分；</w:t>
            </w:r>
          </w:p>
          <w:p>
            <w:pPr>
              <w:jc w:val="left"/>
              <w:rPr>
                <w:rFonts w:ascii="宋体" w:hAnsi="宋体" w:cs="宋体"/>
                <w:sz w:val="21"/>
                <w:szCs w:val="21"/>
                <w:highlight w:val="none"/>
              </w:rPr>
            </w:pPr>
            <w:r>
              <w:rPr>
                <w:rFonts w:hint="eastAsia" w:ascii="宋体" w:hAnsi="宋体" w:cs="宋体"/>
                <w:sz w:val="21"/>
                <w:szCs w:val="21"/>
                <w:highlight w:val="none"/>
              </w:rPr>
              <w:t>2、拟安排项目负责人具有本科及以上学历，得2分；</w:t>
            </w:r>
          </w:p>
          <w:p>
            <w:pPr>
              <w:jc w:val="left"/>
              <w:rPr>
                <w:rFonts w:ascii="宋体" w:hAnsi="宋体" w:cs="宋体"/>
                <w:sz w:val="21"/>
                <w:szCs w:val="21"/>
                <w:highlight w:val="none"/>
              </w:rPr>
            </w:pPr>
            <w:r>
              <w:rPr>
                <w:rFonts w:hint="eastAsia" w:ascii="宋体" w:hAnsi="宋体" w:cs="宋体"/>
                <w:sz w:val="21"/>
                <w:szCs w:val="21"/>
                <w:highlight w:val="none"/>
              </w:rPr>
              <w:t>3、拟安排项目负责人具有10年及以上工程类相关工作经验，得4分。</w:t>
            </w:r>
          </w:p>
          <w:p>
            <w:pPr>
              <w:wordWrap w:val="0"/>
              <w:rPr>
                <w:rFonts w:ascii="宋体" w:hAnsi="宋体" w:cs="宋体"/>
                <w:sz w:val="21"/>
                <w:szCs w:val="21"/>
                <w:highlight w:val="none"/>
              </w:rPr>
            </w:pPr>
            <w:r>
              <w:rPr>
                <w:rFonts w:hint="eastAsia" w:ascii="宋体" w:hAnsi="宋体" w:cs="宋体"/>
                <w:sz w:val="21"/>
                <w:szCs w:val="21"/>
                <w:highlight w:val="none"/>
              </w:rPr>
              <w:t>以上4项累加计分，最高得8分。</w:t>
            </w:r>
          </w:p>
          <w:p>
            <w:pPr>
              <w:numPr>
                <w:ilvl w:val="0"/>
                <w:numId w:val="1"/>
              </w:numPr>
              <w:wordWrap w:val="0"/>
              <w:rPr>
                <w:rFonts w:ascii="宋体" w:hAnsi="宋体" w:cs="宋体"/>
                <w:sz w:val="21"/>
                <w:szCs w:val="21"/>
                <w:highlight w:val="none"/>
              </w:rPr>
            </w:pPr>
            <w:r>
              <w:rPr>
                <w:rFonts w:hint="eastAsia" w:ascii="宋体" w:hAnsi="宋体" w:cs="宋体"/>
                <w:sz w:val="21"/>
                <w:szCs w:val="21"/>
                <w:highlight w:val="none"/>
              </w:rPr>
              <w:t>评分依据：</w:t>
            </w:r>
          </w:p>
          <w:p>
            <w:pPr>
              <w:wordWrap w:val="0"/>
              <w:rPr>
                <w:rFonts w:ascii="宋体" w:hAnsi="宋体" w:cs="宋体"/>
                <w:sz w:val="21"/>
                <w:szCs w:val="21"/>
                <w:highlight w:val="none"/>
              </w:rPr>
            </w:pPr>
            <w:r>
              <w:rPr>
                <w:rFonts w:hint="eastAsia" w:ascii="宋体" w:hAnsi="宋体" w:cs="宋体"/>
                <w:sz w:val="21"/>
                <w:szCs w:val="21"/>
                <w:highlight w:val="none"/>
              </w:rPr>
              <w:t>1、第1项要求提供职称扫描件作为得分依据。</w:t>
            </w:r>
          </w:p>
          <w:p>
            <w:pPr>
              <w:wordWrap w:val="0"/>
              <w:rPr>
                <w:rFonts w:ascii="宋体" w:hAnsi="宋体" w:cs="宋体"/>
                <w:sz w:val="21"/>
                <w:szCs w:val="21"/>
                <w:highlight w:val="none"/>
              </w:rPr>
            </w:pPr>
            <w:r>
              <w:rPr>
                <w:rFonts w:hint="eastAsia" w:ascii="宋体" w:hAnsi="宋体" w:cs="宋体"/>
                <w:sz w:val="21"/>
                <w:szCs w:val="21"/>
                <w:highlight w:val="none"/>
              </w:rPr>
              <w:t>2、第2项要求提供学历证书扫描件。</w:t>
            </w:r>
          </w:p>
          <w:p>
            <w:pPr>
              <w:wordWrap w:val="0"/>
              <w:rPr>
                <w:rFonts w:ascii="宋体" w:hAnsi="宋体" w:cs="宋体"/>
                <w:sz w:val="21"/>
                <w:szCs w:val="21"/>
                <w:highlight w:val="none"/>
              </w:rPr>
            </w:pPr>
            <w:r>
              <w:rPr>
                <w:rFonts w:hint="eastAsia" w:ascii="宋体" w:hAnsi="宋体" w:cs="宋体"/>
                <w:sz w:val="21"/>
                <w:szCs w:val="21"/>
                <w:highlight w:val="none"/>
              </w:rPr>
              <w:t>3、第3项要求提供劳动合同或社保缴费记录或工作经验证明文件。</w:t>
            </w:r>
          </w:p>
          <w:p>
            <w:pPr>
              <w:wordWrap w:val="0"/>
              <w:rPr>
                <w:b/>
                <w:bCs/>
                <w:highlight w:val="none"/>
              </w:rPr>
            </w:pPr>
            <w:r>
              <w:rPr>
                <w:rFonts w:ascii="宋体" w:hAnsi="宋体" w:cs="宋体"/>
                <w:sz w:val="21"/>
                <w:szCs w:val="21"/>
                <w:highlight w:val="none"/>
              </w:rPr>
              <w:t>备注：未提供上述材料不得分。评分中出现无证明资料或专家无法凭所提供资料判断是否得分的情况，一律</w:t>
            </w:r>
            <w:r>
              <w:rPr>
                <w:rFonts w:hint="eastAsia" w:ascii="宋体" w:hAnsi="宋体" w:cs="宋体"/>
                <w:sz w:val="21"/>
                <w:szCs w:val="21"/>
                <w:highlight w:val="none"/>
              </w:rPr>
              <w:t>不得分</w:t>
            </w:r>
            <w:r>
              <w:rPr>
                <w:rFonts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tcPr>
          <w:p>
            <w:pPr>
              <w:rPr>
                <w:highlight w:val="none"/>
              </w:rPr>
            </w:pPr>
          </w:p>
        </w:tc>
        <w:tc>
          <w:tcPr>
            <w:tcW w:w="990" w:type="dxa"/>
            <w:vAlign w:val="center"/>
          </w:tcPr>
          <w:p>
            <w:pPr>
              <w:wordWrap w:val="0"/>
              <w:jc w:val="center"/>
              <w:rPr>
                <w:rFonts w:ascii="宋体" w:hAnsi="宋体" w:cs="宋体"/>
                <w:sz w:val="21"/>
                <w:szCs w:val="21"/>
                <w:highlight w:val="none"/>
              </w:rPr>
            </w:pPr>
            <w:r>
              <w:rPr>
                <w:rFonts w:hint="eastAsia" w:ascii="宋体" w:hAnsi="宋体" w:cs="宋体"/>
                <w:sz w:val="21"/>
                <w:szCs w:val="21"/>
                <w:highlight w:val="none"/>
              </w:rPr>
              <w:t>3</w:t>
            </w:r>
          </w:p>
        </w:tc>
        <w:tc>
          <w:tcPr>
            <w:tcW w:w="1545" w:type="dxa"/>
            <w:vAlign w:val="center"/>
          </w:tcPr>
          <w:p>
            <w:pPr>
              <w:wordWrap w:val="0"/>
              <w:jc w:val="center"/>
              <w:rPr>
                <w:highlight w:val="none"/>
              </w:rPr>
            </w:pPr>
            <w:r>
              <w:rPr>
                <w:rFonts w:hint="eastAsia" w:ascii="宋体" w:hAnsi="宋体" w:cs="宋体"/>
                <w:sz w:val="21"/>
                <w:szCs w:val="21"/>
                <w:highlight w:val="none"/>
              </w:rPr>
              <w:t>拟安排的项目团队成员情况（项目负责人除外）</w:t>
            </w:r>
          </w:p>
        </w:tc>
        <w:tc>
          <w:tcPr>
            <w:tcW w:w="870" w:type="dxa"/>
            <w:vAlign w:val="center"/>
          </w:tcPr>
          <w:p>
            <w:pPr>
              <w:wordWrap w:val="0"/>
              <w:jc w:val="center"/>
              <w:rPr>
                <w:highlight w:val="none"/>
              </w:rPr>
            </w:pPr>
            <w:r>
              <w:rPr>
                <w:rFonts w:hint="eastAsia" w:ascii="宋体" w:hAnsi="宋体" w:cs="宋体"/>
                <w:sz w:val="21"/>
                <w:szCs w:val="21"/>
                <w:highlight w:val="none"/>
              </w:rPr>
              <w:t>8</w:t>
            </w:r>
          </w:p>
        </w:tc>
        <w:tc>
          <w:tcPr>
            <w:tcW w:w="5635" w:type="dxa"/>
          </w:tcPr>
          <w:p>
            <w:pPr>
              <w:wordWrap w:val="0"/>
              <w:rPr>
                <w:rFonts w:ascii="宋体" w:hAnsi="宋体" w:cs="宋体"/>
                <w:sz w:val="21"/>
                <w:szCs w:val="21"/>
                <w:highlight w:val="none"/>
              </w:rPr>
            </w:pPr>
            <w:r>
              <w:rPr>
                <w:rFonts w:hint="eastAsia" w:ascii="宋体" w:hAnsi="宋体" w:cs="宋体"/>
                <w:sz w:val="21"/>
                <w:szCs w:val="21"/>
                <w:highlight w:val="none"/>
              </w:rPr>
              <w:t>（一）评分内容：</w:t>
            </w:r>
          </w:p>
          <w:p>
            <w:pPr>
              <w:wordWrap w:val="0"/>
              <w:rPr>
                <w:rFonts w:ascii="宋体" w:hAnsi="宋体" w:cs="宋体"/>
                <w:sz w:val="21"/>
                <w:szCs w:val="21"/>
                <w:highlight w:val="none"/>
              </w:rPr>
            </w:pPr>
            <w:r>
              <w:rPr>
                <w:rFonts w:hint="eastAsia" w:ascii="宋体" w:hAnsi="宋体" w:cs="宋体"/>
                <w:sz w:val="21"/>
                <w:szCs w:val="21"/>
                <w:highlight w:val="none"/>
              </w:rPr>
              <w:t>投标人提供至少5名拟安排的专职工作人员名单（格式自拟，内容包含专职人员的姓名、学历、专业、职称、从事招标代理的工作年限等）。</w:t>
            </w:r>
          </w:p>
          <w:p>
            <w:pPr>
              <w:numPr>
                <w:ilvl w:val="0"/>
                <w:numId w:val="3"/>
              </w:numPr>
              <w:wordWrap w:val="0"/>
              <w:rPr>
                <w:rFonts w:ascii="宋体" w:hAnsi="宋体" w:cs="宋体"/>
                <w:sz w:val="21"/>
                <w:szCs w:val="21"/>
                <w:highlight w:val="none"/>
              </w:rPr>
            </w:pPr>
            <w:r>
              <w:rPr>
                <w:rFonts w:hint="eastAsia" w:ascii="宋体" w:hAnsi="宋体" w:cs="宋体"/>
                <w:sz w:val="21"/>
                <w:szCs w:val="21"/>
                <w:highlight w:val="none"/>
              </w:rPr>
              <w:t>拟安排的专职人员具有3年及以上招标代理业务经验，每提供1个得1分，最高得5分。</w:t>
            </w:r>
          </w:p>
          <w:p>
            <w:pPr>
              <w:numPr>
                <w:ilvl w:val="0"/>
                <w:numId w:val="3"/>
              </w:numPr>
              <w:wordWrap w:val="0"/>
              <w:rPr>
                <w:rFonts w:ascii="宋体" w:hAnsi="宋体" w:cs="宋体"/>
                <w:sz w:val="21"/>
                <w:szCs w:val="21"/>
                <w:highlight w:val="none"/>
              </w:rPr>
            </w:pPr>
            <w:r>
              <w:rPr>
                <w:rFonts w:hint="eastAsia" w:ascii="宋体" w:hAnsi="宋体" w:cs="宋体"/>
                <w:sz w:val="21"/>
                <w:szCs w:val="21"/>
                <w:highlight w:val="none"/>
              </w:rPr>
              <w:t>拟安排的专职人员具有中级以上技术职称的，每1人得1分，最高得3分。</w:t>
            </w:r>
          </w:p>
          <w:p>
            <w:pPr>
              <w:tabs>
                <w:tab w:val="left" w:pos="312"/>
              </w:tabs>
              <w:wordWrap w:val="0"/>
              <w:rPr>
                <w:rFonts w:ascii="宋体" w:hAnsi="宋体" w:cs="宋体"/>
                <w:sz w:val="21"/>
                <w:szCs w:val="21"/>
                <w:highlight w:val="none"/>
              </w:rPr>
            </w:pPr>
            <w:r>
              <w:rPr>
                <w:rFonts w:hint="eastAsia" w:ascii="宋体" w:hAnsi="宋体" w:cs="宋体"/>
                <w:sz w:val="21"/>
                <w:szCs w:val="21"/>
                <w:highlight w:val="none"/>
              </w:rPr>
              <w:t>以上2项累加计分，最高得8分。</w:t>
            </w:r>
          </w:p>
          <w:p>
            <w:pPr>
              <w:tabs>
                <w:tab w:val="left" w:pos="312"/>
              </w:tabs>
              <w:wordWrap w:val="0"/>
              <w:rPr>
                <w:rFonts w:ascii="宋体" w:hAnsi="宋体" w:cs="宋体"/>
                <w:sz w:val="21"/>
                <w:szCs w:val="21"/>
                <w:highlight w:val="none"/>
              </w:rPr>
            </w:pPr>
            <w:r>
              <w:rPr>
                <w:rFonts w:hint="eastAsia" w:ascii="宋体" w:hAnsi="宋体" w:cs="宋体"/>
                <w:sz w:val="21"/>
                <w:szCs w:val="21"/>
                <w:highlight w:val="none"/>
              </w:rPr>
              <w:t>（二）评分依据：</w:t>
            </w:r>
          </w:p>
          <w:p>
            <w:pPr>
              <w:tabs>
                <w:tab w:val="left" w:pos="312"/>
              </w:tabs>
              <w:wordWrap w:val="0"/>
              <w:rPr>
                <w:rFonts w:ascii="宋体" w:hAnsi="宋体" w:cs="宋体"/>
                <w:sz w:val="21"/>
                <w:szCs w:val="21"/>
                <w:highlight w:val="none"/>
              </w:rPr>
            </w:pPr>
            <w:r>
              <w:rPr>
                <w:rFonts w:hint="eastAsia" w:ascii="宋体" w:hAnsi="宋体" w:cs="宋体"/>
                <w:sz w:val="21"/>
                <w:szCs w:val="21"/>
                <w:highlight w:val="none"/>
              </w:rPr>
              <w:t>1</w:t>
            </w:r>
            <w:r>
              <w:rPr>
                <w:rFonts w:ascii="宋体" w:hAnsi="宋体" w:cs="宋体"/>
                <w:sz w:val="21"/>
                <w:szCs w:val="21"/>
                <w:highlight w:val="none"/>
              </w:rPr>
              <w:t>、提供学历证书扫描件。</w:t>
            </w:r>
          </w:p>
          <w:p>
            <w:pPr>
              <w:pStyle w:val="5"/>
              <w:spacing w:after="0" w:line="240" w:lineRule="auto"/>
              <w:ind w:left="0" w:leftChars="0"/>
              <w:rPr>
                <w:highlight w:val="none"/>
              </w:rPr>
            </w:pPr>
            <w:r>
              <w:rPr>
                <w:rFonts w:hint="eastAsia" w:ascii="宋体" w:hAnsi="宋体" w:cs="宋体"/>
                <w:sz w:val="21"/>
                <w:szCs w:val="21"/>
                <w:highlight w:val="none"/>
              </w:rPr>
              <w:t>2、</w:t>
            </w:r>
            <w:r>
              <w:rPr>
                <w:rFonts w:ascii="宋体" w:hAnsi="宋体" w:cs="宋体"/>
                <w:sz w:val="21"/>
                <w:szCs w:val="21"/>
                <w:highlight w:val="none"/>
              </w:rPr>
              <w:t>第</w:t>
            </w:r>
            <w:r>
              <w:rPr>
                <w:rFonts w:hint="eastAsia" w:ascii="宋体" w:hAnsi="宋体" w:cs="宋体"/>
                <w:sz w:val="21"/>
                <w:szCs w:val="21"/>
                <w:highlight w:val="none"/>
              </w:rPr>
              <w:t>1</w:t>
            </w:r>
            <w:r>
              <w:rPr>
                <w:rFonts w:ascii="宋体" w:hAnsi="宋体" w:cs="宋体"/>
                <w:sz w:val="21"/>
                <w:szCs w:val="21"/>
                <w:highlight w:val="none"/>
              </w:rPr>
              <w:t>项要求</w:t>
            </w:r>
            <w:r>
              <w:rPr>
                <w:rFonts w:hint="eastAsia" w:ascii="宋体" w:hAnsi="宋体" w:cs="宋体"/>
                <w:sz w:val="21"/>
                <w:szCs w:val="21"/>
                <w:highlight w:val="none"/>
              </w:rPr>
              <w:t>提供劳动</w:t>
            </w:r>
            <w:r>
              <w:rPr>
                <w:rFonts w:ascii="宋体" w:hAnsi="宋体" w:cs="宋体"/>
                <w:sz w:val="21"/>
                <w:szCs w:val="21"/>
                <w:highlight w:val="none"/>
              </w:rPr>
              <w:t>合同</w:t>
            </w:r>
            <w:r>
              <w:rPr>
                <w:rFonts w:hint="eastAsia" w:ascii="宋体" w:hAnsi="宋体" w:cs="宋体"/>
                <w:sz w:val="21"/>
                <w:szCs w:val="21"/>
                <w:highlight w:val="none"/>
              </w:rPr>
              <w:t>或社保缴费记录</w:t>
            </w:r>
            <w:r>
              <w:rPr>
                <w:rFonts w:ascii="宋体" w:hAnsi="宋体" w:cs="宋体"/>
                <w:sz w:val="21"/>
                <w:szCs w:val="21"/>
                <w:highlight w:val="none"/>
              </w:rPr>
              <w:t>或</w:t>
            </w:r>
            <w:bookmarkStart w:id="1" w:name="_GoBack"/>
            <w:bookmarkEnd w:id="1"/>
            <w:r>
              <w:rPr>
                <w:rFonts w:ascii="宋体" w:hAnsi="宋体" w:cs="宋体"/>
                <w:sz w:val="21"/>
                <w:szCs w:val="21"/>
                <w:highlight w:val="none"/>
              </w:rPr>
              <w:t>工作经验证明文件</w:t>
            </w:r>
            <w:r>
              <w:rPr>
                <w:rFonts w:hint="eastAsia" w:ascii="宋体" w:hAnsi="宋体" w:cs="宋体"/>
                <w:sz w:val="21"/>
                <w:szCs w:val="21"/>
                <w:highlight w:val="none"/>
              </w:rPr>
              <w:t>。</w:t>
            </w:r>
          </w:p>
          <w:p>
            <w:pPr>
              <w:tabs>
                <w:tab w:val="left" w:pos="312"/>
              </w:tabs>
              <w:wordWrap w:val="0"/>
              <w:rPr>
                <w:rFonts w:ascii="宋体" w:hAnsi="宋体" w:cs="宋体"/>
                <w:sz w:val="21"/>
                <w:szCs w:val="21"/>
                <w:highlight w:val="none"/>
              </w:rPr>
            </w:pPr>
            <w:r>
              <w:rPr>
                <w:rFonts w:hint="eastAsia" w:ascii="宋体" w:hAnsi="宋体" w:cs="宋体"/>
                <w:sz w:val="21"/>
                <w:szCs w:val="21"/>
                <w:highlight w:val="none"/>
              </w:rPr>
              <w:t>3、</w:t>
            </w:r>
            <w:r>
              <w:rPr>
                <w:rFonts w:ascii="宋体" w:hAnsi="宋体" w:cs="宋体"/>
                <w:sz w:val="21"/>
                <w:szCs w:val="21"/>
                <w:highlight w:val="none"/>
              </w:rPr>
              <w:t>第</w:t>
            </w:r>
            <w:r>
              <w:rPr>
                <w:rFonts w:hint="eastAsia" w:ascii="宋体" w:hAnsi="宋体" w:cs="宋体"/>
                <w:sz w:val="21"/>
                <w:szCs w:val="21"/>
                <w:highlight w:val="none"/>
              </w:rPr>
              <w:t>2</w:t>
            </w:r>
            <w:r>
              <w:rPr>
                <w:rFonts w:ascii="宋体" w:hAnsi="宋体" w:cs="宋体"/>
                <w:sz w:val="21"/>
                <w:szCs w:val="21"/>
                <w:highlight w:val="none"/>
              </w:rPr>
              <w:t>项要求</w:t>
            </w:r>
            <w:r>
              <w:rPr>
                <w:rFonts w:hint="eastAsia" w:ascii="宋体" w:hAnsi="宋体" w:cs="宋体"/>
                <w:sz w:val="21"/>
                <w:szCs w:val="21"/>
                <w:highlight w:val="none"/>
              </w:rPr>
              <w:t>提供职称证书扫描件</w:t>
            </w:r>
            <w:r>
              <w:rPr>
                <w:rFonts w:ascii="宋体" w:hAnsi="宋体" w:cs="宋体"/>
                <w:sz w:val="21"/>
                <w:szCs w:val="21"/>
                <w:highlight w:val="none"/>
              </w:rPr>
              <w:t>。</w:t>
            </w:r>
          </w:p>
          <w:p>
            <w:pPr>
              <w:tabs>
                <w:tab w:val="left" w:pos="312"/>
              </w:tabs>
              <w:wordWrap w:val="0"/>
              <w:rPr>
                <w:rFonts w:ascii="宋体" w:hAnsi="宋体" w:cs="宋体"/>
                <w:sz w:val="21"/>
                <w:szCs w:val="21"/>
                <w:highlight w:val="none"/>
              </w:rPr>
            </w:pPr>
            <w:r>
              <w:rPr>
                <w:rFonts w:hint="eastAsia" w:ascii="宋体" w:hAnsi="宋体" w:cs="宋体"/>
                <w:sz w:val="21"/>
                <w:szCs w:val="21"/>
                <w:highlight w:val="none"/>
              </w:rPr>
              <w:t>4、拟安排的专职人员须为投标人自有员工，且常驻深圳，提供近</w:t>
            </w:r>
            <w:r>
              <w:rPr>
                <w:rFonts w:hint="eastAsia" w:ascii="宋体" w:hAnsi="宋体" w:cs="宋体"/>
                <w:sz w:val="21"/>
                <w:szCs w:val="21"/>
                <w:highlight w:val="none"/>
                <w:lang w:val="en-US" w:eastAsia="zh-CN"/>
              </w:rPr>
              <w:t>1</w:t>
            </w:r>
            <w:r>
              <w:rPr>
                <w:rFonts w:hint="eastAsia" w:ascii="宋体" w:hAnsi="宋体" w:cs="宋体"/>
                <w:sz w:val="21"/>
                <w:szCs w:val="21"/>
                <w:highlight w:val="none"/>
              </w:rPr>
              <w:t>个月在投标单位缴纳载有社保部门公章的社保缴</w:t>
            </w:r>
            <w:r>
              <w:rPr>
                <w:rFonts w:hint="eastAsia" w:ascii="宋体" w:hAnsi="宋体" w:cs="宋体"/>
                <w:sz w:val="21"/>
                <w:szCs w:val="21"/>
                <w:highlight w:val="none"/>
                <w:lang w:val="en-US" w:eastAsia="zh-CN"/>
              </w:rPr>
              <w:t>纳</w:t>
            </w:r>
            <w:r>
              <w:rPr>
                <w:rFonts w:hint="eastAsia" w:ascii="宋体" w:hAnsi="宋体" w:cs="宋体"/>
                <w:sz w:val="21"/>
                <w:szCs w:val="21"/>
                <w:highlight w:val="none"/>
              </w:rPr>
              <w:t>证明材料。未提供社保缴</w:t>
            </w:r>
            <w:r>
              <w:rPr>
                <w:rFonts w:hint="eastAsia" w:ascii="宋体" w:hAnsi="宋体" w:cs="宋体"/>
                <w:sz w:val="21"/>
                <w:szCs w:val="21"/>
                <w:highlight w:val="none"/>
                <w:lang w:val="en-US" w:eastAsia="zh-CN"/>
              </w:rPr>
              <w:t>纳</w:t>
            </w:r>
            <w:r>
              <w:rPr>
                <w:rFonts w:hint="eastAsia" w:ascii="宋体" w:hAnsi="宋体" w:cs="宋体"/>
                <w:sz w:val="21"/>
                <w:szCs w:val="21"/>
                <w:highlight w:val="none"/>
              </w:rPr>
              <w:t>证明材料的，本项均不得分。</w:t>
            </w:r>
          </w:p>
          <w:p>
            <w:pPr>
              <w:tabs>
                <w:tab w:val="left" w:pos="312"/>
              </w:tabs>
              <w:wordWrap w:val="0"/>
              <w:rPr>
                <w:highlight w:val="none"/>
              </w:rPr>
            </w:pPr>
            <w:r>
              <w:rPr>
                <w:rFonts w:hint="eastAsia" w:ascii="宋体" w:hAnsi="宋体" w:cs="宋体"/>
                <w:sz w:val="21"/>
                <w:szCs w:val="21"/>
                <w:highlight w:val="none"/>
              </w:rPr>
              <w:t>备注：未提供上述材料不得分。评分中出现无证明资料或专家无法凭所提供资料判断是否得分的情况，一律不得分。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tcPr>
          <w:p>
            <w:pPr>
              <w:rPr>
                <w:highlight w:val="none"/>
              </w:rPr>
            </w:pPr>
          </w:p>
        </w:tc>
        <w:tc>
          <w:tcPr>
            <w:tcW w:w="990" w:type="dxa"/>
            <w:vAlign w:val="center"/>
          </w:tcPr>
          <w:p>
            <w:pPr>
              <w:wordWrap w:val="0"/>
              <w:jc w:val="center"/>
              <w:rPr>
                <w:rFonts w:ascii="宋体" w:hAnsi="宋体" w:cs="宋体"/>
                <w:sz w:val="21"/>
                <w:szCs w:val="21"/>
                <w:highlight w:val="none"/>
              </w:rPr>
            </w:pPr>
            <w:r>
              <w:rPr>
                <w:rFonts w:hint="eastAsia" w:ascii="宋体" w:hAnsi="宋体" w:cs="宋体"/>
                <w:sz w:val="21"/>
                <w:szCs w:val="21"/>
                <w:highlight w:val="none"/>
              </w:rPr>
              <w:t>4</w:t>
            </w:r>
          </w:p>
        </w:tc>
        <w:tc>
          <w:tcPr>
            <w:tcW w:w="1545" w:type="dxa"/>
            <w:vAlign w:val="center"/>
          </w:tcPr>
          <w:p>
            <w:pPr>
              <w:wordWrap w:val="0"/>
              <w:jc w:val="center"/>
              <w:rPr>
                <w:rFonts w:ascii="宋体" w:hAnsi="宋体" w:cs="宋体"/>
                <w:sz w:val="21"/>
                <w:szCs w:val="21"/>
                <w:highlight w:val="none"/>
              </w:rPr>
            </w:pPr>
            <w:r>
              <w:rPr>
                <w:rFonts w:hint="eastAsia" w:ascii="宋体" w:hAnsi="宋体" w:cs="宋体"/>
                <w:sz w:val="21"/>
                <w:szCs w:val="21"/>
                <w:highlight w:val="none"/>
              </w:rPr>
              <w:t>相关认证</w:t>
            </w:r>
          </w:p>
        </w:tc>
        <w:tc>
          <w:tcPr>
            <w:tcW w:w="870" w:type="dxa"/>
            <w:vAlign w:val="center"/>
          </w:tcPr>
          <w:p>
            <w:pPr>
              <w:wordWrap w:val="0"/>
              <w:jc w:val="center"/>
              <w:rPr>
                <w:rFonts w:ascii="宋体" w:hAnsi="宋体" w:cs="宋体"/>
                <w:sz w:val="21"/>
                <w:szCs w:val="21"/>
                <w:highlight w:val="none"/>
              </w:rPr>
            </w:pPr>
            <w:r>
              <w:rPr>
                <w:rFonts w:hint="eastAsia" w:ascii="宋体" w:hAnsi="宋体" w:cs="宋体"/>
                <w:sz w:val="21"/>
                <w:szCs w:val="21"/>
                <w:highlight w:val="none"/>
              </w:rPr>
              <w:t>3</w:t>
            </w:r>
          </w:p>
        </w:tc>
        <w:tc>
          <w:tcPr>
            <w:tcW w:w="5635" w:type="dxa"/>
          </w:tcPr>
          <w:p>
            <w:pPr>
              <w:wordWrap w:val="0"/>
              <w:rPr>
                <w:rFonts w:ascii="宋体" w:hAnsi="宋体" w:cs="宋体"/>
                <w:sz w:val="21"/>
                <w:szCs w:val="21"/>
                <w:highlight w:val="none"/>
              </w:rPr>
            </w:pPr>
            <w:r>
              <w:rPr>
                <w:rFonts w:hint="eastAsia" w:ascii="宋体" w:hAnsi="宋体" w:cs="宋体"/>
                <w:sz w:val="21"/>
                <w:szCs w:val="21"/>
                <w:highlight w:val="none"/>
              </w:rPr>
              <w:t>投标人提供有效期内的下列认证证书扫描件，每提供一项的1分，满分3分，未提供不得分：</w:t>
            </w:r>
          </w:p>
          <w:p>
            <w:pPr>
              <w:wordWrap w:val="0"/>
              <w:rPr>
                <w:rFonts w:hint="eastAsia" w:ascii="宋体" w:hAnsi="宋体" w:cs="宋体"/>
                <w:sz w:val="21"/>
                <w:szCs w:val="21"/>
                <w:highlight w:val="none"/>
              </w:rPr>
            </w:pPr>
            <w:r>
              <w:rPr>
                <w:rFonts w:hint="eastAsia" w:ascii="宋体" w:hAnsi="宋体" w:cs="宋体"/>
                <w:sz w:val="21"/>
                <w:szCs w:val="21"/>
                <w:highlight w:val="none"/>
              </w:rPr>
              <w:t>①质量管理体系认证证书；</w:t>
            </w:r>
          </w:p>
          <w:p>
            <w:pPr>
              <w:wordWrap w:val="0"/>
              <w:rPr>
                <w:rFonts w:ascii="宋体" w:hAnsi="宋体" w:cs="宋体"/>
                <w:sz w:val="21"/>
                <w:szCs w:val="21"/>
                <w:highlight w:val="none"/>
              </w:rPr>
            </w:pPr>
            <w:r>
              <w:rPr>
                <w:rFonts w:hint="eastAsia" w:ascii="宋体" w:hAnsi="宋体" w:cs="宋体"/>
                <w:sz w:val="21"/>
                <w:szCs w:val="21"/>
                <w:highlight w:val="none"/>
              </w:rPr>
              <w:t>②环境管理体系认证证书；</w:t>
            </w:r>
          </w:p>
          <w:p>
            <w:pPr>
              <w:wordWrap w:val="0"/>
              <w:rPr>
                <w:rFonts w:ascii="宋体" w:hAnsi="宋体" w:cs="宋体"/>
                <w:sz w:val="21"/>
                <w:szCs w:val="21"/>
                <w:highlight w:val="none"/>
              </w:rPr>
            </w:pPr>
            <w:r>
              <w:rPr>
                <w:rFonts w:hint="eastAsia" w:ascii="宋体" w:hAnsi="宋体" w:cs="宋体"/>
                <w:sz w:val="21"/>
                <w:szCs w:val="21"/>
                <w:highlight w:val="none"/>
              </w:rPr>
              <w:t>③职业健康管理体系认证；</w:t>
            </w:r>
          </w:p>
          <w:p>
            <w:pPr>
              <w:wordWrap w:val="0"/>
              <w:rPr>
                <w:highlight w:val="none"/>
              </w:rPr>
            </w:pPr>
            <w:r>
              <w:rPr>
                <w:rFonts w:hint="eastAsia" w:ascii="宋体" w:hAnsi="宋体" w:cs="宋体"/>
                <w:sz w:val="21"/>
                <w:szCs w:val="21"/>
                <w:highlight w:val="none"/>
              </w:rPr>
              <w:t>备注：评分中出现无证明资料或证书过期或专家无法凭所提供资料判断是否得分的情况，一律不得分。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tcPr>
          <w:p>
            <w:pPr>
              <w:rPr>
                <w:highlight w:val="none"/>
              </w:rPr>
            </w:pPr>
          </w:p>
        </w:tc>
        <w:tc>
          <w:tcPr>
            <w:tcW w:w="990" w:type="dxa"/>
            <w:vAlign w:val="center"/>
          </w:tcPr>
          <w:p>
            <w:pPr>
              <w:wordWrap w:val="0"/>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5</w:t>
            </w:r>
          </w:p>
        </w:tc>
        <w:tc>
          <w:tcPr>
            <w:tcW w:w="1545" w:type="dxa"/>
            <w:vAlign w:val="center"/>
          </w:tcPr>
          <w:p>
            <w:pPr>
              <w:wordWrap w:val="0"/>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服务便利度</w:t>
            </w:r>
          </w:p>
        </w:tc>
        <w:tc>
          <w:tcPr>
            <w:tcW w:w="870" w:type="dxa"/>
            <w:vAlign w:val="center"/>
          </w:tcPr>
          <w:p>
            <w:pPr>
              <w:wordWrap w:val="0"/>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p>
        </w:tc>
        <w:tc>
          <w:tcPr>
            <w:tcW w:w="5635" w:type="dxa"/>
          </w:tcPr>
          <w:p>
            <w:pPr>
              <w:wordWrap w:val="0"/>
              <w:rPr>
                <w:rFonts w:hint="eastAsia" w:ascii="宋体" w:hAnsi="宋体" w:cs="宋体"/>
                <w:sz w:val="21"/>
                <w:szCs w:val="21"/>
                <w:highlight w:val="none"/>
                <w:lang w:eastAsia="zh-CN"/>
              </w:rPr>
            </w:pPr>
            <w:r>
              <w:rPr>
                <w:rFonts w:hint="eastAsia" w:ascii="宋体" w:hAnsi="宋体" w:cs="宋体"/>
                <w:sz w:val="21"/>
                <w:szCs w:val="21"/>
                <w:highlight w:val="none"/>
              </w:rPr>
              <w:t>在龙岗有评标点或承诺中标后1个月内在龙岗设评标点</w:t>
            </w:r>
            <w:r>
              <w:rPr>
                <w:rFonts w:hint="eastAsia" w:ascii="宋体" w:hAnsi="宋体" w:cs="宋体"/>
                <w:sz w:val="21"/>
                <w:szCs w:val="21"/>
                <w:highlight w:val="none"/>
                <w:lang w:eastAsia="zh-CN"/>
              </w:rPr>
              <w:t>。</w:t>
            </w:r>
          </w:p>
          <w:p>
            <w:pPr>
              <w:wordWrap w:val="0"/>
              <w:rPr>
                <w:rFonts w:hint="default"/>
                <w:highlight w:val="none"/>
                <w:lang w:val="en-US" w:eastAsia="zh-CN"/>
              </w:rPr>
            </w:pPr>
            <w:r>
              <w:rPr>
                <w:rFonts w:hint="eastAsia" w:ascii="宋体" w:hAnsi="宋体" w:cs="宋体"/>
                <w:sz w:val="21"/>
                <w:szCs w:val="21"/>
                <w:highlight w:val="none"/>
              </w:rPr>
              <w:t>提供承诺函（格式自拟）得2分，未提供不得分。</w:t>
            </w:r>
          </w:p>
        </w:tc>
      </w:tr>
    </w:tbl>
    <w:p>
      <w:bookmarkStart w:id="0" w:name="InsertEnd"/>
      <w:bookmarkEnd w:id="0"/>
    </w:p>
    <w:sectPr>
      <w:pgSz w:w="11906" w:h="16838"/>
      <w:pgMar w:top="1134"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D1F44C"/>
    <w:multiLevelType w:val="singleLevel"/>
    <w:tmpl w:val="EDD1F44C"/>
    <w:lvl w:ilvl="0" w:tentative="0">
      <w:start w:val="2"/>
      <w:numFmt w:val="chineseCounting"/>
      <w:suff w:val="nothing"/>
      <w:lvlText w:val="（%1）"/>
      <w:lvlJc w:val="left"/>
      <w:rPr>
        <w:rFonts w:hint="eastAsia"/>
      </w:rPr>
    </w:lvl>
  </w:abstractNum>
  <w:abstractNum w:abstractNumId="1">
    <w:nsid w:val="028894CE"/>
    <w:multiLevelType w:val="singleLevel"/>
    <w:tmpl w:val="028894CE"/>
    <w:lvl w:ilvl="0" w:tentative="0">
      <w:start w:val="1"/>
      <w:numFmt w:val="chineseCounting"/>
      <w:suff w:val="nothing"/>
      <w:lvlText w:val="（%1）"/>
      <w:lvlJc w:val="left"/>
      <w:rPr>
        <w:rFonts w:hint="eastAsia"/>
      </w:rPr>
    </w:lvl>
  </w:abstractNum>
  <w:abstractNum w:abstractNumId="2">
    <w:nsid w:val="089D86F1"/>
    <w:multiLevelType w:val="singleLevel"/>
    <w:tmpl w:val="089D86F1"/>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5NWMzYTViN2RiMjhmMDY5MDlkZTM2YzZiZjliM2MifQ=="/>
  </w:docVars>
  <w:rsids>
    <w:rsidRoot w:val="5DEB7752"/>
    <w:rsid w:val="001F42A0"/>
    <w:rsid w:val="002602E9"/>
    <w:rsid w:val="00276551"/>
    <w:rsid w:val="00360E24"/>
    <w:rsid w:val="003D5CAD"/>
    <w:rsid w:val="006C3330"/>
    <w:rsid w:val="006E24FF"/>
    <w:rsid w:val="007314A1"/>
    <w:rsid w:val="00736748"/>
    <w:rsid w:val="00761913"/>
    <w:rsid w:val="00784B83"/>
    <w:rsid w:val="00841982"/>
    <w:rsid w:val="00955D2C"/>
    <w:rsid w:val="00A03936"/>
    <w:rsid w:val="00A72D17"/>
    <w:rsid w:val="00A87F74"/>
    <w:rsid w:val="00AD7398"/>
    <w:rsid w:val="00B04A44"/>
    <w:rsid w:val="00B06606"/>
    <w:rsid w:val="00B976BB"/>
    <w:rsid w:val="00BA0116"/>
    <w:rsid w:val="00C25668"/>
    <w:rsid w:val="00C84172"/>
    <w:rsid w:val="00CF7BFF"/>
    <w:rsid w:val="00D11838"/>
    <w:rsid w:val="00D4286B"/>
    <w:rsid w:val="0156352C"/>
    <w:rsid w:val="01E17FAF"/>
    <w:rsid w:val="02645FED"/>
    <w:rsid w:val="030B47EA"/>
    <w:rsid w:val="03D472D2"/>
    <w:rsid w:val="03DB41BC"/>
    <w:rsid w:val="043F299D"/>
    <w:rsid w:val="04657F2A"/>
    <w:rsid w:val="047563BF"/>
    <w:rsid w:val="05DD7740"/>
    <w:rsid w:val="05F96B7B"/>
    <w:rsid w:val="06956C5C"/>
    <w:rsid w:val="07F97307"/>
    <w:rsid w:val="08393BA7"/>
    <w:rsid w:val="08BD6586"/>
    <w:rsid w:val="092263E9"/>
    <w:rsid w:val="09616F12"/>
    <w:rsid w:val="09887CB5"/>
    <w:rsid w:val="09EB2C7F"/>
    <w:rsid w:val="0A590531"/>
    <w:rsid w:val="0A5E78F5"/>
    <w:rsid w:val="0A825391"/>
    <w:rsid w:val="0A913826"/>
    <w:rsid w:val="0B1D155E"/>
    <w:rsid w:val="0BA13F3D"/>
    <w:rsid w:val="0C4B5C57"/>
    <w:rsid w:val="0D032E47"/>
    <w:rsid w:val="0D15073F"/>
    <w:rsid w:val="0D6245C0"/>
    <w:rsid w:val="0DEE2D3E"/>
    <w:rsid w:val="0E213113"/>
    <w:rsid w:val="0EC51CF1"/>
    <w:rsid w:val="0F1B4006"/>
    <w:rsid w:val="0F754B3D"/>
    <w:rsid w:val="10345380"/>
    <w:rsid w:val="10507CE0"/>
    <w:rsid w:val="10FB151F"/>
    <w:rsid w:val="11C72224"/>
    <w:rsid w:val="11E06E41"/>
    <w:rsid w:val="11F333FC"/>
    <w:rsid w:val="12107727"/>
    <w:rsid w:val="131274CE"/>
    <w:rsid w:val="13C92283"/>
    <w:rsid w:val="13F37300"/>
    <w:rsid w:val="141E7F46"/>
    <w:rsid w:val="14972381"/>
    <w:rsid w:val="14BF5434"/>
    <w:rsid w:val="14D62EA9"/>
    <w:rsid w:val="14D964F6"/>
    <w:rsid w:val="152F25BA"/>
    <w:rsid w:val="160D0CC2"/>
    <w:rsid w:val="160E2D03"/>
    <w:rsid w:val="1635775C"/>
    <w:rsid w:val="16A13043"/>
    <w:rsid w:val="16DA0303"/>
    <w:rsid w:val="175E0F34"/>
    <w:rsid w:val="17852965"/>
    <w:rsid w:val="179E03F5"/>
    <w:rsid w:val="17B07195"/>
    <w:rsid w:val="188249D3"/>
    <w:rsid w:val="18FD6DA5"/>
    <w:rsid w:val="19461A5F"/>
    <w:rsid w:val="198E2E15"/>
    <w:rsid w:val="1ACF2F1C"/>
    <w:rsid w:val="1B270C0E"/>
    <w:rsid w:val="1B75684C"/>
    <w:rsid w:val="1CC127E7"/>
    <w:rsid w:val="1CC57360"/>
    <w:rsid w:val="1DF5145A"/>
    <w:rsid w:val="1E2D340E"/>
    <w:rsid w:val="1E5170FD"/>
    <w:rsid w:val="1E5B7C47"/>
    <w:rsid w:val="1E7159F1"/>
    <w:rsid w:val="1F9279CD"/>
    <w:rsid w:val="201725C8"/>
    <w:rsid w:val="203942EC"/>
    <w:rsid w:val="20633533"/>
    <w:rsid w:val="21521B0A"/>
    <w:rsid w:val="22212BA3"/>
    <w:rsid w:val="228757E3"/>
    <w:rsid w:val="23C30A9D"/>
    <w:rsid w:val="23FC7B0B"/>
    <w:rsid w:val="2580476C"/>
    <w:rsid w:val="260F6C7E"/>
    <w:rsid w:val="26647BE9"/>
    <w:rsid w:val="26AE60BB"/>
    <w:rsid w:val="26F947D6"/>
    <w:rsid w:val="27007912"/>
    <w:rsid w:val="27BA1BD2"/>
    <w:rsid w:val="27CC3C98"/>
    <w:rsid w:val="28500425"/>
    <w:rsid w:val="288A7DDB"/>
    <w:rsid w:val="28BA7F95"/>
    <w:rsid w:val="28C841C6"/>
    <w:rsid w:val="28D20880"/>
    <w:rsid w:val="2912392D"/>
    <w:rsid w:val="29FB2613"/>
    <w:rsid w:val="2A553F7E"/>
    <w:rsid w:val="2AAD433F"/>
    <w:rsid w:val="2B25203D"/>
    <w:rsid w:val="2BE63FE5"/>
    <w:rsid w:val="2C752B50"/>
    <w:rsid w:val="2CB2757D"/>
    <w:rsid w:val="2CDA3C02"/>
    <w:rsid w:val="2D2E4AC5"/>
    <w:rsid w:val="2D546C0A"/>
    <w:rsid w:val="2D5B3AF4"/>
    <w:rsid w:val="2E132621"/>
    <w:rsid w:val="2E690493"/>
    <w:rsid w:val="2E9B6172"/>
    <w:rsid w:val="2F1E127D"/>
    <w:rsid w:val="2F223DA9"/>
    <w:rsid w:val="2F3740ED"/>
    <w:rsid w:val="2F3C37B2"/>
    <w:rsid w:val="2FA572A9"/>
    <w:rsid w:val="307A0735"/>
    <w:rsid w:val="30A92DC8"/>
    <w:rsid w:val="31496359"/>
    <w:rsid w:val="339715FE"/>
    <w:rsid w:val="33B41377"/>
    <w:rsid w:val="342B5D7A"/>
    <w:rsid w:val="342F1837"/>
    <w:rsid w:val="34C21E44"/>
    <w:rsid w:val="34E42621"/>
    <w:rsid w:val="360311CD"/>
    <w:rsid w:val="36932551"/>
    <w:rsid w:val="36CF10AF"/>
    <w:rsid w:val="374970B3"/>
    <w:rsid w:val="3761554E"/>
    <w:rsid w:val="38165564"/>
    <w:rsid w:val="38C84008"/>
    <w:rsid w:val="39094D4C"/>
    <w:rsid w:val="39551D3F"/>
    <w:rsid w:val="397877DC"/>
    <w:rsid w:val="3A282FB0"/>
    <w:rsid w:val="3A3A2CE3"/>
    <w:rsid w:val="3BF5059A"/>
    <w:rsid w:val="3C814BF9"/>
    <w:rsid w:val="3CA32DC2"/>
    <w:rsid w:val="3CE34F52"/>
    <w:rsid w:val="3CF31938"/>
    <w:rsid w:val="3CF950D8"/>
    <w:rsid w:val="3CFD6976"/>
    <w:rsid w:val="3D0117ED"/>
    <w:rsid w:val="3D3B124C"/>
    <w:rsid w:val="3D45031D"/>
    <w:rsid w:val="3D467882"/>
    <w:rsid w:val="3E1D6BA4"/>
    <w:rsid w:val="3E261EFC"/>
    <w:rsid w:val="3E646581"/>
    <w:rsid w:val="3EC0417E"/>
    <w:rsid w:val="3F4C14EF"/>
    <w:rsid w:val="3F6C393F"/>
    <w:rsid w:val="40CD75B4"/>
    <w:rsid w:val="40F736DC"/>
    <w:rsid w:val="413C266C"/>
    <w:rsid w:val="41405872"/>
    <w:rsid w:val="41FF6CEC"/>
    <w:rsid w:val="42AE426E"/>
    <w:rsid w:val="438E21FA"/>
    <w:rsid w:val="44191BBB"/>
    <w:rsid w:val="444906F3"/>
    <w:rsid w:val="44B244EA"/>
    <w:rsid w:val="44CD6C33"/>
    <w:rsid w:val="44D501D8"/>
    <w:rsid w:val="44DA134B"/>
    <w:rsid w:val="451124F4"/>
    <w:rsid w:val="456A6B72"/>
    <w:rsid w:val="45FC3543"/>
    <w:rsid w:val="46144D30"/>
    <w:rsid w:val="4618037D"/>
    <w:rsid w:val="462431C5"/>
    <w:rsid w:val="46945D0A"/>
    <w:rsid w:val="470E4BB7"/>
    <w:rsid w:val="47431429"/>
    <w:rsid w:val="47887784"/>
    <w:rsid w:val="47F045E0"/>
    <w:rsid w:val="480E67F8"/>
    <w:rsid w:val="4880045B"/>
    <w:rsid w:val="489839F7"/>
    <w:rsid w:val="48B60321"/>
    <w:rsid w:val="49042E3A"/>
    <w:rsid w:val="492B6619"/>
    <w:rsid w:val="49867CF3"/>
    <w:rsid w:val="49A07ED7"/>
    <w:rsid w:val="49D86032"/>
    <w:rsid w:val="49F7474D"/>
    <w:rsid w:val="4AF64A04"/>
    <w:rsid w:val="4B3519D1"/>
    <w:rsid w:val="4B44381C"/>
    <w:rsid w:val="4B7F49FA"/>
    <w:rsid w:val="4BA20244"/>
    <w:rsid w:val="4BDE5BC4"/>
    <w:rsid w:val="4C5440D8"/>
    <w:rsid w:val="4C8D3147"/>
    <w:rsid w:val="4CA95D86"/>
    <w:rsid w:val="4CC47896"/>
    <w:rsid w:val="4F260FFE"/>
    <w:rsid w:val="4F6D6E2A"/>
    <w:rsid w:val="50395ABF"/>
    <w:rsid w:val="50C74BE8"/>
    <w:rsid w:val="51167BAE"/>
    <w:rsid w:val="513B13C3"/>
    <w:rsid w:val="52A71888"/>
    <w:rsid w:val="52B171FA"/>
    <w:rsid w:val="52F61889"/>
    <w:rsid w:val="53101E8A"/>
    <w:rsid w:val="533D7674"/>
    <w:rsid w:val="5384019D"/>
    <w:rsid w:val="54F06C40"/>
    <w:rsid w:val="5515565F"/>
    <w:rsid w:val="554051FA"/>
    <w:rsid w:val="57AF6667"/>
    <w:rsid w:val="58403763"/>
    <w:rsid w:val="587167CD"/>
    <w:rsid w:val="59575208"/>
    <w:rsid w:val="59B00787"/>
    <w:rsid w:val="59C0182F"/>
    <w:rsid w:val="5A117165"/>
    <w:rsid w:val="5A4C4641"/>
    <w:rsid w:val="5A4C63EF"/>
    <w:rsid w:val="5A802B93"/>
    <w:rsid w:val="5AD22D98"/>
    <w:rsid w:val="5B08347B"/>
    <w:rsid w:val="5B1A029B"/>
    <w:rsid w:val="5B835E40"/>
    <w:rsid w:val="5BA65FD3"/>
    <w:rsid w:val="5BF40AEC"/>
    <w:rsid w:val="5CE768A3"/>
    <w:rsid w:val="5D9B1B67"/>
    <w:rsid w:val="5DEB7752"/>
    <w:rsid w:val="5EEB766C"/>
    <w:rsid w:val="5F322057"/>
    <w:rsid w:val="5F904FD0"/>
    <w:rsid w:val="604F3145"/>
    <w:rsid w:val="60E07891"/>
    <w:rsid w:val="60F84B34"/>
    <w:rsid w:val="611D2893"/>
    <w:rsid w:val="61AC4E56"/>
    <w:rsid w:val="61B50D1E"/>
    <w:rsid w:val="621974FF"/>
    <w:rsid w:val="62361E5F"/>
    <w:rsid w:val="62B2525D"/>
    <w:rsid w:val="62BE3C02"/>
    <w:rsid w:val="637C7D45"/>
    <w:rsid w:val="63B93FA7"/>
    <w:rsid w:val="63BA261B"/>
    <w:rsid w:val="63C65464"/>
    <w:rsid w:val="63C67212"/>
    <w:rsid w:val="63FE4BFE"/>
    <w:rsid w:val="6408782B"/>
    <w:rsid w:val="64306D81"/>
    <w:rsid w:val="647C5B23"/>
    <w:rsid w:val="64E748DC"/>
    <w:rsid w:val="651915C4"/>
    <w:rsid w:val="65197815"/>
    <w:rsid w:val="66187ACD"/>
    <w:rsid w:val="66211F52"/>
    <w:rsid w:val="66D103A8"/>
    <w:rsid w:val="66FD12B1"/>
    <w:rsid w:val="679D64DC"/>
    <w:rsid w:val="67A10C1A"/>
    <w:rsid w:val="67E45EB9"/>
    <w:rsid w:val="680C5410"/>
    <w:rsid w:val="68444BA9"/>
    <w:rsid w:val="68DE141F"/>
    <w:rsid w:val="69160CB9"/>
    <w:rsid w:val="6B122D3D"/>
    <w:rsid w:val="6B1D3033"/>
    <w:rsid w:val="6CAB51F7"/>
    <w:rsid w:val="6D0D4104"/>
    <w:rsid w:val="6D9640F9"/>
    <w:rsid w:val="6DCC3314"/>
    <w:rsid w:val="6ECF4587"/>
    <w:rsid w:val="6EF8049C"/>
    <w:rsid w:val="6F7F0B57"/>
    <w:rsid w:val="6F977CB5"/>
    <w:rsid w:val="6FC744F8"/>
    <w:rsid w:val="6FD35191"/>
    <w:rsid w:val="700A0487"/>
    <w:rsid w:val="70957F69"/>
    <w:rsid w:val="70A97C9F"/>
    <w:rsid w:val="712E2EFD"/>
    <w:rsid w:val="71500A63"/>
    <w:rsid w:val="715F4802"/>
    <w:rsid w:val="71D64AC4"/>
    <w:rsid w:val="7221510B"/>
    <w:rsid w:val="73591E51"/>
    <w:rsid w:val="73E7745D"/>
    <w:rsid w:val="74B35591"/>
    <w:rsid w:val="7655690A"/>
    <w:rsid w:val="766A1C7F"/>
    <w:rsid w:val="76D8308D"/>
    <w:rsid w:val="77493F8A"/>
    <w:rsid w:val="779E42D6"/>
    <w:rsid w:val="77FC2DAB"/>
    <w:rsid w:val="796751D5"/>
    <w:rsid w:val="799B717E"/>
    <w:rsid w:val="79CC49FF"/>
    <w:rsid w:val="79E87A8A"/>
    <w:rsid w:val="7A275A31"/>
    <w:rsid w:val="7AFB1A3F"/>
    <w:rsid w:val="7B36628C"/>
    <w:rsid w:val="7C1903CF"/>
    <w:rsid w:val="7C4354AF"/>
    <w:rsid w:val="7C607D71"/>
    <w:rsid w:val="7CC43426"/>
    <w:rsid w:val="7CEA58C8"/>
    <w:rsid w:val="7D1B3CD3"/>
    <w:rsid w:val="7D43322A"/>
    <w:rsid w:val="7D4D5E56"/>
    <w:rsid w:val="7EE60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annotation text"/>
    <w:basedOn w:val="1"/>
    <w:qFormat/>
    <w:uiPriority w:val="0"/>
    <w:pPr>
      <w:jc w:val="left"/>
    </w:pPr>
  </w:style>
  <w:style w:type="paragraph" w:styleId="5">
    <w:name w:val="Body Text Indent 2"/>
    <w:basedOn w:val="1"/>
    <w:next w:val="1"/>
    <w:unhideWhenUsed/>
    <w:qFormat/>
    <w:uiPriority w:val="99"/>
    <w:pPr>
      <w:spacing w:after="120" w:line="480" w:lineRule="auto"/>
      <w:ind w:left="420" w:leftChars="200"/>
    </w:pPr>
    <w:rPr>
      <w:rFonts w:ascii="Calibri" w:hAnsi="Calibri"/>
      <w:szCs w:val="22"/>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7"/>
    <w:qFormat/>
    <w:uiPriority w:val="0"/>
    <w:rPr>
      <w:kern w:val="2"/>
      <w:sz w:val="18"/>
      <w:szCs w:val="18"/>
    </w:rPr>
  </w:style>
  <w:style w:type="character" w:customStyle="1" w:styleId="12">
    <w:name w:val="页脚 字符"/>
    <w:basedOn w:val="10"/>
    <w:link w:val="6"/>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2408</Words>
  <Characters>2483</Characters>
  <Lines>19</Lines>
  <Paragraphs>5</Paragraphs>
  <TotalTime>11</TotalTime>
  <ScaleCrop>false</ScaleCrop>
  <LinksUpToDate>false</LinksUpToDate>
  <CharactersWithSpaces>2483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2021-12-08T03:14:00Z</dcterms:created>
  <dc:creator>Jessicalee</dc:creator>
  <cp:lastModifiedBy>idy</cp:lastModifiedBy>
  <dcterms:modified xsi:type="dcterms:W3CDTF">2023-05-19T03:40:30Z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E4A80CB0B20543728B7634004197ABC7</vt:lpwstr>
  </property>
</Properties>
</file>