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69" w:rsidRDefault="00B96A69" w:rsidP="00B96A6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B96A69" w:rsidRDefault="00B96A69" w:rsidP="00B96A69">
      <w:pPr>
        <w:rPr>
          <w:rFonts w:ascii="黑体" w:eastAsia="黑体" w:hAnsi="黑体"/>
          <w:sz w:val="32"/>
          <w:szCs w:val="32"/>
        </w:rPr>
      </w:pPr>
    </w:p>
    <w:p w:rsidR="00B96A69" w:rsidRDefault="00B96A69" w:rsidP="00B96A69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龙岗中心医院法律顾问服务内容</w:t>
      </w:r>
    </w:p>
    <w:p w:rsidR="00B96A69" w:rsidRDefault="00B96A69" w:rsidP="00B96A69">
      <w:pPr>
        <w:rPr>
          <w:rFonts w:ascii="黑体" w:eastAsia="黑体" w:hAnsi="黑体"/>
          <w:sz w:val="32"/>
          <w:szCs w:val="32"/>
        </w:rPr>
      </w:pPr>
    </w:p>
    <w:p w:rsidR="00B96A69" w:rsidRDefault="00B96A69" w:rsidP="00B96A69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随着医疗业务的快速发展，我院在重大决策、订立合同、法治建设等方面需专业律师提供法律意见，依法维护我院合法权益，具体服务内</w:t>
      </w:r>
      <w:r>
        <w:rPr>
          <w:rFonts w:ascii="仿宋_GB2312" w:eastAsia="仿宋_GB2312" w:hAnsi="黑体" w:hint="eastAsia"/>
          <w:sz w:val="32"/>
          <w:szCs w:val="32"/>
        </w:rPr>
        <w:t>容如下：</w:t>
      </w:r>
    </w:p>
    <w:p w:rsidR="00B96A69" w:rsidRDefault="00B96A69" w:rsidP="00B96A69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一、总体服务要求</w:t>
      </w:r>
    </w:p>
    <w:p w:rsidR="00B96A69" w:rsidRDefault="00B96A69" w:rsidP="00B96A69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1、参加本次投标的单位，应遵守龙岗区卫生健康局发布的《龙岗区卫生计生单位采购供应商诚信档案管理规定（试行）》（详见附件5，请各投标商仔细阅读）。</w:t>
      </w:r>
    </w:p>
    <w:p w:rsidR="00B96A69" w:rsidRDefault="00B96A69" w:rsidP="00B96A69">
      <w:pPr>
        <w:spacing w:line="520" w:lineRule="exact"/>
        <w:ind w:firstLineChars="250" w:firstLine="602"/>
        <w:rPr>
          <w:rFonts w:ascii="仿宋_GB2312" w:eastAsia="仿宋_GB2312" w:hAnsi="黑体"/>
          <w:sz w:val="32"/>
          <w:szCs w:val="32"/>
        </w:rPr>
      </w:pPr>
      <w:r>
        <w:rPr>
          <w:rFonts w:ascii="宋体" w:hAnsi="宋体" w:hint="eastAsia"/>
          <w:b/>
          <w:color w:val="FF0000"/>
          <w:sz w:val="24"/>
        </w:rPr>
        <w:t>☆</w:t>
      </w:r>
      <w:r>
        <w:rPr>
          <w:rFonts w:ascii="仿宋_GB2312" w:eastAsia="仿宋_GB2312" w:hAnsi="黑体" w:hint="eastAsia"/>
          <w:color w:val="FF0000"/>
          <w:sz w:val="32"/>
          <w:szCs w:val="32"/>
        </w:rPr>
        <w:t>2、</w:t>
      </w:r>
      <w:r>
        <w:rPr>
          <w:rFonts w:ascii="仿宋_GB2312" w:eastAsia="仿宋_GB2312" w:hAnsi="黑体"/>
          <w:sz w:val="32"/>
          <w:szCs w:val="32"/>
        </w:rPr>
        <w:t>中标律师事务所接受</w:t>
      </w:r>
      <w:r>
        <w:rPr>
          <w:rFonts w:ascii="仿宋_GB2312" w:eastAsia="仿宋_GB2312" w:hAnsi="黑体" w:hint="eastAsia"/>
          <w:sz w:val="32"/>
          <w:szCs w:val="32"/>
        </w:rPr>
        <w:t>我院</w:t>
      </w:r>
      <w:r>
        <w:rPr>
          <w:rFonts w:ascii="仿宋_GB2312" w:eastAsia="仿宋_GB2312" w:hAnsi="黑体"/>
          <w:sz w:val="32"/>
          <w:szCs w:val="32"/>
        </w:rPr>
        <w:t>聘请</w:t>
      </w:r>
      <w:r>
        <w:rPr>
          <w:rFonts w:ascii="仿宋_GB2312" w:eastAsia="仿宋_GB2312" w:hAnsi="黑体" w:hint="eastAsia"/>
          <w:sz w:val="32"/>
          <w:szCs w:val="32"/>
        </w:rPr>
        <w:t>，按要求指定至少1名固定的资深合伙人作为医院律师团队的主办律师，能够为医院组建且不少于3人的优秀律师团队。如被指派的律师因故不能履行职务时，经采购单位同意，可由投标单位另行派遣律师接替其职务。</w:t>
      </w:r>
    </w:p>
    <w:p w:rsidR="00B96A69" w:rsidRDefault="00B96A69" w:rsidP="00B96A69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二、具体服务需求</w:t>
      </w:r>
    </w:p>
    <w:p w:rsidR="00B96A69" w:rsidRDefault="00B96A69" w:rsidP="00B96A69">
      <w:pPr>
        <w:spacing w:line="52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中标</w:t>
      </w:r>
      <w:r>
        <w:rPr>
          <w:rFonts w:ascii="仿宋_GB2312" w:eastAsia="仿宋_GB2312" w:hAnsi="黑体" w:hint="eastAsia"/>
          <w:sz w:val="32"/>
          <w:szCs w:val="32"/>
        </w:rPr>
        <w:t>单位</w:t>
      </w:r>
      <w:r>
        <w:rPr>
          <w:rFonts w:ascii="仿宋_GB2312" w:eastAsia="仿宋_GB2312" w:hAnsi="黑体"/>
          <w:sz w:val="32"/>
          <w:szCs w:val="32"/>
        </w:rPr>
        <w:t>指派律师担任</w:t>
      </w:r>
      <w:r>
        <w:rPr>
          <w:rFonts w:ascii="仿宋_GB2312" w:eastAsia="仿宋_GB2312" w:hAnsi="黑体" w:hint="eastAsia"/>
          <w:sz w:val="32"/>
          <w:szCs w:val="32"/>
        </w:rPr>
        <w:t>我院</w:t>
      </w:r>
      <w:r>
        <w:rPr>
          <w:rFonts w:ascii="仿宋_GB2312" w:eastAsia="仿宋_GB2312" w:hAnsi="黑体"/>
          <w:sz w:val="32"/>
          <w:szCs w:val="32"/>
        </w:rPr>
        <w:t>常年法律顾问</w:t>
      </w:r>
      <w:r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黑体"/>
          <w:sz w:val="32"/>
          <w:szCs w:val="32"/>
        </w:rPr>
        <w:t>为</w:t>
      </w:r>
      <w:r>
        <w:rPr>
          <w:rFonts w:ascii="仿宋_GB2312" w:eastAsia="仿宋_GB2312" w:hAnsi="黑体" w:hint="eastAsia"/>
          <w:sz w:val="32"/>
          <w:szCs w:val="32"/>
        </w:rPr>
        <w:t>医院</w:t>
      </w:r>
      <w:r>
        <w:rPr>
          <w:rFonts w:ascii="仿宋_GB2312" w:eastAsia="仿宋_GB2312" w:hAnsi="黑体"/>
          <w:sz w:val="32"/>
          <w:szCs w:val="32"/>
        </w:rPr>
        <w:t>提供法律帮助</w:t>
      </w:r>
      <w:r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黑体"/>
          <w:sz w:val="32"/>
          <w:szCs w:val="32"/>
        </w:rPr>
        <w:t>依法维护</w:t>
      </w:r>
      <w:r>
        <w:rPr>
          <w:rFonts w:ascii="仿宋_GB2312" w:eastAsia="仿宋_GB2312" w:hAnsi="黑体" w:hint="eastAsia"/>
          <w:sz w:val="32"/>
          <w:szCs w:val="32"/>
        </w:rPr>
        <w:t>我院</w:t>
      </w:r>
      <w:r>
        <w:rPr>
          <w:rFonts w:ascii="仿宋_GB2312" w:eastAsia="仿宋_GB2312" w:hAnsi="黑体"/>
          <w:sz w:val="32"/>
          <w:szCs w:val="32"/>
        </w:rPr>
        <w:t>合法权益</w:t>
      </w:r>
      <w:r>
        <w:rPr>
          <w:rFonts w:ascii="仿宋_GB2312" w:eastAsia="仿宋_GB2312" w:hAnsi="黑体" w:hint="eastAsia"/>
          <w:sz w:val="32"/>
          <w:szCs w:val="32"/>
        </w:rPr>
        <w:t>，主要</w:t>
      </w:r>
      <w:r>
        <w:rPr>
          <w:rFonts w:ascii="仿宋_GB2312" w:eastAsia="仿宋_GB2312" w:hAnsi="黑体"/>
          <w:sz w:val="32"/>
          <w:szCs w:val="32"/>
        </w:rPr>
        <w:t>如下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p w:rsidR="00B96A69" w:rsidRDefault="00B96A69" w:rsidP="00B96A69">
      <w:pPr>
        <w:spacing w:line="52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（一）主要服务内容</w:t>
      </w:r>
    </w:p>
    <w:p w:rsidR="00B96A69" w:rsidRDefault="00B96A69" w:rsidP="00B96A69">
      <w:pPr>
        <w:spacing w:line="52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1、行政管理综合事务</w:t>
      </w:r>
    </w:p>
    <w:p w:rsidR="00B96A69" w:rsidRDefault="00B96A69" w:rsidP="00B96A69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（1）为医院的决策和管理等活动提供法律意见，向医院有需要的部门提供法律咨询。</w:t>
      </w:r>
    </w:p>
    <w:p w:rsidR="00B96A69" w:rsidRDefault="00B96A69" w:rsidP="00B96A69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（2）协助医院起草、完善或审查各类业务合同，协助完善医院各种法律文书以及各类规章制度。</w:t>
      </w:r>
    </w:p>
    <w:p w:rsidR="00B96A69" w:rsidRDefault="00B96A69" w:rsidP="00B96A69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（3）为医院经济项目谈判、对外合作活动以及各类项目采购、招投标审批提供法律意见，分析各种政策、法规及法律环境对医院之利弊。</w:t>
      </w:r>
    </w:p>
    <w:p w:rsidR="00B96A69" w:rsidRDefault="00B96A69" w:rsidP="00B96A69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（4）为医院所涉的民事、经济或行政纠纷和诉讼事务提供法律意见或处理办法。</w:t>
      </w:r>
    </w:p>
    <w:p w:rsidR="00B96A69" w:rsidRDefault="00B96A69" w:rsidP="00B96A69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（5）出席相应会议，对有关问题提供咨询意见或书面法律意见。</w:t>
      </w:r>
    </w:p>
    <w:p w:rsidR="00B96A69" w:rsidRDefault="00B96A69" w:rsidP="00B96A69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（6）代为出具律师函。</w:t>
      </w:r>
    </w:p>
    <w:p w:rsidR="00B96A69" w:rsidRDefault="00B96A69" w:rsidP="00B96A69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（7）受采购单位委托，代理或者协助采购单位处理有关涉法的信访等法律事务。</w:t>
      </w:r>
    </w:p>
    <w:p w:rsidR="00B96A69" w:rsidRDefault="00B96A69" w:rsidP="00B96A69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/>
          <w:sz w:val="32"/>
          <w:szCs w:val="32"/>
        </w:rPr>
        <w:t>8</w:t>
      </w:r>
      <w:r>
        <w:rPr>
          <w:rFonts w:ascii="仿宋_GB2312" w:eastAsia="仿宋_GB2312" w:hAnsi="黑体" w:hint="eastAsia"/>
          <w:sz w:val="32"/>
          <w:szCs w:val="32"/>
        </w:rPr>
        <w:t>）代理医院参与各类民商事、经济纠纷的调解、仲裁、诉讼等法律事务。</w:t>
      </w:r>
    </w:p>
    <w:p w:rsidR="00B96A69" w:rsidRDefault="00B96A69" w:rsidP="00B96A69">
      <w:pPr>
        <w:spacing w:line="520" w:lineRule="exact"/>
        <w:ind w:firstLineChars="200" w:firstLine="643"/>
        <w:rPr>
          <w:rFonts w:ascii="仿宋_GB2312" w:eastAsia="仿宋_GB2312" w:hAnsi="楷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楷体" w:hint="eastAsia"/>
          <w:b/>
          <w:color w:val="000000" w:themeColor="text1"/>
          <w:sz w:val="32"/>
          <w:szCs w:val="32"/>
        </w:rPr>
        <w:t>2、法治建设内容</w:t>
      </w:r>
    </w:p>
    <w:p w:rsidR="00B96A69" w:rsidRDefault="00B96A69" w:rsidP="00B96A69">
      <w:pPr>
        <w:spacing w:line="520" w:lineRule="exact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（1）每年指导和协助医院开展人事、经济管理等领域法律风险点排查。</w:t>
      </w:r>
    </w:p>
    <w:p w:rsidR="00B96A69" w:rsidRDefault="00B96A69" w:rsidP="00B96A69">
      <w:pPr>
        <w:spacing w:line="520" w:lineRule="exact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（2）每半年对医院发生的投诉、纠纷、诉讼案件和行政处罚案件进行评析，并指导医院整改，协助医院完善制度和开展宣传教育。</w:t>
      </w:r>
    </w:p>
    <w:p w:rsidR="00B96A69" w:rsidRDefault="00B96A69" w:rsidP="00B96A69">
      <w:pPr>
        <w:spacing w:line="520" w:lineRule="exact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（3）协助医院开展法治文化建设，指导医院制作普法宣传视频、海报，指导医院建设法治文化长廊或文化角，每年以医院名义发布普法推文1篇。</w:t>
      </w:r>
    </w:p>
    <w:p w:rsidR="00B96A69" w:rsidRDefault="00B96A69" w:rsidP="00B96A69">
      <w:pPr>
        <w:spacing w:line="520" w:lineRule="exact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（4）提供专项法制宣传培训。结合聘请方特点，每年为聘请方举办2次法律讲座，以提高聘请方服务对象法治思维和依法行医意识和水平。</w:t>
      </w:r>
    </w:p>
    <w:p w:rsidR="00B96A69" w:rsidRDefault="00B96A69" w:rsidP="00B96A69">
      <w:pPr>
        <w:spacing w:line="520" w:lineRule="exact"/>
        <w:ind w:firstLineChars="200" w:firstLine="640"/>
        <w:rPr>
          <w:rFonts w:ascii="楷体_GB2312" w:eastAsia="楷体_GB2312" w:hAnsi="黑体"/>
          <w:b/>
          <w:sz w:val="32"/>
          <w:szCs w:val="32"/>
        </w:rPr>
      </w:pPr>
      <w:r>
        <w:rPr>
          <w:rFonts w:ascii="楷体_GB2312" w:eastAsia="楷体_GB2312" w:hAnsi="黑体" w:hint="eastAsia"/>
          <w:b/>
          <w:sz w:val="32"/>
          <w:szCs w:val="32"/>
        </w:rPr>
        <w:t>（二）服务要求</w:t>
      </w:r>
    </w:p>
    <w:p w:rsidR="00B96A69" w:rsidRDefault="00B96A69" w:rsidP="00B96A69">
      <w:pPr>
        <w:spacing w:line="500" w:lineRule="exact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>
        <w:rPr>
          <w:rFonts w:ascii="楷体_GB2312" w:eastAsia="楷体_GB2312" w:hAnsi="黑体" w:hint="eastAsia"/>
          <w:b/>
          <w:sz w:val="32"/>
          <w:szCs w:val="32"/>
        </w:rPr>
        <w:t>1、服务时限要求：</w:t>
      </w:r>
      <w:r>
        <w:rPr>
          <w:rFonts w:ascii="仿宋_GB2312" w:eastAsia="仿宋_GB2312" w:hAnsi="黑体" w:hint="eastAsia"/>
          <w:sz w:val="32"/>
          <w:szCs w:val="32"/>
        </w:rPr>
        <w:t>中标单位需按以下时限要求完成各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类事务，需出具律师审查意见书应在2个工作日，发律师函3个工作日，提供法律意见应在5个工作日以内办结。对于紧急、重大事项应立即办理，或根据实际情况，需要调查、取证等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原因，最迟在2个工作日内办结。</w:t>
      </w:r>
    </w:p>
    <w:p w:rsidR="00B96A69" w:rsidRDefault="00B96A69" w:rsidP="00B96A69">
      <w:pPr>
        <w:spacing w:line="500" w:lineRule="exact"/>
        <w:ind w:firstLineChars="200" w:firstLine="643"/>
        <w:rPr>
          <w:rFonts w:ascii="仿宋_GB2312" w:eastAsia="仿宋_GB2312" w:hAnsi="黑体"/>
          <w:color w:val="000000" w:themeColor="text1"/>
          <w:sz w:val="32"/>
          <w:szCs w:val="32"/>
        </w:rPr>
      </w:pPr>
      <w:r>
        <w:rPr>
          <w:rFonts w:ascii="仿宋_GB2312" w:eastAsia="仿宋_GB2312" w:hAnsi="黑体"/>
          <w:b/>
          <w:color w:val="000000" w:themeColor="text1"/>
          <w:sz w:val="32"/>
          <w:szCs w:val="32"/>
        </w:rPr>
        <w:t>2</w:t>
      </w:r>
      <w:r>
        <w:rPr>
          <w:rFonts w:ascii="仿宋_GB2312" w:eastAsia="仿宋_GB2312" w:hAnsi="黑体" w:hint="eastAsia"/>
          <w:b/>
          <w:color w:val="000000" w:themeColor="text1"/>
          <w:sz w:val="32"/>
          <w:szCs w:val="32"/>
        </w:rPr>
        <w:t>、服务态度要求：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对于医院咨询、委托的各类事务，中标单位应积极响应，按需及时派出律师协助处理，不得出现无故拒绝、推脱、挑三拣四、态度生硬、立场不坚定等问题。</w:t>
      </w:r>
    </w:p>
    <w:p w:rsidR="00B96A69" w:rsidRDefault="00B96A69" w:rsidP="00B96A69">
      <w:pPr>
        <w:spacing w:line="50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（三）其他服务需求</w:t>
      </w:r>
    </w:p>
    <w:p w:rsidR="00B96A69" w:rsidRDefault="00B96A69" w:rsidP="00B96A69">
      <w:pPr>
        <w:spacing w:line="5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1、对于我院的书面咨询，法律顾问需书面回复并加盖公章。</w:t>
      </w:r>
    </w:p>
    <w:p w:rsidR="00B96A69" w:rsidRDefault="00B96A69" w:rsidP="00B96A69">
      <w:pPr>
        <w:spacing w:line="5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2、合同期满，法律顾问向采购单位提供服务项目执行情况的汇总台账。</w:t>
      </w:r>
    </w:p>
    <w:p w:rsidR="00B96A69" w:rsidRDefault="00B96A69" w:rsidP="00B96A69">
      <w:pPr>
        <w:spacing w:line="50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（四）处理采购单位委托的其它法律事务。</w:t>
      </w:r>
    </w:p>
    <w:p w:rsidR="00B96A69" w:rsidRDefault="00B96A69" w:rsidP="00B96A69">
      <w:pPr>
        <w:spacing w:line="500" w:lineRule="exact"/>
        <w:ind w:firstLineChars="200" w:firstLine="640"/>
        <w:rPr>
          <w:rFonts w:ascii="仿宋_GB2312" w:eastAsia="仿宋_GB2312" w:hAnsi="黑体"/>
          <w:color w:val="FF0000"/>
          <w:sz w:val="32"/>
          <w:szCs w:val="32"/>
        </w:rPr>
      </w:pPr>
      <w:r>
        <w:rPr>
          <w:rFonts w:ascii="仿宋_GB2312" w:eastAsia="仿宋_GB2312" w:hAnsi="黑体"/>
          <w:color w:val="FF0000"/>
          <w:sz w:val="32"/>
          <w:szCs w:val="32"/>
        </w:rPr>
        <w:t>必须满足</w:t>
      </w:r>
      <w:r>
        <w:rPr>
          <w:rFonts w:ascii="仿宋_GB2312" w:eastAsia="仿宋_GB2312" w:hAnsi="黑体"/>
          <w:color w:val="FF0000"/>
          <w:sz w:val="32"/>
          <w:szCs w:val="32"/>
        </w:rPr>
        <w:t>“</w:t>
      </w:r>
      <w:r>
        <w:rPr>
          <w:rFonts w:ascii="仿宋_GB2312" w:eastAsia="仿宋_GB2312" w:hAnsi="黑体" w:hint="eastAsia"/>
          <w:color w:val="FF0000"/>
          <w:sz w:val="32"/>
          <w:szCs w:val="32"/>
        </w:rPr>
        <w:t>☆</w:t>
      </w:r>
      <w:r>
        <w:rPr>
          <w:rFonts w:ascii="仿宋_GB2312" w:eastAsia="仿宋_GB2312" w:hAnsi="黑体"/>
          <w:color w:val="FF0000"/>
          <w:sz w:val="32"/>
          <w:szCs w:val="32"/>
        </w:rPr>
        <w:t>”</w:t>
      </w:r>
      <w:r>
        <w:rPr>
          <w:rFonts w:ascii="仿宋_GB2312" w:eastAsia="仿宋_GB2312" w:hAnsi="黑体" w:hint="eastAsia"/>
          <w:color w:val="FF0000"/>
          <w:sz w:val="32"/>
          <w:szCs w:val="32"/>
        </w:rPr>
        <w:t>关键</w:t>
      </w:r>
      <w:r>
        <w:rPr>
          <w:rFonts w:ascii="仿宋_GB2312" w:eastAsia="仿宋_GB2312" w:hAnsi="黑体"/>
          <w:color w:val="FF0000"/>
          <w:sz w:val="32"/>
          <w:szCs w:val="32"/>
        </w:rPr>
        <w:t>要求</w:t>
      </w:r>
      <w:r>
        <w:rPr>
          <w:rFonts w:ascii="仿宋_GB2312" w:eastAsia="仿宋_GB2312" w:hAnsi="黑体" w:hint="eastAsia"/>
          <w:color w:val="FF0000"/>
          <w:sz w:val="32"/>
          <w:szCs w:val="32"/>
        </w:rPr>
        <w:t>，</w:t>
      </w:r>
      <w:r>
        <w:rPr>
          <w:rFonts w:ascii="仿宋_GB2312" w:eastAsia="仿宋_GB2312" w:hAnsi="黑体"/>
          <w:color w:val="FF0000"/>
          <w:sz w:val="32"/>
          <w:szCs w:val="32"/>
        </w:rPr>
        <w:t>否则按</w:t>
      </w:r>
      <w:r>
        <w:rPr>
          <w:rFonts w:ascii="仿宋_GB2312" w:eastAsia="仿宋_GB2312" w:hAnsi="黑体" w:hint="eastAsia"/>
          <w:color w:val="FF0000"/>
          <w:sz w:val="32"/>
          <w:szCs w:val="32"/>
        </w:rPr>
        <w:t>投</w:t>
      </w:r>
      <w:r>
        <w:rPr>
          <w:rFonts w:ascii="仿宋_GB2312" w:eastAsia="仿宋_GB2312" w:hAnsi="黑体"/>
          <w:color w:val="FF0000"/>
          <w:sz w:val="32"/>
          <w:szCs w:val="32"/>
        </w:rPr>
        <w:t>标</w:t>
      </w:r>
      <w:r>
        <w:rPr>
          <w:rFonts w:ascii="仿宋_GB2312" w:eastAsia="仿宋_GB2312" w:hAnsi="黑体" w:hint="eastAsia"/>
          <w:color w:val="FF0000"/>
          <w:sz w:val="32"/>
          <w:szCs w:val="32"/>
        </w:rPr>
        <w:t>无效</w:t>
      </w:r>
      <w:r>
        <w:rPr>
          <w:rFonts w:ascii="仿宋_GB2312" w:eastAsia="仿宋_GB2312" w:hAnsi="黑体"/>
          <w:color w:val="FF0000"/>
          <w:sz w:val="32"/>
          <w:szCs w:val="32"/>
        </w:rPr>
        <w:t>处理</w:t>
      </w:r>
      <w:r>
        <w:rPr>
          <w:rFonts w:ascii="仿宋_GB2312" w:eastAsia="仿宋_GB2312" w:hAnsi="黑体" w:hint="eastAsia"/>
          <w:color w:val="FF0000"/>
          <w:sz w:val="32"/>
          <w:szCs w:val="32"/>
        </w:rPr>
        <w:t>。</w:t>
      </w:r>
    </w:p>
    <w:p w:rsidR="00B96A69" w:rsidRDefault="00B96A69" w:rsidP="00B96A69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三、服务费用</w:t>
      </w:r>
    </w:p>
    <w:p w:rsidR="00B96A69" w:rsidRDefault="00B96A69" w:rsidP="00B96A69">
      <w:pPr>
        <w:spacing w:line="500" w:lineRule="exact"/>
        <w:ind w:firstLineChars="200" w:firstLine="643"/>
        <w:rPr>
          <w:rFonts w:ascii="楷体" w:eastAsia="楷体" w:hAnsi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（一）顾问费：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主要服务内容行政管理综合事务第（1）-（</w:t>
      </w:r>
      <w:r>
        <w:rPr>
          <w:rFonts w:ascii="仿宋_GB2312" w:eastAsia="仿宋_GB2312" w:hAnsi="黑体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）项、法治建设内容不必另行办理委托手续，采购单位按中标金额支付中标单位法律顾问费。</w:t>
      </w:r>
    </w:p>
    <w:p w:rsidR="00B96A69" w:rsidRDefault="00B96A69" w:rsidP="00B96A69">
      <w:pPr>
        <w:spacing w:line="5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楷体_GB2312" w:eastAsia="楷体_GB2312" w:hAnsi="黑体" w:hint="eastAsia"/>
          <w:b/>
          <w:color w:val="000000" w:themeColor="text1"/>
          <w:sz w:val="32"/>
          <w:szCs w:val="32"/>
        </w:rPr>
        <w:t>（二）代理各类纠纷诉讼、仲裁案件的律师费：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代理医院经营管理中所涉及的行政以及其它相关诉讼所产生的费用，暂时参照广东省物价局、广东省司法厅《广东省物价局、司法厅律师服务收费管理实施办法》（粤价</w:t>
      </w:r>
      <w:r>
        <w:rPr>
          <w:rFonts w:ascii="仿宋_GB2312" w:eastAsia="仿宋_GB2312" w:hAnsi="黑体" w:hint="eastAsia"/>
          <w:sz w:val="32"/>
          <w:szCs w:val="32"/>
        </w:rPr>
        <w:t>[2006]298号）有关收费标准，由中标单位初步报价，原则上报价不能高于粤价[2006]298号文件设定价格的</w:t>
      </w:r>
      <w:r>
        <w:rPr>
          <w:rFonts w:ascii="仿宋_GB2312" w:eastAsia="仿宋_GB2312" w:hAnsi="黑体"/>
          <w:sz w:val="32"/>
          <w:szCs w:val="32"/>
        </w:rPr>
        <w:t>6</w:t>
      </w:r>
      <w:r>
        <w:rPr>
          <w:rFonts w:ascii="仿宋_GB2312" w:eastAsia="仿宋_GB2312" w:hAnsi="黑体" w:hint="eastAsia"/>
          <w:sz w:val="32"/>
          <w:szCs w:val="32"/>
        </w:rPr>
        <w:t>折，最终经双方协商后支付。如最新律师服务收费文件细则出台，双方再行协商按一定的折扣付费，但支付标准不得大于招标价。</w:t>
      </w:r>
    </w:p>
    <w:p w:rsidR="00652BBE" w:rsidRPr="00B96A69" w:rsidRDefault="00652BBE"/>
    <w:sectPr w:rsidR="00652BBE" w:rsidRPr="00B96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BBE" w:rsidRDefault="00652BBE" w:rsidP="00B96A69">
      <w:r>
        <w:separator/>
      </w:r>
    </w:p>
  </w:endnote>
  <w:endnote w:type="continuationSeparator" w:id="1">
    <w:p w:rsidR="00652BBE" w:rsidRDefault="00652BBE" w:rsidP="00B96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BBE" w:rsidRDefault="00652BBE" w:rsidP="00B96A69">
      <w:r>
        <w:separator/>
      </w:r>
    </w:p>
  </w:footnote>
  <w:footnote w:type="continuationSeparator" w:id="1">
    <w:p w:rsidR="00652BBE" w:rsidRDefault="00652BBE" w:rsidP="00B96A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A69"/>
    <w:rsid w:val="00652BBE"/>
    <w:rsid w:val="00B9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69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6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6A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6A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6A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1271</Characters>
  <Application>Microsoft Office Word</Application>
  <DocSecurity>0</DocSecurity>
  <Lines>10</Lines>
  <Paragraphs>2</Paragraphs>
  <ScaleCrop>false</ScaleCrop>
  <Company>Microsoft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李冰</dc:creator>
  <cp:keywords/>
  <dc:description/>
  <cp:lastModifiedBy>李冰</cp:lastModifiedBy>
  <cp:revision>2</cp:revision>
  <dcterms:created xsi:type="dcterms:W3CDTF">2023-02-24T06:32:00Z</dcterms:created>
  <dcterms:modified xsi:type="dcterms:W3CDTF">2023-02-24T06:32:00Z</dcterms:modified>
</cp:coreProperties>
</file>