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1C4" w:rsidRDefault="00F52B3C">
      <w:pPr>
        <w:rPr>
          <w:rFonts w:ascii="黑体" w:eastAsia="黑体" w:hAnsi="黑体"/>
          <w:bCs/>
          <w:sz w:val="32"/>
          <w:szCs w:val="32"/>
        </w:rPr>
      </w:pPr>
      <w:r>
        <w:rPr>
          <w:rFonts w:ascii="黑体" w:eastAsia="黑体" w:hAnsi="黑体" w:hint="eastAsia"/>
          <w:bCs/>
          <w:sz w:val="32"/>
          <w:szCs w:val="32"/>
        </w:rPr>
        <w:t>附件</w:t>
      </w:r>
      <w:r>
        <w:rPr>
          <w:rFonts w:ascii="黑体" w:eastAsia="黑体" w:hAnsi="黑体"/>
          <w:bCs/>
          <w:sz w:val="32"/>
          <w:szCs w:val="32"/>
        </w:rPr>
        <w:t>4</w:t>
      </w:r>
    </w:p>
    <w:p w:rsidR="000371C4" w:rsidRDefault="00F52B3C">
      <w:pPr>
        <w:spacing w:line="560" w:lineRule="exac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t>医疗事务法律顾问服务评分信息表</w:t>
      </w:r>
    </w:p>
    <w:p w:rsidR="000371C4" w:rsidRDefault="000371C4">
      <w:pPr>
        <w:spacing w:line="560" w:lineRule="exact"/>
        <w:ind w:firstLineChars="200" w:firstLine="880"/>
        <w:rPr>
          <w:rFonts w:ascii="方正小标宋简体" w:eastAsia="方正小标宋简体" w:hAnsi="仿宋" w:cs="Times New Roman"/>
          <w:sz w:val="44"/>
          <w:szCs w:val="44"/>
        </w:rPr>
      </w:pPr>
    </w:p>
    <w:tbl>
      <w:tblPr>
        <w:tblW w:w="9639" w:type="dxa"/>
        <w:jc w:val="center"/>
        <w:tblBorders>
          <w:top w:val="single" w:sz="8" w:space="0" w:color="000000"/>
          <w:left w:val="single" w:sz="8" w:space="0" w:color="000000"/>
          <w:bottom w:val="single" w:sz="8" w:space="0" w:color="000000"/>
          <w:right w:val="single" w:sz="8" w:space="0" w:color="000000"/>
        </w:tblBorders>
        <w:tblCellMar>
          <w:top w:w="20" w:type="dxa"/>
          <w:bottom w:w="20" w:type="dxa"/>
        </w:tblCellMar>
        <w:tblLook w:val="04A0" w:firstRow="1" w:lastRow="0" w:firstColumn="1" w:lastColumn="0" w:noHBand="0" w:noVBand="1"/>
      </w:tblPr>
      <w:tblGrid>
        <w:gridCol w:w="699"/>
        <w:gridCol w:w="1276"/>
        <w:gridCol w:w="1417"/>
        <w:gridCol w:w="4820"/>
        <w:gridCol w:w="1427"/>
      </w:tblGrid>
      <w:tr w:rsidR="000371C4">
        <w:trPr>
          <w:jc w:val="center"/>
        </w:trPr>
        <w:tc>
          <w:tcPr>
            <w:tcW w:w="9639"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3E3E3"/>
              <w:jc w:val="center"/>
              <w:rPr>
                <w:rFonts w:ascii="宋体" w:hAnsi="宋体"/>
                <w:b/>
                <w:bCs/>
                <w:kern w:val="0"/>
                <w:sz w:val="32"/>
                <w:szCs w:val="32"/>
              </w:rPr>
            </w:pPr>
            <w:r>
              <w:rPr>
                <w:rFonts w:ascii="宋体" w:hAnsi="宋体" w:hint="eastAsia"/>
                <w:b/>
                <w:bCs/>
                <w:kern w:val="0"/>
                <w:sz w:val="32"/>
                <w:szCs w:val="32"/>
              </w:rPr>
              <w:t>评 标 信 息</w:t>
            </w:r>
          </w:p>
        </w:tc>
      </w:tr>
      <w:tr w:rsidR="000371C4">
        <w:trPr>
          <w:jc w:val="center"/>
        </w:trPr>
        <w:tc>
          <w:tcPr>
            <w:tcW w:w="6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
                <w:bCs/>
                <w:kern w:val="0"/>
                <w:szCs w:val="21"/>
              </w:rPr>
            </w:pPr>
            <w:r>
              <w:rPr>
                <w:rFonts w:ascii="宋体" w:hAnsi="宋体" w:hint="eastAsia"/>
                <w:b/>
                <w:bCs/>
                <w:kern w:val="0"/>
                <w:szCs w:val="21"/>
              </w:rPr>
              <w:t>序号</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
                <w:bCs/>
                <w:kern w:val="0"/>
                <w:szCs w:val="21"/>
              </w:rPr>
            </w:pPr>
            <w:r>
              <w:rPr>
                <w:rFonts w:ascii="宋体" w:hAnsi="宋体" w:hint="eastAsia"/>
                <w:b/>
                <w:bCs/>
                <w:kern w:val="0"/>
                <w:szCs w:val="21"/>
              </w:rPr>
              <w:t>评分内容</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
                <w:bCs/>
                <w:kern w:val="0"/>
                <w:szCs w:val="21"/>
              </w:rPr>
            </w:pPr>
            <w:r>
              <w:rPr>
                <w:rFonts w:ascii="宋体" w:hAnsi="宋体" w:hint="eastAsia"/>
                <w:b/>
                <w:bCs/>
                <w:kern w:val="0"/>
                <w:szCs w:val="21"/>
              </w:rPr>
              <w:t>评分分值</w:t>
            </w:r>
          </w:p>
          <w:p w:rsidR="000371C4" w:rsidRDefault="00F52B3C">
            <w:pPr>
              <w:widowControl/>
              <w:shd w:val="clear" w:color="auto" w:fill="E1E2E3"/>
              <w:jc w:val="center"/>
              <w:rPr>
                <w:rFonts w:ascii="宋体" w:hAnsi="宋体"/>
                <w:b/>
                <w:bCs/>
                <w:kern w:val="0"/>
                <w:szCs w:val="21"/>
              </w:rPr>
            </w:pPr>
            <w:r>
              <w:rPr>
                <w:rFonts w:ascii="宋体" w:hAnsi="宋体" w:hint="eastAsia"/>
                <w:b/>
                <w:bCs/>
                <w:kern w:val="0"/>
                <w:szCs w:val="21"/>
              </w:rPr>
              <w:t>（满分）</w:t>
            </w:r>
          </w:p>
        </w:tc>
        <w:tc>
          <w:tcPr>
            <w:tcW w:w="4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
                <w:bCs/>
                <w:kern w:val="0"/>
                <w:szCs w:val="21"/>
              </w:rPr>
            </w:pPr>
            <w:r>
              <w:rPr>
                <w:rFonts w:ascii="宋体" w:hAnsi="宋体" w:hint="eastAsia"/>
                <w:b/>
                <w:bCs/>
                <w:kern w:val="0"/>
                <w:szCs w:val="21"/>
              </w:rPr>
              <w:t>评分标准</w:t>
            </w:r>
          </w:p>
        </w:tc>
        <w:tc>
          <w:tcPr>
            <w:tcW w:w="14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
                <w:bCs/>
                <w:kern w:val="0"/>
                <w:szCs w:val="21"/>
              </w:rPr>
            </w:pPr>
            <w:r>
              <w:rPr>
                <w:rFonts w:ascii="宋体" w:hAnsi="宋体" w:hint="eastAsia"/>
                <w:b/>
                <w:bCs/>
                <w:kern w:val="0"/>
                <w:szCs w:val="21"/>
              </w:rPr>
              <w:t>得分</w:t>
            </w:r>
          </w:p>
        </w:tc>
      </w:tr>
      <w:tr w:rsidR="000371C4">
        <w:trPr>
          <w:trHeight w:val="1483"/>
          <w:jc w:val="center"/>
        </w:trPr>
        <w:tc>
          <w:tcPr>
            <w:tcW w:w="699" w:type="dxa"/>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Cs/>
                <w:color w:val="000000"/>
                <w:kern w:val="0"/>
                <w:szCs w:val="21"/>
              </w:rPr>
            </w:pPr>
            <w:r>
              <w:rPr>
                <w:rFonts w:ascii="宋体" w:hAnsi="宋体"/>
                <w:bCs/>
                <w:color w:val="000000"/>
                <w:kern w:val="0"/>
                <w:szCs w:val="21"/>
              </w:rPr>
              <w:t>1</w:t>
            </w:r>
          </w:p>
        </w:tc>
        <w:tc>
          <w:tcPr>
            <w:tcW w:w="1276" w:type="dxa"/>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Cs/>
                <w:color w:val="000000"/>
                <w:kern w:val="0"/>
                <w:szCs w:val="21"/>
              </w:rPr>
            </w:pPr>
            <w:r>
              <w:rPr>
                <w:rFonts w:ascii="宋体" w:hAnsi="宋体" w:hint="eastAsia"/>
                <w:bCs/>
                <w:color w:val="000000"/>
                <w:kern w:val="0"/>
                <w:szCs w:val="21"/>
              </w:rPr>
              <w:t>价格得分</w:t>
            </w:r>
          </w:p>
        </w:tc>
        <w:tc>
          <w:tcPr>
            <w:tcW w:w="1417" w:type="dxa"/>
            <w:tcBorders>
              <w:top w:val="single" w:sz="8" w:space="0" w:color="000000"/>
              <w:left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Cs/>
                <w:color w:val="000000"/>
                <w:kern w:val="0"/>
                <w:szCs w:val="21"/>
              </w:rPr>
            </w:pPr>
            <w:r>
              <w:rPr>
                <w:rFonts w:ascii="宋体" w:hAnsi="宋体" w:hint="eastAsia"/>
                <w:bCs/>
                <w:color w:val="000000"/>
                <w:kern w:val="0"/>
                <w:szCs w:val="21"/>
              </w:rPr>
              <w:t>20</w:t>
            </w:r>
          </w:p>
        </w:tc>
        <w:tc>
          <w:tcPr>
            <w:tcW w:w="4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rPr>
                <w:rFonts w:ascii="宋体" w:hAnsi="宋体"/>
                <w:bCs/>
                <w:color w:val="000000"/>
                <w:kern w:val="0"/>
                <w:szCs w:val="21"/>
              </w:rPr>
            </w:pPr>
            <w:r>
              <w:rPr>
                <w:rFonts w:ascii="宋体" w:hAnsi="宋体" w:hint="eastAsia"/>
                <w:bCs/>
                <w:color w:val="000000"/>
                <w:kern w:val="0"/>
                <w:szCs w:val="21"/>
              </w:rPr>
              <w:t>满足招标文件要求且投标价格最低的投标报价为评标价基准价，其价格分为满分。</w:t>
            </w:r>
          </w:p>
          <w:p w:rsidR="000371C4" w:rsidRDefault="00F52B3C">
            <w:pPr>
              <w:widowControl/>
              <w:shd w:val="clear" w:color="auto" w:fill="E1E2E3"/>
              <w:rPr>
                <w:rFonts w:ascii="宋体" w:hAnsi="宋体"/>
                <w:bCs/>
                <w:color w:val="000000"/>
                <w:kern w:val="0"/>
                <w:szCs w:val="21"/>
              </w:rPr>
            </w:pPr>
            <w:r>
              <w:rPr>
                <w:rFonts w:ascii="宋体" w:hAnsi="宋体" w:hint="eastAsia"/>
                <w:bCs/>
                <w:color w:val="000000"/>
                <w:kern w:val="0"/>
                <w:szCs w:val="21"/>
              </w:rPr>
              <w:t>价格分计算公式：投标报价得分=(评标基准价/有效投标报价)×</w:t>
            </w:r>
            <w:r>
              <w:rPr>
                <w:rFonts w:ascii="宋体" w:hAnsi="宋体"/>
                <w:bCs/>
                <w:color w:val="000000"/>
                <w:kern w:val="0"/>
                <w:szCs w:val="21"/>
              </w:rPr>
              <w:t>20</w:t>
            </w:r>
          </w:p>
        </w:tc>
        <w:tc>
          <w:tcPr>
            <w:tcW w:w="14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0371C4">
            <w:pPr>
              <w:widowControl/>
              <w:shd w:val="clear" w:color="auto" w:fill="E1E2E3"/>
              <w:rPr>
                <w:rFonts w:ascii="宋体" w:hAnsi="宋体"/>
                <w:b/>
                <w:bCs/>
                <w:color w:val="000000"/>
                <w:kern w:val="0"/>
                <w:szCs w:val="21"/>
              </w:rPr>
            </w:pPr>
          </w:p>
        </w:tc>
      </w:tr>
      <w:tr w:rsidR="000371C4">
        <w:trPr>
          <w:trHeight w:val="1265"/>
          <w:jc w:val="center"/>
        </w:trPr>
        <w:tc>
          <w:tcPr>
            <w:tcW w:w="699"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0371C4" w:rsidRDefault="00F52B3C">
            <w:pPr>
              <w:shd w:val="clear" w:color="auto" w:fill="E1E2E3"/>
              <w:jc w:val="center"/>
              <w:rPr>
                <w:rFonts w:ascii="宋体" w:hAnsi="宋体"/>
                <w:bCs/>
                <w:color w:val="000000"/>
                <w:kern w:val="0"/>
                <w:szCs w:val="21"/>
              </w:rPr>
            </w:pPr>
            <w:r>
              <w:rPr>
                <w:rFonts w:ascii="宋体" w:hAnsi="宋体"/>
                <w:bCs/>
                <w:color w:val="000000"/>
                <w:kern w:val="0"/>
                <w:szCs w:val="21"/>
              </w:rPr>
              <w:t>2</w:t>
            </w:r>
          </w:p>
        </w:tc>
        <w:tc>
          <w:tcPr>
            <w:tcW w:w="1276" w:type="dxa"/>
            <w:vMerge w:val="restart"/>
            <w:tcBorders>
              <w:top w:val="single" w:sz="4" w:space="0" w:color="auto"/>
              <w:left w:val="single" w:sz="4" w:space="0" w:color="auto"/>
              <w:bottom w:val="nil"/>
              <w:right w:val="single" w:sz="4" w:space="0" w:color="auto"/>
            </w:tcBorders>
            <w:tcMar>
              <w:top w:w="0" w:type="dxa"/>
              <w:left w:w="0" w:type="dxa"/>
              <w:bottom w:w="0" w:type="dxa"/>
              <w:right w:w="0" w:type="dxa"/>
            </w:tcMar>
            <w:vAlign w:val="center"/>
          </w:tcPr>
          <w:p w:rsidR="000371C4" w:rsidRDefault="00F52B3C">
            <w:pPr>
              <w:shd w:val="clear" w:color="auto" w:fill="E1E2E3"/>
              <w:jc w:val="center"/>
              <w:rPr>
                <w:rFonts w:ascii="宋体" w:hAnsi="宋体"/>
                <w:bCs/>
                <w:color w:val="000000"/>
                <w:kern w:val="0"/>
                <w:szCs w:val="21"/>
              </w:rPr>
            </w:pPr>
            <w:r>
              <w:rPr>
                <w:rFonts w:ascii="宋体" w:hAnsi="宋体" w:hint="eastAsia"/>
                <w:bCs/>
                <w:color w:val="000000"/>
                <w:kern w:val="0"/>
                <w:szCs w:val="21"/>
              </w:rPr>
              <w:t>服务能力</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Cs/>
                <w:color w:val="000000"/>
                <w:kern w:val="0"/>
                <w:szCs w:val="21"/>
              </w:rPr>
            </w:pPr>
            <w:r>
              <w:rPr>
                <w:rFonts w:ascii="宋体" w:hAnsi="宋体" w:hint="eastAsia"/>
                <w:bCs/>
                <w:color w:val="000000"/>
                <w:kern w:val="0"/>
                <w:szCs w:val="21"/>
              </w:rPr>
              <w:t>5</w:t>
            </w:r>
          </w:p>
        </w:tc>
        <w:tc>
          <w:tcPr>
            <w:tcW w:w="4820"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rPr>
                <w:rFonts w:ascii="宋体" w:hAnsi="宋体"/>
                <w:bCs/>
                <w:color w:val="000000"/>
                <w:kern w:val="0"/>
                <w:szCs w:val="21"/>
              </w:rPr>
            </w:pPr>
            <w:r>
              <w:rPr>
                <w:rFonts w:ascii="宋体" w:hAnsi="宋体" w:hint="eastAsia"/>
                <w:bCs/>
                <w:color w:val="000000"/>
                <w:kern w:val="0"/>
                <w:szCs w:val="21"/>
              </w:rPr>
              <w:t>律师事务所</w:t>
            </w:r>
            <w:r>
              <w:rPr>
                <w:rFonts w:ascii="宋体" w:hAnsi="宋体"/>
                <w:bCs/>
                <w:color w:val="000000"/>
                <w:kern w:val="0"/>
                <w:szCs w:val="21"/>
              </w:rPr>
              <w:t>专职律师数量</w:t>
            </w:r>
            <w:r>
              <w:rPr>
                <w:rFonts w:ascii="宋体" w:hAnsi="宋体" w:hint="eastAsia"/>
                <w:bCs/>
                <w:color w:val="000000"/>
                <w:kern w:val="0"/>
                <w:szCs w:val="21"/>
              </w:rPr>
              <w:t>：16</w:t>
            </w:r>
            <w:r>
              <w:rPr>
                <w:rFonts w:ascii="宋体" w:hAnsi="宋体"/>
                <w:bCs/>
                <w:color w:val="000000"/>
                <w:kern w:val="0"/>
                <w:szCs w:val="21"/>
              </w:rPr>
              <w:t>人</w:t>
            </w:r>
            <w:r>
              <w:rPr>
                <w:rFonts w:ascii="宋体" w:hAnsi="宋体" w:hint="eastAsia"/>
                <w:bCs/>
                <w:color w:val="000000"/>
                <w:kern w:val="0"/>
                <w:szCs w:val="21"/>
              </w:rPr>
              <w:t>及</w:t>
            </w:r>
            <w:r>
              <w:rPr>
                <w:rFonts w:ascii="宋体" w:hAnsi="宋体"/>
                <w:bCs/>
                <w:color w:val="000000"/>
                <w:kern w:val="0"/>
                <w:szCs w:val="21"/>
              </w:rPr>
              <w:t>以上的得</w:t>
            </w:r>
            <w:r>
              <w:rPr>
                <w:rFonts w:ascii="宋体" w:hAnsi="宋体" w:hint="eastAsia"/>
                <w:bCs/>
                <w:color w:val="000000"/>
                <w:kern w:val="0"/>
                <w:szCs w:val="21"/>
              </w:rPr>
              <w:t>5分；8-15</w:t>
            </w:r>
            <w:r>
              <w:rPr>
                <w:rFonts w:ascii="宋体" w:hAnsi="宋体"/>
                <w:bCs/>
                <w:color w:val="000000"/>
                <w:kern w:val="0"/>
                <w:szCs w:val="21"/>
              </w:rPr>
              <w:t>人得</w:t>
            </w:r>
            <w:r>
              <w:rPr>
                <w:rFonts w:ascii="宋体" w:hAnsi="宋体" w:hint="eastAsia"/>
                <w:bCs/>
                <w:color w:val="000000"/>
                <w:kern w:val="0"/>
                <w:szCs w:val="21"/>
              </w:rPr>
              <w:t>4分,7</w:t>
            </w:r>
            <w:r>
              <w:rPr>
                <w:rFonts w:ascii="宋体" w:hAnsi="宋体"/>
                <w:bCs/>
                <w:color w:val="000000"/>
                <w:kern w:val="0"/>
                <w:szCs w:val="21"/>
              </w:rPr>
              <w:t>人以下</w:t>
            </w:r>
            <w:r>
              <w:rPr>
                <w:rFonts w:ascii="宋体" w:hAnsi="宋体" w:hint="eastAsia"/>
                <w:bCs/>
                <w:color w:val="000000"/>
                <w:kern w:val="0"/>
                <w:szCs w:val="21"/>
              </w:rPr>
              <w:t>3人以上</w:t>
            </w:r>
            <w:r>
              <w:rPr>
                <w:rFonts w:ascii="宋体" w:hAnsi="宋体"/>
                <w:bCs/>
                <w:color w:val="000000"/>
                <w:kern w:val="0"/>
                <w:szCs w:val="21"/>
              </w:rPr>
              <w:t>得3</w:t>
            </w:r>
            <w:r>
              <w:rPr>
                <w:rFonts w:ascii="宋体" w:hAnsi="宋体" w:hint="eastAsia"/>
                <w:bCs/>
                <w:color w:val="000000"/>
                <w:kern w:val="0"/>
                <w:szCs w:val="21"/>
              </w:rPr>
              <w:t>分（投标单位提供律师事务所专职律师2021.1.1-2023.1.1团队明细清单和社保明细清单，加盖公章）</w:t>
            </w:r>
          </w:p>
        </w:tc>
        <w:tc>
          <w:tcPr>
            <w:tcW w:w="14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0371C4">
            <w:pPr>
              <w:widowControl/>
              <w:shd w:val="clear" w:color="auto" w:fill="E1E2E3"/>
              <w:rPr>
                <w:rFonts w:ascii="宋体" w:hAnsi="宋体"/>
                <w:b/>
                <w:bCs/>
                <w:color w:val="000000"/>
                <w:kern w:val="0"/>
                <w:szCs w:val="21"/>
              </w:rPr>
            </w:pPr>
          </w:p>
        </w:tc>
      </w:tr>
      <w:tr w:rsidR="000371C4">
        <w:trPr>
          <w:jc w:val="center"/>
        </w:trPr>
        <w:tc>
          <w:tcPr>
            <w:tcW w:w="699"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shd w:val="clear" w:color="auto" w:fill="E1E2E3"/>
              <w:jc w:val="center"/>
              <w:rPr>
                <w:rFonts w:ascii="宋体" w:hAnsi="宋体"/>
                <w:bCs/>
                <w:color w:val="000000"/>
                <w:kern w:val="0"/>
                <w:szCs w:val="21"/>
              </w:rPr>
            </w:pPr>
          </w:p>
        </w:tc>
        <w:tc>
          <w:tcPr>
            <w:tcW w:w="1276"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Cs/>
                <w:color w:val="000000"/>
                <w:kern w:val="0"/>
                <w:szCs w:val="21"/>
              </w:rPr>
            </w:pPr>
            <w:r>
              <w:rPr>
                <w:rFonts w:ascii="宋体" w:hAnsi="宋体"/>
                <w:bCs/>
                <w:color w:val="000000"/>
                <w:kern w:val="0"/>
                <w:szCs w:val="21"/>
              </w:rPr>
              <w:t>5</w:t>
            </w:r>
          </w:p>
        </w:tc>
        <w:tc>
          <w:tcPr>
            <w:tcW w:w="4820"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rPr>
                <w:rFonts w:ascii="宋体" w:hAnsi="宋体"/>
                <w:bCs/>
                <w:color w:val="000000"/>
                <w:kern w:val="0"/>
                <w:szCs w:val="21"/>
              </w:rPr>
            </w:pPr>
            <w:r>
              <w:rPr>
                <w:rFonts w:ascii="宋体" w:hAnsi="宋体" w:hint="eastAsia"/>
                <w:bCs/>
                <w:color w:val="000000"/>
                <w:kern w:val="0"/>
                <w:szCs w:val="21"/>
              </w:rPr>
              <w:t>近3年医院法律顾问服务经验，投标单位具有三级医院服务经验得3分，具有二级医院服务经验得2分，本项综合得分不超过5</w:t>
            </w:r>
            <w:r>
              <w:rPr>
                <w:rFonts w:ascii="宋体" w:hAnsi="宋体"/>
                <w:bCs/>
                <w:color w:val="000000"/>
                <w:kern w:val="0"/>
                <w:szCs w:val="21"/>
              </w:rPr>
              <w:t>分</w:t>
            </w:r>
            <w:r>
              <w:rPr>
                <w:rFonts w:ascii="宋体" w:hAnsi="宋体" w:hint="eastAsia"/>
                <w:bCs/>
                <w:color w:val="000000"/>
                <w:kern w:val="0"/>
                <w:szCs w:val="21"/>
              </w:rPr>
              <w:t>。（提供服务合同作为佐证资料）</w:t>
            </w:r>
          </w:p>
        </w:tc>
        <w:tc>
          <w:tcPr>
            <w:tcW w:w="14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0371C4">
            <w:pPr>
              <w:widowControl/>
              <w:shd w:val="clear" w:color="auto" w:fill="E1E2E3"/>
              <w:rPr>
                <w:rFonts w:ascii="宋体" w:hAnsi="宋体"/>
                <w:b/>
                <w:bCs/>
                <w:color w:val="000000"/>
                <w:kern w:val="0"/>
                <w:szCs w:val="21"/>
              </w:rPr>
            </w:pPr>
          </w:p>
        </w:tc>
      </w:tr>
      <w:tr w:rsidR="000371C4">
        <w:trPr>
          <w:jc w:val="center"/>
        </w:trPr>
        <w:tc>
          <w:tcPr>
            <w:tcW w:w="699"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shd w:val="clear" w:color="auto" w:fill="E1E2E3"/>
              <w:jc w:val="center"/>
              <w:rPr>
                <w:rFonts w:ascii="宋体" w:hAnsi="宋体"/>
                <w:bCs/>
                <w:color w:val="000000"/>
                <w:kern w:val="0"/>
                <w:szCs w:val="21"/>
              </w:rPr>
            </w:pPr>
          </w:p>
        </w:tc>
        <w:tc>
          <w:tcPr>
            <w:tcW w:w="1276"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Cs/>
                <w:color w:val="000000"/>
                <w:kern w:val="0"/>
                <w:szCs w:val="21"/>
              </w:rPr>
            </w:pPr>
            <w:r>
              <w:rPr>
                <w:rFonts w:ascii="宋体" w:hAnsi="宋体"/>
                <w:bCs/>
                <w:color w:val="000000"/>
                <w:kern w:val="0"/>
                <w:szCs w:val="21"/>
              </w:rPr>
              <w:t>10</w:t>
            </w:r>
          </w:p>
        </w:tc>
        <w:tc>
          <w:tcPr>
            <w:tcW w:w="4820"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0371C4" w:rsidRPr="00A129C9" w:rsidRDefault="00F52B3C">
            <w:pPr>
              <w:widowControl/>
              <w:shd w:val="clear" w:color="auto" w:fill="E1E2E3"/>
              <w:rPr>
                <w:rFonts w:ascii="宋体" w:hAnsi="宋体"/>
                <w:bCs/>
                <w:color w:val="000000" w:themeColor="text1"/>
                <w:kern w:val="0"/>
                <w:szCs w:val="21"/>
              </w:rPr>
            </w:pPr>
            <w:r w:rsidRPr="00A129C9">
              <w:rPr>
                <w:rFonts w:ascii="宋体" w:hAnsi="宋体" w:hint="eastAsia"/>
                <w:bCs/>
                <w:color w:val="000000" w:themeColor="text1"/>
                <w:kern w:val="0"/>
                <w:szCs w:val="21"/>
              </w:rPr>
              <w:t>近3年成功代理</w:t>
            </w:r>
            <w:r w:rsidRPr="00A129C9">
              <w:rPr>
                <w:rFonts w:ascii="宋体" w:hAnsi="宋体"/>
                <w:bCs/>
                <w:color w:val="000000" w:themeColor="text1"/>
                <w:kern w:val="0"/>
                <w:szCs w:val="21"/>
              </w:rPr>
              <w:t>医院</w:t>
            </w:r>
            <w:r w:rsidRPr="00A129C9">
              <w:rPr>
                <w:rFonts w:ascii="宋体" w:hAnsi="宋体" w:hint="eastAsia"/>
                <w:bCs/>
                <w:color w:val="000000" w:themeColor="text1"/>
                <w:kern w:val="0"/>
                <w:szCs w:val="21"/>
              </w:rPr>
              <w:t>医疗纠纷或处理群体性重大医疗纠纷等方面的诉讼、仲裁案件、调解或成功代表医院谈判协商或处理信访</w:t>
            </w:r>
            <w:r w:rsidRPr="00A129C9">
              <w:rPr>
                <w:rFonts w:ascii="宋体" w:hAnsi="宋体"/>
                <w:bCs/>
                <w:color w:val="000000" w:themeColor="text1"/>
                <w:kern w:val="0"/>
                <w:szCs w:val="21"/>
              </w:rPr>
              <w:t>等</w:t>
            </w:r>
            <w:r w:rsidRPr="00A129C9">
              <w:rPr>
                <w:rFonts w:ascii="宋体" w:hAnsi="宋体" w:hint="eastAsia"/>
                <w:bCs/>
                <w:color w:val="000000" w:themeColor="text1"/>
                <w:kern w:val="0"/>
                <w:szCs w:val="21"/>
              </w:rPr>
              <w:t>事件（投标单位提供主办律师团队人员主办案件，列表胜诉（含成功调解））1宗得</w:t>
            </w:r>
            <w:r w:rsidRPr="00A129C9">
              <w:rPr>
                <w:rFonts w:ascii="宋体" w:hAnsi="宋体"/>
                <w:bCs/>
                <w:color w:val="000000" w:themeColor="text1"/>
                <w:kern w:val="0"/>
                <w:szCs w:val="21"/>
              </w:rPr>
              <w:t>1</w:t>
            </w:r>
            <w:r w:rsidRPr="00A129C9">
              <w:rPr>
                <w:rFonts w:ascii="宋体" w:hAnsi="宋体" w:hint="eastAsia"/>
                <w:bCs/>
                <w:color w:val="000000" w:themeColor="text1"/>
                <w:kern w:val="0"/>
                <w:szCs w:val="21"/>
              </w:rPr>
              <w:t>分，最高</w:t>
            </w:r>
            <w:r w:rsidRPr="00A129C9">
              <w:rPr>
                <w:rFonts w:ascii="宋体" w:hAnsi="宋体"/>
                <w:bCs/>
                <w:color w:val="000000" w:themeColor="text1"/>
                <w:kern w:val="0"/>
                <w:szCs w:val="21"/>
              </w:rPr>
              <w:t>10</w:t>
            </w:r>
            <w:r w:rsidRPr="00A129C9">
              <w:rPr>
                <w:rFonts w:ascii="宋体" w:hAnsi="宋体" w:hint="eastAsia"/>
                <w:bCs/>
                <w:color w:val="000000" w:themeColor="text1"/>
                <w:kern w:val="0"/>
                <w:szCs w:val="21"/>
              </w:rPr>
              <w:t>分）</w:t>
            </w:r>
          </w:p>
        </w:tc>
        <w:tc>
          <w:tcPr>
            <w:tcW w:w="14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0371C4">
            <w:pPr>
              <w:widowControl/>
              <w:shd w:val="clear" w:color="auto" w:fill="E1E2E3"/>
              <w:rPr>
                <w:rFonts w:ascii="宋体" w:hAnsi="宋体"/>
                <w:b/>
                <w:bCs/>
                <w:color w:val="000000"/>
                <w:kern w:val="0"/>
                <w:szCs w:val="21"/>
              </w:rPr>
            </w:pPr>
          </w:p>
        </w:tc>
      </w:tr>
      <w:tr w:rsidR="000371C4">
        <w:trPr>
          <w:jc w:val="center"/>
        </w:trPr>
        <w:tc>
          <w:tcPr>
            <w:tcW w:w="699"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shd w:val="clear" w:color="auto" w:fill="E1E2E3"/>
              <w:jc w:val="center"/>
              <w:rPr>
                <w:rFonts w:ascii="宋体" w:hAnsi="宋体"/>
                <w:bCs/>
                <w:color w:val="000000"/>
                <w:kern w:val="0"/>
                <w:szCs w:val="21"/>
              </w:rPr>
            </w:pPr>
          </w:p>
        </w:tc>
        <w:tc>
          <w:tcPr>
            <w:tcW w:w="1276"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371C4" w:rsidRDefault="0075279B">
            <w:pPr>
              <w:widowControl/>
              <w:shd w:val="clear" w:color="auto" w:fill="E1E2E3"/>
              <w:jc w:val="center"/>
              <w:rPr>
                <w:rFonts w:ascii="宋体" w:hAnsi="宋体"/>
                <w:bCs/>
                <w:color w:val="000000"/>
                <w:kern w:val="0"/>
                <w:szCs w:val="21"/>
              </w:rPr>
            </w:pPr>
            <w:r>
              <w:rPr>
                <w:rFonts w:ascii="宋体" w:hAnsi="宋体"/>
                <w:bCs/>
                <w:color w:val="000000"/>
                <w:kern w:val="0"/>
                <w:szCs w:val="21"/>
              </w:rPr>
              <w:t>10</w:t>
            </w:r>
          </w:p>
        </w:tc>
        <w:tc>
          <w:tcPr>
            <w:tcW w:w="4820"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0371C4" w:rsidRPr="00A129C9" w:rsidRDefault="00F52B3C">
            <w:pPr>
              <w:widowControl/>
              <w:shd w:val="clear" w:color="auto" w:fill="E1E2E3"/>
              <w:rPr>
                <w:rFonts w:ascii="宋体" w:hAnsi="宋体"/>
                <w:bCs/>
                <w:color w:val="000000" w:themeColor="text1"/>
                <w:kern w:val="0"/>
                <w:szCs w:val="21"/>
              </w:rPr>
            </w:pPr>
            <w:r w:rsidRPr="00A129C9">
              <w:rPr>
                <w:rFonts w:ascii="宋体" w:hAnsi="宋体" w:hint="eastAsia"/>
                <w:bCs/>
                <w:color w:val="000000" w:themeColor="text1"/>
                <w:kern w:val="0"/>
                <w:szCs w:val="21"/>
              </w:rPr>
              <w:t>近两年内年度结案案件中，指派律师代理医疗纠纷诉讼案件胜诉率情况，胜诉80%以上得</w:t>
            </w:r>
            <w:r w:rsidR="0075279B">
              <w:rPr>
                <w:rFonts w:ascii="宋体" w:hAnsi="宋体"/>
                <w:bCs/>
                <w:color w:val="000000" w:themeColor="text1"/>
                <w:kern w:val="0"/>
                <w:szCs w:val="21"/>
              </w:rPr>
              <w:t>1</w:t>
            </w:r>
            <w:r w:rsidR="0075279B">
              <w:rPr>
                <w:rFonts w:ascii="宋体" w:hAnsi="宋体" w:hint="eastAsia"/>
                <w:bCs/>
                <w:color w:val="000000" w:themeColor="text1"/>
                <w:kern w:val="0"/>
                <w:szCs w:val="21"/>
              </w:rPr>
              <w:t>0分，胜</w:t>
            </w:r>
            <w:r w:rsidRPr="00A129C9">
              <w:rPr>
                <w:rFonts w:ascii="宋体" w:hAnsi="宋体" w:hint="eastAsia"/>
                <w:bCs/>
                <w:color w:val="000000" w:themeColor="text1"/>
                <w:kern w:val="0"/>
                <w:szCs w:val="21"/>
              </w:rPr>
              <w:t>诉</w:t>
            </w:r>
            <w:r w:rsidRPr="00A129C9">
              <w:rPr>
                <w:rFonts w:ascii="宋体" w:hAnsi="宋体"/>
                <w:bCs/>
                <w:color w:val="000000" w:themeColor="text1"/>
                <w:kern w:val="0"/>
                <w:szCs w:val="21"/>
              </w:rPr>
              <w:t>60</w:t>
            </w:r>
            <w:r w:rsidRPr="00A129C9">
              <w:rPr>
                <w:rFonts w:ascii="宋体" w:hAnsi="宋体" w:hint="eastAsia"/>
                <w:bCs/>
                <w:color w:val="000000" w:themeColor="text1"/>
                <w:kern w:val="0"/>
                <w:szCs w:val="21"/>
              </w:rPr>
              <w:t>%至8</w:t>
            </w:r>
            <w:r w:rsidRPr="00A129C9">
              <w:rPr>
                <w:rFonts w:ascii="宋体" w:hAnsi="宋体"/>
                <w:bCs/>
                <w:color w:val="000000" w:themeColor="text1"/>
                <w:kern w:val="0"/>
                <w:szCs w:val="21"/>
              </w:rPr>
              <w:t>0</w:t>
            </w:r>
            <w:r w:rsidRPr="00A129C9">
              <w:rPr>
                <w:rFonts w:ascii="宋体" w:hAnsi="宋体" w:hint="eastAsia"/>
                <w:bCs/>
                <w:color w:val="000000" w:themeColor="text1"/>
                <w:kern w:val="0"/>
                <w:szCs w:val="21"/>
              </w:rPr>
              <w:t>%得</w:t>
            </w:r>
            <w:r w:rsidR="0075279B">
              <w:rPr>
                <w:rFonts w:ascii="宋体" w:hAnsi="宋体"/>
                <w:bCs/>
                <w:color w:val="000000" w:themeColor="text1"/>
                <w:kern w:val="0"/>
                <w:szCs w:val="21"/>
              </w:rPr>
              <w:t>5</w:t>
            </w:r>
            <w:r w:rsidRPr="00A129C9">
              <w:rPr>
                <w:rFonts w:ascii="宋体" w:hAnsi="宋体"/>
                <w:bCs/>
                <w:color w:val="000000" w:themeColor="text1"/>
                <w:kern w:val="0"/>
                <w:szCs w:val="21"/>
              </w:rPr>
              <w:t>分</w:t>
            </w:r>
            <w:r w:rsidRPr="00A129C9">
              <w:rPr>
                <w:rFonts w:ascii="宋体" w:hAnsi="宋体" w:hint="eastAsia"/>
                <w:bCs/>
                <w:color w:val="000000" w:themeColor="text1"/>
                <w:kern w:val="0"/>
                <w:szCs w:val="21"/>
              </w:rPr>
              <w:t>。（列表统计成功率），6</w:t>
            </w:r>
            <w:r w:rsidRPr="00A129C9">
              <w:rPr>
                <w:rFonts w:ascii="宋体" w:hAnsi="宋体"/>
                <w:bCs/>
                <w:color w:val="000000" w:themeColor="text1"/>
                <w:kern w:val="0"/>
                <w:szCs w:val="21"/>
              </w:rPr>
              <w:t>0</w:t>
            </w:r>
            <w:r w:rsidRPr="00A129C9">
              <w:rPr>
                <w:rFonts w:ascii="宋体" w:hAnsi="宋体" w:hint="eastAsia"/>
                <w:bCs/>
                <w:color w:val="000000" w:themeColor="text1"/>
                <w:kern w:val="0"/>
                <w:szCs w:val="21"/>
              </w:rPr>
              <w:t>%</w:t>
            </w:r>
            <w:r w:rsidRPr="00A129C9">
              <w:rPr>
                <w:rFonts w:ascii="宋体" w:hAnsi="宋体"/>
                <w:bCs/>
                <w:color w:val="000000" w:themeColor="text1"/>
                <w:kern w:val="0"/>
                <w:szCs w:val="21"/>
              </w:rPr>
              <w:t>以下不得分</w:t>
            </w:r>
            <w:r w:rsidRPr="00A129C9">
              <w:rPr>
                <w:rFonts w:ascii="宋体" w:hAnsi="宋体" w:hint="eastAsia"/>
                <w:bCs/>
                <w:color w:val="000000" w:themeColor="text1"/>
                <w:kern w:val="0"/>
                <w:szCs w:val="21"/>
              </w:rPr>
              <w:t>。</w:t>
            </w:r>
          </w:p>
        </w:tc>
        <w:tc>
          <w:tcPr>
            <w:tcW w:w="14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0371C4">
            <w:pPr>
              <w:widowControl/>
              <w:shd w:val="clear" w:color="auto" w:fill="E1E2E3"/>
              <w:rPr>
                <w:rFonts w:ascii="宋体" w:hAnsi="宋体"/>
                <w:b/>
                <w:bCs/>
                <w:color w:val="000000"/>
                <w:kern w:val="0"/>
                <w:szCs w:val="21"/>
              </w:rPr>
            </w:pPr>
          </w:p>
        </w:tc>
      </w:tr>
      <w:tr w:rsidR="000371C4">
        <w:trPr>
          <w:jc w:val="center"/>
        </w:trPr>
        <w:tc>
          <w:tcPr>
            <w:tcW w:w="699"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276"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371C4" w:rsidRDefault="0075279B">
            <w:pPr>
              <w:widowControl/>
              <w:shd w:val="clear" w:color="auto" w:fill="E1E2E3"/>
              <w:jc w:val="center"/>
              <w:rPr>
                <w:rFonts w:ascii="宋体" w:hAnsi="宋体"/>
                <w:bCs/>
                <w:color w:val="000000"/>
                <w:kern w:val="0"/>
                <w:szCs w:val="21"/>
              </w:rPr>
            </w:pPr>
            <w:r>
              <w:rPr>
                <w:rFonts w:ascii="宋体" w:hAnsi="宋体" w:hint="eastAsia"/>
                <w:bCs/>
                <w:color w:val="000000"/>
                <w:kern w:val="0"/>
                <w:szCs w:val="21"/>
              </w:rPr>
              <w:t>7</w:t>
            </w:r>
          </w:p>
        </w:tc>
        <w:tc>
          <w:tcPr>
            <w:tcW w:w="4820"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0371C4" w:rsidRPr="00A129C9" w:rsidRDefault="00F52B3C">
            <w:pPr>
              <w:widowControl/>
              <w:shd w:val="clear" w:color="auto" w:fill="E1E2E3"/>
              <w:rPr>
                <w:rFonts w:ascii="宋体" w:hAnsi="宋体"/>
                <w:bCs/>
                <w:color w:val="000000" w:themeColor="text1"/>
                <w:kern w:val="0"/>
                <w:szCs w:val="21"/>
              </w:rPr>
            </w:pPr>
            <w:r w:rsidRPr="00A129C9">
              <w:rPr>
                <w:rFonts w:ascii="宋体" w:hAnsi="宋体"/>
                <w:bCs/>
                <w:color w:val="000000" w:themeColor="text1"/>
                <w:kern w:val="0"/>
                <w:szCs w:val="21"/>
              </w:rPr>
              <w:t>主办律师</w:t>
            </w:r>
            <w:r w:rsidRPr="00A129C9">
              <w:rPr>
                <w:rFonts w:ascii="宋体" w:hAnsi="宋体" w:hint="eastAsia"/>
                <w:bCs/>
                <w:color w:val="000000" w:themeColor="text1"/>
                <w:kern w:val="0"/>
                <w:szCs w:val="21"/>
              </w:rPr>
              <w:t>五</w:t>
            </w:r>
            <w:r w:rsidRPr="00A129C9">
              <w:rPr>
                <w:rFonts w:ascii="宋体" w:hAnsi="宋体"/>
                <w:bCs/>
                <w:color w:val="000000" w:themeColor="text1"/>
                <w:kern w:val="0"/>
                <w:szCs w:val="21"/>
              </w:rPr>
              <w:t>年以上</w:t>
            </w:r>
            <w:r w:rsidRPr="00A129C9">
              <w:rPr>
                <w:rFonts w:ascii="宋体" w:hAnsi="宋体" w:hint="eastAsia"/>
                <w:bCs/>
                <w:color w:val="000000" w:themeColor="text1"/>
                <w:kern w:val="0"/>
                <w:szCs w:val="21"/>
              </w:rPr>
              <w:t>相关</w:t>
            </w:r>
            <w:r w:rsidRPr="00A129C9">
              <w:rPr>
                <w:rFonts w:ascii="宋体" w:hAnsi="宋体"/>
                <w:bCs/>
                <w:color w:val="000000" w:themeColor="text1"/>
                <w:kern w:val="0"/>
                <w:szCs w:val="21"/>
              </w:rPr>
              <w:t>从业经验得2</w:t>
            </w:r>
            <w:r w:rsidRPr="00A129C9">
              <w:rPr>
                <w:rFonts w:ascii="宋体" w:hAnsi="宋体" w:hint="eastAsia"/>
                <w:bCs/>
                <w:color w:val="000000" w:themeColor="text1"/>
                <w:kern w:val="0"/>
                <w:szCs w:val="21"/>
              </w:rPr>
              <w:t>分，八</w:t>
            </w:r>
            <w:r w:rsidRPr="00A129C9">
              <w:rPr>
                <w:rFonts w:ascii="宋体" w:hAnsi="宋体"/>
                <w:bCs/>
                <w:color w:val="000000" w:themeColor="text1"/>
                <w:kern w:val="0"/>
                <w:szCs w:val="21"/>
              </w:rPr>
              <w:t>年以上</w:t>
            </w:r>
            <w:r w:rsidRPr="00A129C9">
              <w:rPr>
                <w:rFonts w:ascii="宋体" w:hAnsi="宋体" w:hint="eastAsia"/>
                <w:bCs/>
                <w:color w:val="000000" w:themeColor="text1"/>
                <w:kern w:val="0"/>
                <w:szCs w:val="21"/>
              </w:rPr>
              <w:t>相关</w:t>
            </w:r>
            <w:r w:rsidRPr="00A129C9">
              <w:rPr>
                <w:rFonts w:ascii="宋体" w:hAnsi="宋体"/>
                <w:bCs/>
                <w:color w:val="000000" w:themeColor="text1"/>
                <w:kern w:val="0"/>
                <w:szCs w:val="21"/>
              </w:rPr>
              <w:t>从业经验得3</w:t>
            </w:r>
            <w:r w:rsidRPr="00A129C9">
              <w:rPr>
                <w:rFonts w:ascii="宋体" w:hAnsi="宋体" w:hint="eastAsia"/>
                <w:bCs/>
                <w:color w:val="000000" w:themeColor="text1"/>
                <w:kern w:val="0"/>
                <w:szCs w:val="21"/>
              </w:rPr>
              <w:t>分，十年及以上得5分，没有不得分；在金融、不良资产处置、投融资相</w:t>
            </w:r>
            <w:bookmarkStart w:id="0" w:name="_GoBack"/>
            <w:bookmarkEnd w:id="0"/>
            <w:r w:rsidRPr="00A129C9">
              <w:rPr>
                <w:rFonts w:ascii="宋体" w:hAnsi="宋体" w:hint="eastAsia"/>
                <w:bCs/>
                <w:color w:val="000000" w:themeColor="text1"/>
                <w:kern w:val="0"/>
                <w:szCs w:val="21"/>
              </w:rPr>
              <w:t>关法律业务上具有专长及相关经验加</w:t>
            </w:r>
            <w:r w:rsidR="0075279B">
              <w:rPr>
                <w:rFonts w:ascii="宋体" w:hAnsi="宋体" w:hint="eastAsia"/>
                <w:bCs/>
                <w:color w:val="000000" w:themeColor="text1"/>
                <w:kern w:val="0"/>
                <w:szCs w:val="21"/>
              </w:rPr>
              <w:t>2</w:t>
            </w:r>
            <w:r w:rsidRPr="00A129C9">
              <w:rPr>
                <w:rFonts w:ascii="宋体" w:hAnsi="宋体" w:hint="eastAsia"/>
                <w:bCs/>
                <w:color w:val="000000" w:themeColor="text1"/>
                <w:kern w:val="0"/>
                <w:szCs w:val="21"/>
              </w:rPr>
              <w:t>分。（投标单位提供</w:t>
            </w:r>
            <w:r w:rsidRPr="00A129C9">
              <w:rPr>
                <w:rFonts w:ascii="宋体" w:hAnsi="宋体"/>
                <w:bCs/>
                <w:color w:val="000000" w:themeColor="text1"/>
                <w:kern w:val="0"/>
                <w:szCs w:val="21"/>
              </w:rPr>
              <w:t>主办律师</w:t>
            </w:r>
            <w:r w:rsidRPr="00A129C9">
              <w:rPr>
                <w:rFonts w:ascii="宋体" w:hAnsi="宋体" w:hint="eastAsia"/>
                <w:bCs/>
                <w:color w:val="000000" w:themeColor="text1"/>
                <w:kern w:val="0"/>
                <w:szCs w:val="21"/>
              </w:rPr>
              <w:t>执业年限证明复印件，在金融、不良资产处置、投融资相关法律业务项目的证明佐证材料，加盖公章）</w:t>
            </w:r>
          </w:p>
        </w:tc>
        <w:tc>
          <w:tcPr>
            <w:tcW w:w="14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0371C4">
            <w:pPr>
              <w:widowControl/>
              <w:shd w:val="clear" w:color="auto" w:fill="E1E2E3"/>
              <w:rPr>
                <w:rFonts w:ascii="宋体" w:hAnsi="宋体"/>
                <w:b/>
                <w:bCs/>
                <w:color w:val="000000"/>
                <w:kern w:val="0"/>
                <w:szCs w:val="21"/>
              </w:rPr>
            </w:pPr>
          </w:p>
        </w:tc>
      </w:tr>
      <w:tr w:rsidR="000371C4">
        <w:trPr>
          <w:jc w:val="center"/>
        </w:trPr>
        <w:tc>
          <w:tcPr>
            <w:tcW w:w="699"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276"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371C4" w:rsidRDefault="0075279B">
            <w:pPr>
              <w:widowControl/>
              <w:shd w:val="clear" w:color="auto" w:fill="E1E2E3"/>
              <w:jc w:val="center"/>
              <w:rPr>
                <w:rFonts w:ascii="宋体" w:hAnsi="宋体"/>
                <w:bCs/>
                <w:color w:val="000000"/>
                <w:kern w:val="0"/>
                <w:szCs w:val="21"/>
              </w:rPr>
            </w:pPr>
            <w:r>
              <w:rPr>
                <w:rFonts w:ascii="宋体" w:hAnsi="宋体"/>
                <w:bCs/>
                <w:color w:val="000000"/>
                <w:kern w:val="0"/>
                <w:szCs w:val="21"/>
              </w:rPr>
              <w:t>3</w:t>
            </w:r>
          </w:p>
        </w:tc>
        <w:tc>
          <w:tcPr>
            <w:tcW w:w="4820"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rPr>
                <w:rFonts w:ascii="宋体" w:hAnsi="宋体"/>
                <w:bCs/>
                <w:color w:val="000000"/>
                <w:kern w:val="0"/>
                <w:szCs w:val="21"/>
              </w:rPr>
            </w:pPr>
            <w:r>
              <w:rPr>
                <w:rFonts w:ascii="宋体" w:hAnsi="宋体" w:hint="eastAsia"/>
                <w:bCs/>
                <w:color w:val="000000"/>
                <w:kern w:val="0"/>
                <w:szCs w:val="21"/>
              </w:rPr>
              <w:t>律师事务所指派律师具有司法局派驻医疗机构或其他单位担任人民调解员的经历，如有得</w:t>
            </w:r>
            <w:r w:rsidR="0075279B">
              <w:rPr>
                <w:rFonts w:ascii="宋体" w:hAnsi="宋体" w:hint="eastAsia"/>
                <w:bCs/>
                <w:color w:val="000000"/>
                <w:kern w:val="0"/>
                <w:szCs w:val="21"/>
              </w:rPr>
              <w:t>3</w:t>
            </w:r>
            <w:r>
              <w:rPr>
                <w:rFonts w:ascii="宋体" w:hAnsi="宋体" w:hint="eastAsia"/>
                <w:bCs/>
                <w:color w:val="000000"/>
                <w:kern w:val="0"/>
                <w:szCs w:val="21"/>
              </w:rPr>
              <w:t>分，如无则不得分。（提供证明材料，加盖公章）</w:t>
            </w:r>
          </w:p>
        </w:tc>
        <w:tc>
          <w:tcPr>
            <w:tcW w:w="14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0371C4">
            <w:pPr>
              <w:widowControl/>
              <w:shd w:val="clear" w:color="auto" w:fill="E1E2E3"/>
              <w:rPr>
                <w:rFonts w:ascii="宋体" w:hAnsi="宋体"/>
                <w:b/>
                <w:bCs/>
                <w:color w:val="000000"/>
                <w:kern w:val="0"/>
                <w:szCs w:val="21"/>
              </w:rPr>
            </w:pPr>
          </w:p>
        </w:tc>
      </w:tr>
      <w:tr w:rsidR="000371C4">
        <w:trPr>
          <w:jc w:val="center"/>
        </w:trPr>
        <w:tc>
          <w:tcPr>
            <w:tcW w:w="699"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276"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Cs/>
                <w:color w:val="000000"/>
                <w:kern w:val="0"/>
                <w:szCs w:val="21"/>
              </w:rPr>
            </w:pPr>
            <w:r>
              <w:rPr>
                <w:rFonts w:ascii="宋体" w:hAnsi="宋体"/>
                <w:bCs/>
                <w:color w:val="000000"/>
                <w:kern w:val="0"/>
                <w:szCs w:val="21"/>
              </w:rPr>
              <w:t>5</w:t>
            </w:r>
          </w:p>
        </w:tc>
        <w:tc>
          <w:tcPr>
            <w:tcW w:w="4820"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rPr>
                <w:rFonts w:ascii="宋体" w:hAnsi="宋体"/>
                <w:bCs/>
                <w:color w:val="000000"/>
                <w:kern w:val="0"/>
                <w:szCs w:val="21"/>
              </w:rPr>
            </w:pPr>
            <w:r>
              <w:rPr>
                <w:rFonts w:ascii="宋体" w:hAnsi="宋体" w:hint="eastAsia"/>
                <w:bCs/>
                <w:color w:val="000000"/>
                <w:kern w:val="0"/>
                <w:szCs w:val="21"/>
              </w:rPr>
              <w:t>律师事务所主任或负责人作为主办律师为医院提供服务得</w:t>
            </w:r>
            <w:r>
              <w:rPr>
                <w:rFonts w:ascii="宋体" w:hAnsi="宋体"/>
                <w:bCs/>
                <w:color w:val="000000"/>
                <w:kern w:val="0"/>
                <w:szCs w:val="21"/>
              </w:rPr>
              <w:t>5</w:t>
            </w:r>
            <w:r>
              <w:rPr>
                <w:rFonts w:ascii="宋体" w:hAnsi="宋体" w:hint="eastAsia"/>
                <w:bCs/>
                <w:color w:val="000000"/>
                <w:kern w:val="0"/>
                <w:szCs w:val="21"/>
              </w:rPr>
              <w:t>分，没有不得分（投标单位提供营业执照复印件）</w:t>
            </w:r>
          </w:p>
        </w:tc>
        <w:tc>
          <w:tcPr>
            <w:tcW w:w="14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0371C4">
            <w:pPr>
              <w:widowControl/>
              <w:shd w:val="clear" w:color="auto" w:fill="E1E2E3"/>
              <w:rPr>
                <w:rFonts w:ascii="宋体" w:hAnsi="宋体"/>
                <w:b/>
                <w:bCs/>
                <w:color w:val="000000"/>
                <w:kern w:val="0"/>
                <w:szCs w:val="21"/>
              </w:rPr>
            </w:pPr>
          </w:p>
        </w:tc>
      </w:tr>
      <w:tr w:rsidR="000371C4">
        <w:trPr>
          <w:jc w:val="center"/>
        </w:trPr>
        <w:tc>
          <w:tcPr>
            <w:tcW w:w="699"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276"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Cs/>
                <w:color w:val="000000"/>
                <w:kern w:val="0"/>
                <w:szCs w:val="21"/>
              </w:rPr>
            </w:pPr>
            <w:r>
              <w:rPr>
                <w:rFonts w:ascii="宋体" w:hAnsi="宋体"/>
                <w:bCs/>
                <w:color w:val="000000"/>
                <w:kern w:val="0"/>
                <w:szCs w:val="21"/>
              </w:rPr>
              <w:t>5</w:t>
            </w:r>
          </w:p>
        </w:tc>
        <w:tc>
          <w:tcPr>
            <w:tcW w:w="4820"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rPr>
                <w:rFonts w:ascii="宋体" w:hAnsi="宋体"/>
                <w:bCs/>
                <w:color w:val="000000"/>
                <w:kern w:val="0"/>
                <w:szCs w:val="21"/>
              </w:rPr>
            </w:pPr>
            <w:r>
              <w:rPr>
                <w:rFonts w:ascii="宋体" w:hAnsi="宋体" w:hint="eastAsia"/>
                <w:bCs/>
                <w:color w:val="000000"/>
                <w:kern w:val="0"/>
                <w:szCs w:val="21"/>
              </w:rPr>
              <w:t>顾问团队结合医院需求，紧急或重大事件能在1个小</w:t>
            </w:r>
            <w:r>
              <w:rPr>
                <w:rFonts w:ascii="宋体" w:hAnsi="宋体" w:hint="eastAsia"/>
                <w:bCs/>
                <w:color w:val="000000"/>
                <w:kern w:val="0"/>
                <w:szCs w:val="21"/>
              </w:rPr>
              <w:lastRenderedPageBreak/>
              <w:t>时内到达医院处理得</w:t>
            </w:r>
            <w:r>
              <w:rPr>
                <w:rFonts w:ascii="宋体" w:hAnsi="宋体"/>
                <w:bCs/>
                <w:color w:val="000000"/>
                <w:kern w:val="0"/>
                <w:szCs w:val="21"/>
              </w:rPr>
              <w:t>5</w:t>
            </w:r>
            <w:r>
              <w:rPr>
                <w:rFonts w:ascii="宋体" w:hAnsi="宋体" w:hint="eastAsia"/>
                <w:bCs/>
                <w:color w:val="000000"/>
                <w:kern w:val="0"/>
                <w:szCs w:val="21"/>
              </w:rPr>
              <w:t>分，1-2小时内到达医院处理得</w:t>
            </w:r>
            <w:r>
              <w:rPr>
                <w:rFonts w:ascii="宋体" w:hAnsi="宋体"/>
                <w:bCs/>
                <w:color w:val="000000"/>
                <w:kern w:val="0"/>
                <w:szCs w:val="21"/>
              </w:rPr>
              <w:t>2</w:t>
            </w:r>
            <w:r>
              <w:rPr>
                <w:rFonts w:ascii="宋体" w:hAnsi="宋体" w:hint="eastAsia"/>
                <w:bCs/>
                <w:color w:val="000000"/>
                <w:kern w:val="0"/>
                <w:szCs w:val="21"/>
              </w:rPr>
              <w:t>分，3个小时以上不得分（投标单位提供驻点律师事务所与采购单位的百度距离截图，并加盖公章）</w:t>
            </w:r>
          </w:p>
        </w:tc>
        <w:tc>
          <w:tcPr>
            <w:tcW w:w="14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0371C4">
            <w:pPr>
              <w:widowControl/>
              <w:shd w:val="clear" w:color="auto" w:fill="E1E2E3"/>
              <w:rPr>
                <w:rFonts w:ascii="宋体" w:hAnsi="宋体"/>
                <w:b/>
                <w:bCs/>
                <w:color w:val="000000"/>
                <w:kern w:val="0"/>
                <w:szCs w:val="21"/>
              </w:rPr>
            </w:pPr>
          </w:p>
        </w:tc>
      </w:tr>
      <w:tr w:rsidR="000371C4">
        <w:trPr>
          <w:jc w:val="center"/>
        </w:trPr>
        <w:tc>
          <w:tcPr>
            <w:tcW w:w="699"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276"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Cs/>
                <w:color w:val="000000" w:themeColor="text1"/>
                <w:kern w:val="0"/>
                <w:szCs w:val="21"/>
              </w:rPr>
            </w:pPr>
            <w:r>
              <w:rPr>
                <w:rFonts w:ascii="宋体" w:hAnsi="宋体"/>
                <w:bCs/>
                <w:color w:val="000000" w:themeColor="text1"/>
                <w:kern w:val="0"/>
                <w:szCs w:val="21"/>
              </w:rPr>
              <w:t>10</w:t>
            </w:r>
          </w:p>
        </w:tc>
        <w:tc>
          <w:tcPr>
            <w:tcW w:w="4820"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rPr>
                <w:rFonts w:ascii="宋体" w:hAnsi="宋体"/>
                <w:bCs/>
                <w:color w:val="000000" w:themeColor="text1"/>
                <w:kern w:val="0"/>
                <w:szCs w:val="21"/>
              </w:rPr>
            </w:pPr>
            <w:r>
              <w:rPr>
                <w:rFonts w:ascii="宋体" w:hAnsi="宋体"/>
                <w:bCs/>
                <w:color w:val="000000" w:themeColor="text1"/>
                <w:kern w:val="0"/>
                <w:szCs w:val="21"/>
              </w:rPr>
              <w:t>顾问团队综合实力</w:t>
            </w:r>
            <w:r>
              <w:rPr>
                <w:rFonts w:ascii="宋体" w:hAnsi="宋体" w:hint="eastAsia"/>
                <w:bCs/>
                <w:color w:val="000000" w:themeColor="text1"/>
                <w:kern w:val="0"/>
                <w:szCs w:val="21"/>
              </w:rPr>
              <w:t>（沟通能力、知识结构、从业经历、阅历、社会资源等综合素质）等综合评议最高</w:t>
            </w:r>
            <w:r>
              <w:rPr>
                <w:rFonts w:ascii="宋体" w:hAnsi="宋体"/>
                <w:bCs/>
                <w:color w:val="000000" w:themeColor="text1"/>
                <w:kern w:val="0"/>
                <w:szCs w:val="21"/>
              </w:rPr>
              <w:t>10分综合评议</w:t>
            </w:r>
            <w:r>
              <w:rPr>
                <w:rFonts w:ascii="宋体" w:hAnsi="宋体" w:hint="eastAsia"/>
                <w:bCs/>
                <w:color w:val="000000" w:themeColor="text1"/>
                <w:kern w:val="0"/>
                <w:szCs w:val="21"/>
              </w:rPr>
              <w:t>优秀得10分，良好得7分，一般得3分，差得1分。</w:t>
            </w:r>
          </w:p>
        </w:tc>
        <w:tc>
          <w:tcPr>
            <w:tcW w:w="14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0371C4">
            <w:pPr>
              <w:widowControl/>
              <w:shd w:val="clear" w:color="auto" w:fill="E1E2E3"/>
              <w:rPr>
                <w:rFonts w:ascii="宋体" w:hAnsi="宋体"/>
                <w:b/>
                <w:bCs/>
                <w:color w:val="000000"/>
                <w:kern w:val="0"/>
                <w:szCs w:val="21"/>
              </w:rPr>
            </w:pPr>
          </w:p>
        </w:tc>
      </w:tr>
      <w:tr w:rsidR="000371C4">
        <w:trPr>
          <w:jc w:val="center"/>
        </w:trPr>
        <w:tc>
          <w:tcPr>
            <w:tcW w:w="699"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276" w:type="dxa"/>
            <w:vMerge/>
            <w:tcBorders>
              <w:left w:val="single" w:sz="4" w:space="0" w:color="auto"/>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371C4" w:rsidRDefault="00A129C9">
            <w:pPr>
              <w:widowControl/>
              <w:shd w:val="clear" w:color="auto" w:fill="E1E2E3"/>
              <w:jc w:val="center"/>
              <w:rPr>
                <w:rFonts w:ascii="宋体" w:hAnsi="宋体"/>
                <w:bCs/>
                <w:color w:val="000000" w:themeColor="text1"/>
                <w:kern w:val="0"/>
                <w:szCs w:val="21"/>
              </w:rPr>
            </w:pPr>
            <w:r>
              <w:rPr>
                <w:rFonts w:ascii="宋体" w:hAnsi="宋体"/>
                <w:bCs/>
                <w:color w:val="000000" w:themeColor="text1"/>
                <w:kern w:val="0"/>
                <w:szCs w:val="21"/>
              </w:rPr>
              <w:t>5</w:t>
            </w:r>
          </w:p>
        </w:tc>
        <w:tc>
          <w:tcPr>
            <w:tcW w:w="4820"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rPr>
                <w:rFonts w:ascii="宋体" w:hAnsi="宋体"/>
                <w:bCs/>
                <w:color w:val="000000" w:themeColor="text1"/>
                <w:kern w:val="0"/>
                <w:szCs w:val="21"/>
              </w:rPr>
            </w:pPr>
            <w:r>
              <w:rPr>
                <w:rFonts w:ascii="宋体" w:hAnsi="宋体" w:hint="eastAsia"/>
                <w:bCs/>
                <w:color w:val="000000" w:themeColor="text1"/>
                <w:kern w:val="0"/>
                <w:szCs w:val="21"/>
              </w:rPr>
              <w:t>代理各类纠纷诉讼、仲裁案件的律师费，在广东省物价局、广东省司法厅粤价[2006]298号《广东省物价局、司法厅律师服务收费管理实施办法》有关收费标准基础上，每降低1折得</w:t>
            </w:r>
            <w:r>
              <w:rPr>
                <w:rFonts w:ascii="宋体" w:hAnsi="宋体"/>
                <w:bCs/>
                <w:color w:val="000000" w:themeColor="text1"/>
                <w:kern w:val="0"/>
                <w:szCs w:val="21"/>
              </w:rPr>
              <w:t>1</w:t>
            </w:r>
            <w:r>
              <w:rPr>
                <w:rFonts w:ascii="宋体" w:hAnsi="宋体" w:hint="eastAsia"/>
                <w:bCs/>
                <w:color w:val="000000" w:themeColor="text1"/>
                <w:kern w:val="0"/>
                <w:szCs w:val="21"/>
              </w:rPr>
              <w:t>分，最高</w:t>
            </w:r>
            <w:r w:rsidR="00A129C9">
              <w:rPr>
                <w:rFonts w:ascii="宋体" w:hAnsi="宋体"/>
                <w:bCs/>
                <w:color w:val="000000" w:themeColor="text1"/>
                <w:kern w:val="0"/>
                <w:szCs w:val="21"/>
              </w:rPr>
              <w:t>5</w:t>
            </w:r>
            <w:r>
              <w:rPr>
                <w:rFonts w:ascii="宋体" w:hAnsi="宋体" w:hint="eastAsia"/>
                <w:bCs/>
                <w:color w:val="000000" w:themeColor="text1"/>
                <w:kern w:val="0"/>
                <w:szCs w:val="21"/>
              </w:rPr>
              <w:t>分。</w:t>
            </w:r>
            <w:r>
              <w:rPr>
                <w:rFonts w:ascii="宋体" w:hAnsi="宋体" w:hint="eastAsia"/>
                <w:bCs/>
                <w:color w:val="000000" w:themeColor="text1"/>
                <w:kern w:val="0"/>
                <w:szCs w:val="21"/>
              </w:rPr>
              <w:tab/>
            </w:r>
          </w:p>
        </w:tc>
        <w:tc>
          <w:tcPr>
            <w:tcW w:w="14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0371C4">
            <w:pPr>
              <w:widowControl/>
              <w:shd w:val="clear" w:color="auto" w:fill="E1E2E3"/>
              <w:rPr>
                <w:rFonts w:ascii="宋体" w:hAnsi="宋体"/>
                <w:b/>
                <w:bCs/>
                <w:color w:val="000000"/>
                <w:kern w:val="0"/>
                <w:szCs w:val="21"/>
              </w:rPr>
            </w:pPr>
          </w:p>
        </w:tc>
      </w:tr>
      <w:tr w:rsidR="000371C4">
        <w:trPr>
          <w:trHeight w:val="828"/>
          <w:jc w:val="center"/>
        </w:trPr>
        <w:tc>
          <w:tcPr>
            <w:tcW w:w="699" w:type="dxa"/>
            <w:vMerge/>
            <w:tcBorders>
              <w:left w:val="single" w:sz="4" w:space="0" w:color="auto"/>
              <w:bottom w:val="single" w:sz="8" w:space="0" w:color="000000"/>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276" w:type="dxa"/>
            <w:vMerge/>
            <w:tcBorders>
              <w:left w:val="single" w:sz="4" w:space="0" w:color="auto"/>
              <w:bottom w:val="single" w:sz="8" w:space="0" w:color="000000"/>
              <w:right w:val="single" w:sz="4" w:space="0" w:color="auto"/>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Cs/>
                <w:color w:val="000000"/>
                <w:kern w:val="0"/>
                <w:szCs w:val="21"/>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371C4" w:rsidRDefault="0075279B">
            <w:pPr>
              <w:widowControl/>
              <w:shd w:val="clear" w:color="auto" w:fill="E1E2E3"/>
              <w:jc w:val="center"/>
              <w:rPr>
                <w:rFonts w:ascii="宋体" w:hAnsi="宋体"/>
                <w:bCs/>
                <w:color w:val="000000" w:themeColor="text1"/>
                <w:kern w:val="0"/>
                <w:szCs w:val="21"/>
              </w:rPr>
            </w:pPr>
            <w:r>
              <w:rPr>
                <w:rFonts w:ascii="宋体" w:hAnsi="宋体"/>
                <w:bCs/>
                <w:color w:val="000000" w:themeColor="text1"/>
                <w:kern w:val="0"/>
                <w:szCs w:val="21"/>
              </w:rPr>
              <w:t>10</w:t>
            </w:r>
          </w:p>
        </w:tc>
        <w:tc>
          <w:tcPr>
            <w:tcW w:w="4820" w:type="dxa"/>
            <w:tcBorders>
              <w:top w:val="single" w:sz="8" w:space="0" w:color="000000"/>
              <w:left w:val="single" w:sz="4" w:space="0" w:color="auto"/>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rPr>
                <w:rFonts w:ascii="宋体" w:hAnsi="宋体"/>
                <w:bCs/>
                <w:color w:val="000000"/>
                <w:kern w:val="0"/>
                <w:szCs w:val="21"/>
              </w:rPr>
            </w:pPr>
            <w:r>
              <w:rPr>
                <w:rFonts w:ascii="宋体" w:hAnsi="宋体" w:hint="eastAsia"/>
                <w:bCs/>
                <w:color w:val="000000"/>
                <w:kern w:val="0"/>
                <w:szCs w:val="21"/>
              </w:rPr>
              <w:t>提供售后服务方案，对服务响应时间，疑难复杂案件研究处理方式方法等需出具售后方案，确保服务的时效性和服务质量。</w:t>
            </w:r>
          </w:p>
          <w:p w:rsidR="000371C4" w:rsidRDefault="00F52B3C">
            <w:pPr>
              <w:widowControl/>
              <w:shd w:val="clear" w:color="auto" w:fill="E1E2E3"/>
              <w:rPr>
                <w:rFonts w:ascii="宋体" w:hAnsi="宋体"/>
                <w:bCs/>
                <w:color w:val="000000"/>
                <w:kern w:val="0"/>
                <w:szCs w:val="21"/>
              </w:rPr>
            </w:pPr>
            <w:r>
              <w:rPr>
                <w:rFonts w:ascii="宋体" w:hAnsi="宋体" w:hint="eastAsia"/>
                <w:bCs/>
                <w:color w:val="000000"/>
                <w:kern w:val="0"/>
                <w:szCs w:val="21"/>
              </w:rPr>
              <w:t>（1）方案整体科学合理、针对性强、可操作性强，评审为优得5分；</w:t>
            </w:r>
          </w:p>
          <w:p w:rsidR="000371C4" w:rsidRDefault="00F52B3C">
            <w:pPr>
              <w:widowControl/>
              <w:shd w:val="clear" w:color="auto" w:fill="E1E2E3"/>
              <w:rPr>
                <w:rFonts w:ascii="宋体" w:hAnsi="宋体"/>
                <w:bCs/>
                <w:color w:val="000000"/>
                <w:kern w:val="0"/>
                <w:szCs w:val="21"/>
              </w:rPr>
            </w:pPr>
            <w:r>
              <w:rPr>
                <w:rFonts w:ascii="宋体" w:hAnsi="宋体" w:hint="eastAsia"/>
                <w:bCs/>
                <w:color w:val="000000"/>
                <w:kern w:val="0"/>
                <w:szCs w:val="21"/>
              </w:rPr>
              <w:t>（2）方案较合理、有一定针对性、可操作性，评审为良得3分；</w:t>
            </w:r>
          </w:p>
          <w:p w:rsidR="000371C4" w:rsidRDefault="00F52B3C">
            <w:pPr>
              <w:widowControl/>
              <w:shd w:val="clear" w:color="auto" w:fill="E1E2E3"/>
              <w:rPr>
                <w:rFonts w:ascii="宋体" w:hAnsi="宋体"/>
                <w:bCs/>
                <w:color w:val="000000"/>
                <w:kern w:val="0"/>
                <w:szCs w:val="21"/>
              </w:rPr>
            </w:pPr>
            <w:r>
              <w:rPr>
                <w:rFonts w:ascii="宋体" w:hAnsi="宋体" w:hint="eastAsia"/>
                <w:bCs/>
                <w:color w:val="000000"/>
                <w:kern w:val="0"/>
                <w:szCs w:val="21"/>
              </w:rPr>
              <w:t>（3）方案较一般、针对性一般、可操作性一般，评审为中得3分。</w:t>
            </w:r>
          </w:p>
        </w:tc>
        <w:tc>
          <w:tcPr>
            <w:tcW w:w="14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0371C4">
            <w:pPr>
              <w:widowControl/>
              <w:shd w:val="clear" w:color="auto" w:fill="E1E2E3"/>
              <w:rPr>
                <w:rFonts w:ascii="宋体" w:hAnsi="宋体"/>
                <w:b/>
                <w:bCs/>
                <w:color w:val="000000"/>
                <w:kern w:val="0"/>
                <w:szCs w:val="21"/>
              </w:rPr>
            </w:pPr>
          </w:p>
        </w:tc>
      </w:tr>
      <w:tr w:rsidR="000371C4">
        <w:trPr>
          <w:jc w:val="center"/>
        </w:trPr>
        <w:tc>
          <w:tcPr>
            <w:tcW w:w="69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Cs/>
                <w:color w:val="000000"/>
                <w:kern w:val="0"/>
                <w:szCs w:val="21"/>
              </w:rPr>
            </w:pPr>
            <w:r>
              <w:rPr>
                <w:rFonts w:ascii="宋体" w:hAnsi="宋体" w:hint="eastAsia"/>
                <w:bCs/>
                <w:color w:val="000000"/>
                <w:kern w:val="0"/>
                <w:szCs w:val="21"/>
              </w:rPr>
              <w:t>3</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Cs/>
                <w:color w:val="000000"/>
                <w:kern w:val="0"/>
                <w:szCs w:val="21"/>
              </w:rPr>
            </w:pPr>
            <w:r>
              <w:rPr>
                <w:rFonts w:hint="eastAsia"/>
              </w:rPr>
              <w:t>诚信评价</w:t>
            </w:r>
          </w:p>
        </w:tc>
        <w:tc>
          <w:tcPr>
            <w:tcW w:w="1417"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Cs/>
                <w:color w:val="000000" w:themeColor="text1"/>
                <w:kern w:val="0"/>
                <w:szCs w:val="21"/>
              </w:rPr>
            </w:pPr>
            <w:r>
              <w:rPr>
                <w:rFonts w:ascii="宋体" w:hAnsi="宋体" w:hint="eastAsia"/>
                <w:bCs/>
                <w:color w:val="000000" w:themeColor="text1"/>
                <w:kern w:val="0"/>
                <w:szCs w:val="21"/>
              </w:rPr>
              <w:t>5</w:t>
            </w:r>
          </w:p>
        </w:tc>
        <w:tc>
          <w:tcPr>
            <w:tcW w:w="4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rPr>
                <w:rFonts w:ascii="宋体" w:hAnsi="宋体"/>
                <w:bCs/>
                <w:color w:val="000000"/>
                <w:kern w:val="0"/>
                <w:szCs w:val="21"/>
              </w:rPr>
            </w:pPr>
            <w:r>
              <w:rPr>
                <w:rFonts w:ascii="宋体" w:hAnsi="宋体" w:hint="eastAsia"/>
                <w:bCs/>
                <w:color w:val="000000"/>
                <w:kern w:val="0"/>
                <w:szCs w:val="21"/>
              </w:rPr>
              <w:t>根据《深圳市财政委员会关于加强招投标评审环节诚信管理的通知》（深财购[2017]35号）相关规定，投标人在参与政府采购活动中出现诚信相关问题且在相关主管部门处理措施实施期限内的本项不得分，否则得满分。须按招标文件格式提供《诚信承诺函》原件加盖投标人公章，未提供不得分。</w:t>
            </w:r>
          </w:p>
        </w:tc>
        <w:tc>
          <w:tcPr>
            <w:tcW w:w="14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0371C4">
            <w:pPr>
              <w:widowControl/>
              <w:shd w:val="clear" w:color="auto" w:fill="E1E2E3"/>
              <w:rPr>
                <w:rFonts w:ascii="宋体" w:hAnsi="宋体"/>
                <w:b/>
                <w:bCs/>
                <w:color w:val="000000"/>
                <w:kern w:val="0"/>
                <w:szCs w:val="21"/>
              </w:rPr>
            </w:pPr>
          </w:p>
        </w:tc>
      </w:tr>
      <w:tr w:rsidR="000371C4">
        <w:trPr>
          <w:jc w:val="center"/>
        </w:trPr>
        <w:tc>
          <w:tcPr>
            <w:tcW w:w="197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
                <w:bCs/>
                <w:color w:val="000000"/>
                <w:kern w:val="0"/>
                <w:szCs w:val="21"/>
              </w:rPr>
            </w:pPr>
            <w:r>
              <w:rPr>
                <w:rFonts w:ascii="宋体" w:hAnsi="宋体"/>
                <w:b/>
                <w:bCs/>
                <w:color w:val="000000"/>
                <w:kern w:val="0"/>
                <w:szCs w:val="21"/>
              </w:rPr>
              <w:t>总计</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F52B3C">
            <w:pPr>
              <w:widowControl/>
              <w:shd w:val="clear" w:color="auto" w:fill="E1E2E3"/>
              <w:jc w:val="center"/>
              <w:rPr>
                <w:rFonts w:ascii="宋体" w:hAnsi="宋体"/>
                <w:b/>
                <w:bCs/>
                <w:color w:val="000000"/>
                <w:kern w:val="0"/>
                <w:szCs w:val="21"/>
              </w:rPr>
            </w:pPr>
            <w:r>
              <w:rPr>
                <w:rFonts w:ascii="宋体" w:hAnsi="宋体" w:hint="eastAsia"/>
                <w:b/>
                <w:bCs/>
                <w:color w:val="000000"/>
                <w:kern w:val="0"/>
                <w:szCs w:val="21"/>
              </w:rPr>
              <w:t>1</w:t>
            </w:r>
            <w:r>
              <w:rPr>
                <w:rFonts w:ascii="宋体" w:hAnsi="宋体"/>
                <w:b/>
                <w:bCs/>
                <w:color w:val="000000"/>
                <w:kern w:val="0"/>
                <w:szCs w:val="21"/>
              </w:rPr>
              <w:t>00</w:t>
            </w:r>
          </w:p>
        </w:tc>
        <w:tc>
          <w:tcPr>
            <w:tcW w:w="48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
                <w:bCs/>
                <w:color w:val="000000"/>
                <w:kern w:val="0"/>
                <w:szCs w:val="21"/>
              </w:rPr>
            </w:pPr>
          </w:p>
        </w:tc>
        <w:tc>
          <w:tcPr>
            <w:tcW w:w="142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0371C4" w:rsidRDefault="000371C4">
            <w:pPr>
              <w:widowControl/>
              <w:shd w:val="clear" w:color="auto" w:fill="E1E2E3"/>
              <w:jc w:val="center"/>
              <w:rPr>
                <w:rFonts w:ascii="宋体" w:hAnsi="宋体"/>
                <w:b/>
                <w:bCs/>
                <w:color w:val="000000"/>
                <w:kern w:val="0"/>
                <w:szCs w:val="21"/>
              </w:rPr>
            </w:pPr>
          </w:p>
        </w:tc>
      </w:tr>
    </w:tbl>
    <w:p w:rsidR="000371C4" w:rsidRDefault="000371C4"/>
    <w:p w:rsidR="000371C4" w:rsidRDefault="000371C4">
      <w:pPr>
        <w:widowControl/>
        <w:jc w:val="left"/>
      </w:pPr>
    </w:p>
    <w:sectPr w:rsidR="000371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FB1" w:rsidRDefault="00F66FB1" w:rsidP="00A129C9">
      <w:r>
        <w:separator/>
      </w:r>
    </w:p>
  </w:endnote>
  <w:endnote w:type="continuationSeparator" w:id="0">
    <w:p w:rsidR="00F66FB1" w:rsidRDefault="00F66FB1" w:rsidP="00A1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FB1" w:rsidRDefault="00F66FB1" w:rsidP="00A129C9">
      <w:r>
        <w:separator/>
      </w:r>
    </w:p>
  </w:footnote>
  <w:footnote w:type="continuationSeparator" w:id="0">
    <w:p w:rsidR="00F66FB1" w:rsidRDefault="00F66FB1" w:rsidP="00A12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U5NTM5MWMwN2IxMjAxNWEyYWQzZmRlNTA5NjkxYjIifQ=="/>
  </w:docVars>
  <w:rsids>
    <w:rsidRoot w:val="00EC0090"/>
    <w:rsid w:val="000371C4"/>
    <w:rsid w:val="00160C99"/>
    <w:rsid w:val="002F2C53"/>
    <w:rsid w:val="0075279B"/>
    <w:rsid w:val="00A129C9"/>
    <w:rsid w:val="00C34971"/>
    <w:rsid w:val="00EC0090"/>
    <w:rsid w:val="00F52B3C"/>
    <w:rsid w:val="00F66FB1"/>
    <w:rsid w:val="09905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754242-D5D1-4DD2-8C73-9492ECC1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206</Words>
  <Characters>1177</Characters>
  <Application>Microsoft Office Word</Application>
  <DocSecurity>0</DocSecurity>
  <Lines>9</Lines>
  <Paragraphs>2</Paragraphs>
  <ScaleCrop>false</ScaleCrop>
  <Company>Microsoft</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李冰</dc:creator>
  <cp:lastModifiedBy>yb</cp:lastModifiedBy>
  <cp:revision>5</cp:revision>
  <dcterms:created xsi:type="dcterms:W3CDTF">2023-02-24T06:41:00Z</dcterms:created>
  <dcterms:modified xsi:type="dcterms:W3CDTF">2023-02-24T08:47:00Z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9363BDFB47BB4C1D99B5C2C451B1D54B</vt:lpwstr>
  </property>
</Properties>
</file>