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附件: 评分细则</w:t>
      </w:r>
    </w:p>
    <w:tbl>
      <w:tblPr>
        <w:tblStyle w:val="9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00"/>
        <w:gridCol w:w="1505"/>
        <w:gridCol w:w="642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评分项</w:t>
            </w:r>
          </w:p>
        </w:tc>
        <w:tc>
          <w:tcPr>
            <w:tcW w:w="5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284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</w:p>
        </w:tc>
        <w:tc>
          <w:tcPr>
            <w:tcW w:w="59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评分因素</w:t>
            </w:r>
          </w:p>
        </w:tc>
        <w:tc>
          <w:tcPr>
            <w:tcW w:w="642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5993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价格评分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5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评标基准价：即满足招标文件要求且投标价格最低的投标报价为评标基准价，其价格分为满分。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Times New Roman"/>
                <w:bCs/>
                <w:iCs/>
                <w:szCs w:val="21"/>
              </w:rPr>
              <w:t>价格分计算公式：投标报价得分=[评标基准价/项目报价]×价格权重值×100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</w:rPr>
              <w:t>2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</w:rPr>
              <w:t>综合实力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评分因素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资质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投标人具有</w:t>
            </w:r>
            <w:r>
              <w:rPr>
                <w:rFonts w:hint="eastAsia"/>
                <w:szCs w:val="21"/>
              </w:rPr>
              <w:t>城乡规划编制甲级资质证书</w:t>
            </w:r>
            <w:r>
              <w:rPr>
                <w:rFonts w:hint="eastAsia" w:ascii="宋体" w:hAnsi="宋体" w:cs="宋体"/>
                <w:kern w:val="0"/>
              </w:rPr>
              <w:t>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分，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乙级资质证书得4分，</w:t>
            </w:r>
            <w:r>
              <w:rPr>
                <w:rFonts w:hint="eastAsia" w:ascii="宋体" w:hAnsi="宋体" w:cs="宋体"/>
                <w:kern w:val="0"/>
              </w:rPr>
              <w:t>没有不得分。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备注：提供在</w:t>
            </w:r>
            <w:r>
              <w:rPr>
                <w:rFonts w:ascii="宋体" w:hAnsi="宋体" w:cs="宋体"/>
                <w:kern w:val="0"/>
              </w:rPr>
              <w:t>有效期内</w:t>
            </w:r>
            <w:r>
              <w:rPr>
                <w:rFonts w:hint="eastAsia" w:ascii="宋体" w:hAnsi="宋体" w:cs="宋体"/>
                <w:kern w:val="0"/>
              </w:rPr>
              <w:t>的证书扫描件加盖公章，未按要求提供相关材料或扫描件不清晰导致无法识别的不得分。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经验业绩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具有与本项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目相关规划类型业绩的，每个业绩得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本项最高得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备注：提供加盖公章的合同关键页（合同关键页指有签订合同双方的单位名称、合同项目名称与签订合同双方的落款盖章、签订日期）复印件，否则不得分。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投标人拟派服务团队实力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Times New Roman"/>
                <w:bCs/>
                <w:iCs/>
                <w:szCs w:val="21"/>
              </w:rPr>
              <w:t>15</w:t>
            </w:r>
          </w:p>
        </w:tc>
        <w:tc>
          <w:tcPr>
            <w:tcW w:w="59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Times New Roman"/>
                <w:bCs/>
                <w:iCs/>
                <w:szCs w:val="21"/>
              </w:rPr>
              <w:t>项目负责人资质：总分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5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ascii="宋体" w:hAnsi="宋体" w:cs="Times New Roman"/>
                <w:bCs/>
                <w:iCs/>
                <w:szCs w:val="21"/>
              </w:rPr>
              <w:t>a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项目总负责人具有规划高级或以上职称的得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5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ascii="宋体" w:hAnsi="宋体" w:cs="Times New Roman"/>
                <w:bCs/>
                <w:iCs/>
                <w:szCs w:val="21"/>
              </w:rPr>
              <w:t>b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项目总负责人具有规划中级工程师职称的得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3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ascii="宋体" w:hAnsi="宋体" w:cs="Times New Roman"/>
                <w:bCs/>
                <w:iCs/>
                <w:szCs w:val="21"/>
              </w:rPr>
              <w:t>c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其余不得分；</w:t>
            </w:r>
            <w:r>
              <w:rPr>
                <w:rFonts w:ascii="宋体" w:hAnsi="宋体" w:cs="Times New Roman"/>
                <w:bCs/>
                <w:iCs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Times New Roman"/>
                <w:bCs/>
                <w:iCs/>
                <w:szCs w:val="21"/>
              </w:rPr>
              <w:t>服务团队实力：总分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10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Times New Roman"/>
                <w:bCs/>
                <w:iCs/>
                <w:szCs w:val="21"/>
              </w:rPr>
              <w:t>服务团队人员具有高级工程师或以上职称的，每一人可得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3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分，具有中级工程师职称的，每一人可得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2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分，具有初级工程师职称的，每一人可得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1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分，最高得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10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Times New Roman"/>
                <w:bCs/>
                <w:iCs/>
                <w:szCs w:val="21"/>
              </w:rPr>
              <w:t>备注：提供团队</w:t>
            </w:r>
            <w:r>
              <w:rPr>
                <w:rFonts w:ascii="宋体" w:hAnsi="宋体" w:cs="Times New Roman"/>
                <w:bCs/>
                <w:iCs/>
                <w:szCs w:val="21"/>
              </w:rPr>
              <w:t>人员</w:t>
            </w:r>
            <w:r>
              <w:rPr>
                <w:rFonts w:hint="eastAsia" w:ascii="宋体" w:hAnsi="宋体" w:cs="Times New Roman"/>
                <w:bCs/>
                <w:iCs/>
                <w:szCs w:val="21"/>
              </w:rPr>
              <w:t>相应资格证书，不提供不得分。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企业荣誉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ascii="宋体" w:hAnsi="宋体" w:cs="Times New Roman"/>
                <w:bCs/>
                <w:iCs/>
                <w:szCs w:val="21"/>
              </w:rPr>
              <w:t>9</w:t>
            </w:r>
          </w:p>
        </w:tc>
        <w:tc>
          <w:tcPr>
            <w:tcW w:w="5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投标人</w:t>
            </w:r>
            <w:r>
              <w:rPr>
                <w:rFonts w:ascii="宋体" w:hAnsi="宋体" w:cs="宋体"/>
                <w:kern w:val="0"/>
              </w:rPr>
              <w:t>具有</w:t>
            </w:r>
            <w:r>
              <w:rPr>
                <w:rFonts w:hint="eastAsia" w:ascii="宋体" w:hAnsi="宋体" w:cs="宋体"/>
                <w:kern w:val="0"/>
              </w:rPr>
              <w:t>质量管理体系认证证书、环境管理体系认证证书、职业安全管理体系认证证书的，且认证证书在有效期内的，每一个得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分，最多得</w:t>
            </w: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备注：提供有效证书扫描件加盖公章，未按要求提供相关材料或扫描件不清晰导致无法识别的不得分。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3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 xml:space="preserve">技术服务部分 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评分因素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05" w:firstLineChars="50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项目解读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5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A.根据对现状问题短板、工作重点的分析等，最多得10分；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B.根据发展方向研判、目标定位及思路分析，最多得5分；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注：根据以上评价及分析内容的准确性程度评分。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05" w:firstLineChars="50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规划方案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5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A.根据规划策略的合理性、可落地性进行评价，最多得</w:t>
            </w:r>
            <w:r>
              <w:rPr>
                <w:rFonts w:ascii="宋体" w:hAnsi="宋体" w:cs="宋体"/>
                <w:kern w:val="0"/>
              </w:rPr>
              <w:t>8</w:t>
            </w:r>
            <w:r>
              <w:rPr>
                <w:rFonts w:hint="eastAsia" w:ascii="宋体" w:hAnsi="宋体" w:cs="宋体"/>
                <w:kern w:val="0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B.根据对项目库的丰富程度进行评价，最多得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hint="eastAsia" w:ascii="宋体" w:hAnsi="宋体" w:cs="宋体"/>
                <w:kern w:val="0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注：根据以上工作计划贴合度及服务、技术措施评分。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6A6"/>
    <w:multiLevelType w:val="multilevel"/>
    <w:tmpl w:val="061036A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ZTIwM2YwMjYzMDQwNDdmMjBlY2E2ZGY3ODQ5ZTkifQ=="/>
  </w:docVars>
  <w:rsids>
    <w:rsidRoot w:val="00172A27"/>
    <w:rsid w:val="0007760F"/>
    <w:rsid w:val="000A7B4B"/>
    <w:rsid w:val="000C5B94"/>
    <w:rsid w:val="000F1CA4"/>
    <w:rsid w:val="001056C0"/>
    <w:rsid w:val="00150405"/>
    <w:rsid w:val="00151358"/>
    <w:rsid w:val="00172A27"/>
    <w:rsid w:val="00185243"/>
    <w:rsid w:val="00197AE5"/>
    <w:rsid w:val="00197C41"/>
    <w:rsid w:val="001A4D3F"/>
    <w:rsid w:val="0024614A"/>
    <w:rsid w:val="002E4902"/>
    <w:rsid w:val="002F0589"/>
    <w:rsid w:val="00371553"/>
    <w:rsid w:val="003A307C"/>
    <w:rsid w:val="003C70C5"/>
    <w:rsid w:val="00484C6C"/>
    <w:rsid w:val="004A0841"/>
    <w:rsid w:val="004C2047"/>
    <w:rsid w:val="004D2CFF"/>
    <w:rsid w:val="004F521D"/>
    <w:rsid w:val="004F6339"/>
    <w:rsid w:val="005368AF"/>
    <w:rsid w:val="005A166B"/>
    <w:rsid w:val="005A53DA"/>
    <w:rsid w:val="005A6B27"/>
    <w:rsid w:val="005C3271"/>
    <w:rsid w:val="00670A92"/>
    <w:rsid w:val="006B3ADE"/>
    <w:rsid w:val="006D31B3"/>
    <w:rsid w:val="006D32E1"/>
    <w:rsid w:val="0070461F"/>
    <w:rsid w:val="0073764B"/>
    <w:rsid w:val="007679E7"/>
    <w:rsid w:val="009157EE"/>
    <w:rsid w:val="00933C79"/>
    <w:rsid w:val="009858BB"/>
    <w:rsid w:val="009B5B4E"/>
    <w:rsid w:val="00A071EC"/>
    <w:rsid w:val="00A20E90"/>
    <w:rsid w:val="00A3295E"/>
    <w:rsid w:val="00A67F77"/>
    <w:rsid w:val="00B06903"/>
    <w:rsid w:val="00B52CB8"/>
    <w:rsid w:val="00B64F28"/>
    <w:rsid w:val="00BA3A00"/>
    <w:rsid w:val="00BC1461"/>
    <w:rsid w:val="00BE0CA2"/>
    <w:rsid w:val="00BF30B2"/>
    <w:rsid w:val="00C73EFF"/>
    <w:rsid w:val="00CA2D62"/>
    <w:rsid w:val="00CB61CA"/>
    <w:rsid w:val="00CD5936"/>
    <w:rsid w:val="00D61F4B"/>
    <w:rsid w:val="00D674A1"/>
    <w:rsid w:val="00E13F58"/>
    <w:rsid w:val="00E3086C"/>
    <w:rsid w:val="00E34613"/>
    <w:rsid w:val="00F066C8"/>
    <w:rsid w:val="00FE0818"/>
    <w:rsid w:val="011319FC"/>
    <w:rsid w:val="04672CD3"/>
    <w:rsid w:val="04B647B7"/>
    <w:rsid w:val="05F531A3"/>
    <w:rsid w:val="0A0B323E"/>
    <w:rsid w:val="0A946797"/>
    <w:rsid w:val="0BD22BE8"/>
    <w:rsid w:val="109575C0"/>
    <w:rsid w:val="148179D1"/>
    <w:rsid w:val="16941C8C"/>
    <w:rsid w:val="1CBF1CC4"/>
    <w:rsid w:val="20501A41"/>
    <w:rsid w:val="21991A98"/>
    <w:rsid w:val="21F450B6"/>
    <w:rsid w:val="26BA620F"/>
    <w:rsid w:val="271C5CB9"/>
    <w:rsid w:val="2851339E"/>
    <w:rsid w:val="290271C8"/>
    <w:rsid w:val="29A806B4"/>
    <w:rsid w:val="2AC71BAD"/>
    <w:rsid w:val="2D381875"/>
    <w:rsid w:val="2F7132DA"/>
    <w:rsid w:val="33044A11"/>
    <w:rsid w:val="34541446"/>
    <w:rsid w:val="376E2B61"/>
    <w:rsid w:val="389F66DA"/>
    <w:rsid w:val="3AF83DFA"/>
    <w:rsid w:val="3B7A4CA0"/>
    <w:rsid w:val="3E1A24C8"/>
    <w:rsid w:val="3E526D46"/>
    <w:rsid w:val="3FAF6F4D"/>
    <w:rsid w:val="42CA0148"/>
    <w:rsid w:val="448618D2"/>
    <w:rsid w:val="46661AA7"/>
    <w:rsid w:val="46EF7AA0"/>
    <w:rsid w:val="479D5089"/>
    <w:rsid w:val="48C23F39"/>
    <w:rsid w:val="493F6C87"/>
    <w:rsid w:val="4DC15558"/>
    <w:rsid w:val="551733DF"/>
    <w:rsid w:val="5A976618"/>
    <w:rsid w:val="5BB57DCA"/>
    <w:rsid w:val="5C080CD0"/>
    <w:rsid w:val="5F1A3C05"/>
    <w:rsid w:val="632E57EB"/>
    <w:rsid w:val="64BC4797"/>
    <w:rsid w:val="65743287"/>
    <w:rsid w:val="66301595"/>
    <w:rsid w:val="66751348"/>
    <w:rsid w:val="668D2BEF"/>
    <w:rsid w:val="677E21E6"/>
    <w:rsid w:val="688C1D8F"/>
    <w:rsid w:val="6B203F24"/>
    <w:rsid w:val="7753711C"/>
    <w:rsid w:val="78825E46"/>
    <w:rsid w:val="78876B00"/>
    <w:rsid w:val="7ACE2E6C"/>
    <w:rsid w:val="7C2A1F8A"/>
    <w:rsid w:val="7C733D57"/>
    <w:rsid w:val="7D5E202A"/>
    <w:rsid w:val="7E8B1401"/>
    <w:rsid w:val="7F5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340"/>
      </w:tabs>
      <w:jc w:val="center"/>
    </w:pPr>
    <w:rPr>
      <w:rFonts w:hint="eastAsia" w:ascii="Times New Roman" w:hAnsi="Times New Roman" w:cs="Times New Roman"/>
      <w:b/>
      <w:sz w:val="30"/>
      <w:szCs w:val="30"/>
    </w:rPr>
  </w:style>
  <w:style w:type="character" w:customStyle="1" w:styleId="10">
    <w:name w:val="批注框文本 字符"/>
    <w:link w:val="4"/>
    <w:qFormat/>
    <w:uiPriority w:val="0"/>
    <w:rPr>
      <w:sz w:val="18"/>
      <w:szCs w:val="18"/>
    </w:rPr>
  </w:style>
  <w:style w:type="character" w:customStyle="1" w:styleId="11">
    <w:name w:val="页脚 字符"/>
    <w:link w:val="5"/>
    <w:qFormat/>
    <w:uiPriority w:val="0"/>
    <w:rPr>
      <w:sz w:val="18"/>
      <w:szCs w:val="18"/>
    </w:rPr>
  </w:style>
  <w:style w:type="character" w:customStyle="1" w:styleId="12">
    <w:name w:val="批注引用1"/>
    <w:qFormat/>
    <w:uiPriority w:val="0"/>
    <w:rPr>
      <w:sz w:val="21"/>
      <w:szCs w:val="21"/>
    </w:rPr>
  </w:style>
  <w:style w:type="character" w:customStyle="1" w:styleId="13">
    <w:name w:val="批注主题 字符"/>
    <w:link w:val="14"/>
    <w:qFormat/>
    <w:uiPriority w:val="0"/>
    <w:rPr>
      <w:b/>
      <w:bCs/>
    </w:rPr>
  </w:style>
  <w:style w:type="paragraph" w:customStyle="1" w:styleId="14">
    <w:name w:val="批注主题1"/>
    <w:basedOn w:val="3"/>
    <w:next w:val="3"/>
    <w:link w:val="13"/>
    <w:qFormat/>
    <w:uiPriority w:val="0"/>
    <w:rPr>
      <w:b/>
      <w:bCs/>
    </w:rPr>
  </w:style>
  <w:style w:type="character" w:customStyle="1" w:styleId="15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6">
    <w:name w:val="批注文字 字符"/>
    <w:basedOn w:val="8"/>
    <w:link w:val="3"/>
    <w:qFormat/>
    <w:uiPriority w:val="0"/>
  </w:style>
  <w:style w:type="character" w:customStyle="1" w:styleId="17">
    <w:name w:val="页眉 字符"/>
    <w:link w:val="6"/>
    <w:qFormat/>
    <w:uiPriority w:val="0"/>
    <w:rPr>
      <w:sz w:val="18"/>
      <w:szCs w:val="18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修订1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781</Characters>
  <Lines>6</Lines>
  <Paragraphs>1</Paragraphs>
  <TotalTime>8</TotalTime>
  <ScaleCrop>false</ScaleCrop>
  <LinksUpToDate>false</LinksUpToDate>
  <CharactersWithSpaces>916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2022-11-08T07:28:00Z</dcterms:created>
  <dc:creator>信息技术部</dc:creator>
  <cp:lastModifiedBy>武翠红</cp:lastModifiedBy>
  <cp:lastPrinted>2020-07-13T14:36:00Z</cp:lastPrinted>
  <dcterms:modified xsi:type="dcterms:W3CDTF">2022-11-09T11:21:54Z</dcterms:modified>
  <dc:title>Susie_647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380AF49E128A4589AE40609E781826C9</vt:lpwstr>
  </property>
</Properties>
</file>