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关于《深圳市龙岗区发展和改革局“深龙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英才计划”重点企业遴选操作规程》的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 w:firstLineChars="200"/>
        <w:rPr>
          <w:rStyle w:val="8"/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一、相关背景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及必要性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为深入推进重点企业遴选工作，助力企业引才留才，根据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龙岗区“深龙英才计划”有关工作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要求，结合实际</w:t>
      </w:r>
      <w:r>
        <w:rPr>
          <w:rStyle w:val="8"/>
          <w:rFonts w:hint="eastAsia" w:ascii="CESI仿宋-GB2312" w:hAnsi="CESI仿宋-GB2312" w:eastAsia="CESI仿宋-GB2312" w:cs="CESI仿宋-GB2312"/>
          <w:sz w:val="32"/>
          <w:szCs w:val="32"/>
        </w:rPr>
        <w:t>制定了《深圳市龙岗区发展和改革局“深龙英才计划”重点企业遴选操作规程》（以下简称《操作规程》）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依据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为持续贯彻新时代人才工作的新理念新战略新举措，全面落实中央、省委、市委、区委有关决策部署，坚持“引育并举”“精准评价”“部门联动”原则，围绕“11+2”战略性新兴产业和未来产业集群，聚焦我区“3+4”重点产业发展方向，遵循企业发展和人才成长规律，促进靶向支持重点企业引育人才工作顺利开展，推动人才引领龙岗产业高质量发展，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“深龙英才计划”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有关工作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起草了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操作规程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/>
          <w:sz w:val="30"/>
          <w:szCs w:val="30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0"/>
          <w:szCs w:val="30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《</w:t>
      </w:r>
      <w:r>
        <w:rPr>
          <w:rStyle w:val="8"/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操作规程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章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 xml:space="preserve"> 第一章总则，共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条。明确《</w:t>
      </w:r>
      <w:r>
        <w:rPr>
          <w:rStyle w:val="8"/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操作规程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》制定的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背景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以及入选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可享受的政策待遇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第二章申报对象，共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条。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新企业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申报主体资格条件，包括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实际经营地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、行业类别、征信情况等。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第三章遴选标准及积分规则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，共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条。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明确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重点企业遴选的入选企业数量、遴选方法、遴选标准等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章申报程序，共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条。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确定重点企业申报及审定程序，包括发布申报指南、申报材料、企业申报程序、产业主管部门审定程序、公示及告知程序等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章监督管理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，共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规定入选重点企业后续动态监督管理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及资格中止及失信惩罚机制。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章附则，共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条。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明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解释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有效期等内容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YzMzVkZmRhNjY0ZWQ2YjMzMjRkOTNkYzNiODUifQ=="/>
  </w:docVars>
  <w:rsids>
    <w:rsidRoot w:val="4A1947CF"/>
    <w:rsid w:val="377E2754"/>
    <w:rsid w:val="3B7C221D"/>
    <w:rsid w:val="4A1947CF"/>
    <w:rsid w:val="5F4B515C"/>
    <w:rsid w:val="6E0FFBFD"/>
    <w:rsid w:val="6F64544F"/>
    <w:rsid w:val="7F771D39"/>
    <w:rsid w:val="99FF19A6"/>
    <w:rsid w:val="B9675FD6"/>
    <w:rsid w:val="FCAE716F"/>
    <w:rsid w:val="FFB6D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eastAsia="宋体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629</Characters>
  <Lines>0</Lines>
  <Paragraphs>0</Paragraphs>
  <TotalTime>2</TotalTime>
  <ScaleCrop>false</ScaleCrop>
  <LinksUpToDate>false</LinksUpToDate>
  <CharactersWithSpaces>630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温秋菊收文</cp:lastModifiedBy>
  <dcterms:modified xsi:type="dcterms:W3CDTF">2023-01-19T21:33:24Z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975948FF2E53C48ECA92B663ED64EB12</vt:lpwstr>
  </property>
</Properties>
</file>