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40404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40404"/>
          <w:spacing w:val="0"/>
          <w:sz w:val="44"/>
          <w:szCs w:val="44"/>
          <w:bdr w:val="none" w:color="auto" w:sz="0" w:space="0"/>
          <w:shd w:val="clear" w:fill="FFFFFF"/>
        </w:rPr>
        <w:t>关于缓缴涉及企业、个体工商户部分行政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40404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40404"/>
          <w:spacing w:val="0"/>
          <w:sz w:val="44"/>
          <w:szCs w:val="44"/>
          <w:bdr w:val="none" w:color="auto" w:sz="0" w:space="0"/>
          <w:shd w:val="clear" w:fill="FFFFFF"/>
        </w:rPr>
        <w:t>事业性收费的公告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14"/>
          <w:szCs w:val="1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财政部 国家发展改革委公告2022年第29号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为减轻企业、个体工商户负担，支持实体经济发展，现就缓缴涉及企业、个体工商户部分行政事业性收费有关事项公告如下：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一、在2022年10月1日至2022年12月31日期间，对企业、个体工商户应缴纳的《涉及企业、个体工商户行政事业性收费缓缴清单》内收费项目，自应缴之日起缓缴一个季度，不收滞纳金。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二、《涉及企业、个体工商户行政事业性收费缓缴清单》包括耕地开垦费、污水处理费等14项收费（具体项目见附件）。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三、各地区、有关部门和单位要严格按照本公告要求，切实落实缓缴政策，确保政策落地见效。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特此公告。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附件：涉及企业、个体工商户行政事业性收费缓缴清单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财政部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国家发展改革委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bdr w:val="none" w:color="auto" w:sz="0" w:space="0"/>
          <w:shd w:val="clear" w:fill="FFFFFF"/>
        </w:rPr>
        <w:t>2022年9月28日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WIzOTRiM2Q3OWMwMWUwZDEwMDVhOWYxOWUyNjEifQ=="/>
  </w:docVars>
  <w:rsids>
    <w:rsidRoot w:val="00000000"/>
    <w:rsid w:val="058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2022-10-20T07:06:13Z</dcterms:created>
  <dc:creator>pc</dc:creator>
  <cp:lastModifiedBy>CH</cp:lastModifiedBy>
  <dcterms:modified xsi:type="dcterms:W3CDTF">2022-10-20T07:22:54Z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329F99AC88D44DC8A41DB93EDF5D7654</vt:lpwstr>
  </property>
</Properties>
</file>