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spacing w:before="0" w:beforeAutospacing="0" w:after="0" w:afterAutospacing="0" w:line="360" w:lineRule="auto"/>
        <w:jc w:val="center"/>
        <w:rPr>
          <w:rFonts w:cs="微软雅黑"/>
          <w:b/>
          <w:bCs/>
          <w:sz w:val="44"/>
          <w:szCs w:val="44"/>
          <w:shd w:val="clear" w:color="auto" w:fill="FFFFFF"/>
        </w:rPr>
      </w:pPr>
      <w:r>
        <w:rPr>
          <w:rFonts w:hint="eastAsia" w:cs="微软雅黑"/>
          <w:b/>
          <w:bCs/>
          <w:sz w:val="44"/>
          <w:szCs w:val="44"/>
          <w:shd w:val="clear" w:color="auto" w:fill="FFFFFF"/>
        </w:rPr>
        <w:t>党建</w:t>
      </w:r>
      <w:r>
        <w:rPr>
          <w:rFonts w:cs="微软雅黑"/>
          <w:b/>
          <w:bCs/>
          <w:sz w:val="44"/>
          <w:szCs w:val="44"/>
          <w:shd w:val="clear" w:color="auto" w:fill="FFFFFF"/>
        </w:rPr>
        <w:t>宣传栏</w:t>
      </w:r>
      <w:r>
        <w:rPr>
          <w:rFonts w:hint="eastAsia" w:cs="微软雅黑"/>
          <w:b/>
          <w:bCs/>
          <w:sz w:val="44"/>
          <w:szCs w:val="44"/>
          <w:shd w:val="clear" w:color="auto" w:fill="FFFFFF"/>
        </w:rPr>
        <w:t>项目需求</w:t>
      </w:r>
    </w:p>
    <w:p>
      <w:pPr>
        <w:spacing w:before="180" w:after="140" w:line="6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</w:p>
    <w:p>
      <w:pPr>
        <w:pStyle w:val="8"/>
        <w:wordWrap w:val="0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一、项目概况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预算金额9.94万元</w:t>
      </w:r>
    </w:p>
    <w:p>
      <w:pPr>
        <w:pStyle w:val="8"/>
        <w:wordWrap w:val="0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二、技术要求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1.全</w:t>
      </w:r>
      <w:r>
        <w:rPr>
          <w:rFonts w:ascii="仿宋" w:hAnsi="仿宋" w:eastAsia="仿宋" w:cs="仿宋"/>
          <w:sz w:val="28"/>
          <w:szCs w:val="28"/>
        </w:rPr>
        <w:t>长17</w:t>
      </w:r>
      <w:r>
        <w:rPr>
          <w:rFonts w:hint="eastAsia" w:ascii="仿宋" w:hAnsi="仿宋" w:eastAsia="仿宋" w:cs="仿宋"/>
          <w:sz w:val="28"/>
          <w:szCs w:val="28"/>
        </w:rPr>
        <w:t>米</w:t>
      </w:r>
      <w:r>
        <w:rPr>
          <w:rFonts w:ascii="仿宋" w:hAnsi="仿宋" w:eastAsia="仿宋" w:cs="仿宋"/>
          <w:sz w:val="28"/>
          <w:szCs w:val="28"/>
        </w:rPr>
        <w:t>，高</w:t>
      </w:r>
      <w:r>
        <w:rPr>
          <w:rFonts w:hint="eastAsia" w:ascii="仿宋" w:hAnsi="仿宋" w:eastAsia="仿宋" w:cs="仿宋"/>
          <w:sz w:val="28"/>
          <w:szCs w:val="28"/>
        </w:rPr>
        <w:t>约</w:t>
      </w:r>
      <w:r>
        <w:rPr>
          <w:rFonts w:ascii="仿宋" w:hAnsi="仿宋" w:eastAsia="仿宋" w:cs="仿宋"/>
          <w:sz w:val="28"/>
          <w:szCs w:val="28"/>
        </w:rPr>
        <w:t>2.6</w:t>
      </w:r>
      <w:r>
        <w:rPr>
          <w:rFonts w:hint="eastAsia" w:ascii="仿宋" w:hAnsi="仿宋" w:eastAsia="仿宋" w:cs="仿宋"/>
          <w:sz w:val="28"/>
          <w:szCs w:val="28"/>
        </w:rPr>
        <w:t>米；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2.分医院文化、党建、廉政、业务宣传四大块内容；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3.需5根不锈钢承重柱（预埋深度4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0CM，厚度20CM，内置方通加固，激光雕刻，焊接，表面环氧底漆处理，原子灰修复，汽车面漆上色）；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4块</w:t>
      </w:r>
      <w:r>
        <w:rPr>
          <w:rFonts w:ascii="仿宋" w:hAnsi="仿宋" w:eastAsia="仿宋" w:cs="仿宋"/>
          <w:sz w:val="28"/>
          <w:szCs w:val="28"/>
        </w:rPr>
        <w:t>双层</w:t>
      </w:r>
      <w:r>
        <w:rPr>
          <w:rFonts w:hint="eastAsia" w:ascii="仿宋" w:hAnsi="仿宋" w:eastAsia="仿宋" w:cs="仿宋"/>
          <w:sz w:val="28"/>
          <w:szCs w:val="28"/>
        </w:rPr>
        <w:t>不锈钢底板框架（尺寸400*215CM，整体厚度10</w:t>
      </w:r>
      <w:r>
        <w:rPr>
          <w:rFonts w:ascii="仿宋" w:hAnsi="仿宋" w:eastAsia="仿宋" w:cs="仿宋"/>
          <w:sz w:val="28"/>
          <w:szCs w:val="28"/>
        </w:rPr>
        <w:t>+3</w:t>
      </w:r>
      <w:r>
        <w:rPr>
          <w:rFonts w:hint="eastAsia" w:ascii="仿宋" w:hAnsi="仿宋" w:eastAsia="仿宋" w:cs="仿宋"/>
          <w:sz w:val="28"/>
          <w:szCs w:val="28"/>
        </w:rPr>
        <w:t>CM，内置方通加固，激光雕刻，焊接，表面环氧底漆处理，原子灰修复）；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5.其余</w:t>
      </w:r>
      <w:r>
        <w:rPr>
          <w:rFonts w:ascii="仿宋" w:hAnsi="仿宋" w:eastAsia="仿宋" w:cs="仿宋"/>
          <w:sz w:val="28"/>
          <w:szCs w:val="28"/>
        </w:rPr>
        <w:t>具体</w:t>
      </w:r>
      <w:r>
        <w:rPr>
          <w:rFonts w:hint="eastAsia" w:ascii="仿宋" w:hAnsi="仿宋" w:eastAsia="仿宋" w:cs="仿宋"/>
          <w:sz w:val="28"/>
          <w:szCs w:val="28"/>
        </w:rPr>
        <w:t>物料</w:t>
      </w:r>
      <w:r>
        <w:rPr>
          <w:rFonts w:ascii="仿宋" w:hAnsi="仿宋" w:eastAsia="仿宋" w:cs="仿宋"/>
          <w:sz w:val="28"/>
          <w:szCs w:val="28"/>
        </w:rPr>
        <w:t>、内容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ascii="仿宋" w:hAnsi="仿宋" w:eastAsia="仿宋" w:cs="仿宋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来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pStyle w:val="8"/>
        <w:tabs>
          <w:tab w:val="left" w:pos="540"/>
        </w:tabs>
        <w:wordWrap w:val="0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三、商务要求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fr-CH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1.完成</w:t>
      </w:r>
      <w:r>
        <w:rPr>
          <w:rFonts w:hint="eastAsia" w:ascii="仿宋" w:hAnsi="仿宋" w:eastAsia="仿宋" w:cs="仿宋"/>
          <w:sz w:val="28"/>
          <w:szCs w:val="28"/>
          <w:lang w:val="fr-CH"/>
        </w:rPr>
        <w:t>时限：合同签订之日起10日内完成宣传栏的设计安装</w:t>
      </w:r>
      <w:r>
        <w:rPr>
          <w:rFonts w:hint="eastAsia" w:ascii="仿宋" w:hAnsi="仿宋" w:eastAsia="仿宋" w:cs="仿宋"/>
          <w:sz w:val="28"/>
          <w:szCs w:val="28"/>
          <w:lang w:val="fr-CH" w:eastAsia="zh-CN"/>
        </w:rPr>
        <w:t>；</w:t>
      </w:r>
    </w:p>
    <w:p>
      <w:pPr>
        <w:pStyle w:val="4"/>
        <w:tabs>
          <w:tab w:val="left" w:pos="540"/>
        </w:tabs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2.质保期：2年</w:t>
      </w:r>
      <w:r>
        <w:rPr>
          <w:rFonts w:ascii="仿宋" w:hAnsi="仿宋" w:eastAsia="仿宋" w:cs="仿宋"/>
          <w:sz w:val="28"/>
          <w:szCs w:val="28"/>
        </w:rPr>
        <w:t>，质保期内免费维修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>质保期后成本价维修。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br w:type="page"/>
      </w:r>
    </w:p>
    <w:p>
      <w:pPr>
        <w:pStyle w:val="2"/>
        <w:spacing w:line="240" w:lineRule="auto"/>
        <w:jc w:val="center"/>
        <w:rPr>
          <w:rFonts w:ascii="黑体" w:hAnsi="宋体" w:cs="宋体"/>
          <w:sz w:val="28"/>
          <w:szCs w:val="28"/>
        </w:rPr>
      </w:pPr>
      <w:r>
        <w:rPr>
          <w:rFonts w:hint="eastAsia" w:ascii="宋体" w:hAnsi="宋体" w:eastAsia="宋体"/>
          <w:sz w:val="30"/>
          <w:szCs w:val="30"/>
        </w:rPr>
        <w:t>综合评分表</w:t>
      </w:r>
    </w:p>
    <w:tbl>
      <w:tblPr>
        <w:tblStyle w:val="10"/>
        <w:tblW w:w="8367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55"/>
        <w:gridCol w:w="5635"/>
        <w:gridCol w:w="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评审因素</w:t>
            </w:r>
          </w:p>
        </w:tc>
        <w:tc>
          <w:tcPr>
            <w:tcW w:w="5635" w:type="dxa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评分细则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</w:t>
            </w:r>
          </w:p>
        </w:tc>
        <w:tc>
          <w:tcPr>
            <w:tcW w:w="56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价格分</w:t>
            </w:r>
            <w:r>
              <w:rPr>
                <w:rFonts w:hint="eastAsia" w:ascii="宋体" w:hAnsi="宋体" w:cs="宋体"/>
                <w:kern w:val="0"/>
                <w:szCs w:val="21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投标报价得分=(评标基准价／投标报价)×100×权重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4"/>
                <w:u w:val="double"/>
              </w:rPr>
            </w:pPr>
            <w:r>
              <w:rPr>
                <w:rFonts w:hint="eastAsia" w:ascii="宋体" w:hAnsi="宋体"/>
                <w:bCs/>
              </w:rPr>
              <w:t>备注：1、投标报价得分四舍五入后，</w:t>
            </w:r>
            <w:r>
              <w:rPr>
                <w:rFonts w:hint="eastAsia" w:ascii="Arial" w:hAnsi="Arial" w:cs="Arial"/>
                <w:szCs w:val="20"/>
              </w:rPr>
              <w:t>小数点后保留两位有效数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技术部分</w:t>
            </w:r>
          </w:p>
        </w:tc>
        <w:tc>
          <w:tcPr>
            <w:tcW w:w="5635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实施方案：</w:t>
            </w:r>
            <w:r>
              <w:rPr>
                <w:rFonts w:hint="eastAsia" w:ascii="宋体" w:hAnsi="宋体" w:cs="宋体"/>
                <w:szCs w:val="21"/>
              </w:rPr>
              <w:t>1.项目的认识与理解；2.工作措施和手段；3.工作方法和工作流程。每提供一项得4分，最高不超过</w:t>
            </w:r>
            <w:r>
              <w:rPr>
                <w:rFonts w:hint="eastAsia" w:ascii="宋体" w:hAnsi="宋体" w:eastAsia="宋体" w:cs="宋体"/>
                <w:szCs w:val="21"/>
              </w:rPr>
              <w:t>12分。</w:t>
            </w:r>
          </w:p>
        </w:tc>
        <w:tc>
          <w:tcPr>
            <w:tcW w:w="6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ind w:left="-63" w:leftChars="-30" w:right="-88" w:rightChars="-42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35" w:type="dxa"/>
          </w:tcPr>
          <w:p>
            <w:pPr>
              <w:ind w:left="-63" w:leftChars="-30" w:right="-88" w:rightChars="-42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项目重点难点分析、应对措施及相关的合理化建议：1.</w:t>
            </w:r>
            <w:r>
              <w:rPr>
                <w:rFonts w:hint="eastAsia" w:ascii="宋体" w:hAnsi="宋体" w:cs="宋体"/>
                <w:szCs w:val="21"/>
              </w:rPr>
              <w:t>项目重点、难点的分析；2.项目重点、难点的应对措施；3.项目实施提出的相关合理化建议。每提供一项得5分，最高不超过</w:t>
            </w:r>
            <w:r>
              <w:rPr>
                <w:rFonts w:hint="eastAsia" w:ascii="宋体" w:hAnsi="宋体" w:eastAsia="宋体" w:cs="宋体"/>
                <w:szCs w:val="21"/>
              </w:rPr>
              <w:t>15分。</w:t>
            </w:r>
          </w:p>
        </w:tc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35" w:type="dxa"/>
            <w:vAlign w:val="center"/>
          </w:tcPr>
          <w:p>
            <w:pPr>
              <w:ind w:left="-78" w:leftChars="-37" w:right="-73" w:rightChars="-3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质量（完成时间、安全、环保）保障措施及方案：</w:t>
            </w:r>
            <w:r>
              <w:rPr>
                <w:rFonts w:hint="eastAsia" w:ascii="宋体" w:hAnsi="宋体" w:cs="宋体"/>
                <w:szCs w:val="21"/>
              </w:rPr>
              <w:t>1.项目质量管理；2.项目安全管理；3.项目进度安排以及完成时间。每提供一项得3分，最高不超过</w:t>
            </w:r>
            <w:r>
              <w:rPr>
                <w:rFonts w:hint="eastAsia" w:ascii="宋体" w:hAnsi="宋体" w:eastAsia="宋体" w:cs="宋体"/>
                <w:szCs w:val="21"/>
              </w:rPr>
              <w:t>9分。</w:t>
            </w:r>
          </w:p>
        </w:tc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35" w:type="dxa"/>
          </w:tcPr>
          <w:p>
            <w:pPr>
              <w:widowControl/>
              <w:wordWrap w:val="0"/>
              <w:jc w:val="left"/>
              <w:textAlignment w:val="top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项目服务承诺：</w:t>
            </w:r>
            <w:r>
              <w:rPr>
                <w:rFonts w:hint="eastAsia" w:ascii="宋体" w:hAnsi="宋体" w:cs="宋体"/>
                <w:szCs w:val="21"/>
              </w:rPr>
              <w:t>1.项目完成后服务人员信息与联系方式；2.项目完成后服务时限；3.项目完成后服务内容与响应时间。每提供一项得3分，最高不超过</w:t>
            </w:r>
            <w:r>
              <w:rPr>
                <w:rFonts w:hint="eastAsia" w:ascii="宋体" w:hAnsi="宋体" w:eastAsia="宋体" w:cs="宋体"/>
                <w:szCs w:val="21"/>
              </w:rPr>
              <w:t>9分。</w:t>
            </w:r>
          </w:p>
        </w:tc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</w:rPr>
              <w:t>商务部分</w:t>
            </w:r>
          </w:p>
        </w:tc>
        <w:tc>
          <w:tcPr>
            <w:tcW w:w="5635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投标人同类项目业绩情况；根据投标人近三年（201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年8月1日至今）每完成过同类项目的，每个得4分，最高得12分。要求同时提供合同关键信息作为得分依据。</w:t>
            </w:r>
          </w:p>
        </w:tc>
        <w:tc>
          <w:tcPr>
            <w:tcW w:w="6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bCs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履约评价情况；投标人近三年（201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年8月至本项目开标之日止，以合同签订日期为准）有同类项目的履约情况评价，且为满意的。提供1个得2分，该项最高得8分。近三年（以投标截止日期为准）在市政府采购中心有履约评价为差的记录，本项不得分（注：以提供承诺函为准，格式自拟）。</w:t>
            </w:r>
          </w:p>
        </w:tc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cs="宋体"/>
                <w:szCs w:val="21"/>
              </w:rPr>
              <w:t>企业诚信；依据相关规定：投标人因违法违规被记入诚信档案且在有效期内的，不得分；不存在此类情况的，或虽受过行政处罚但修正行政处罚期已满，可参与政府采购投标活动的，得5分。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证明材料：需提供企业诚信声明与承诺加盖公章。</w:t>
            </w:r>
          </w:p>
        </w:tc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56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</w:tr>
    </w:tbl>
    <w:p>
      <w:pPr>
        <w:pStyle w:val="4"/>
        <w:tabs>
          <w:tab w:val="left" w:pos="540"/>
        </w:tabs>
        <w:adjustRightInd w:val="0"/>
        <w:snapToGrid w:val="0"/>
        <w:spacing w:line="560" w:lineRule="exact"/>
        <w:ind w:left="643"/>
        <w:rPr>
          <w:rFonts w:hint="eastAsia" w:ascii="仿宋" w:hAnsi="仿宋" w:eastAsia="仿宋" w:cs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MjcxZDViYjgyMzVhMmYxZmUyOGViZWI2ZmIyMWEifQ=="/>
  </w:docVars>
  <w:rsids>
    <w:rsidRoot w:val="00D50B5C"/>
    <w:rsid w:val="000F05BF"/>
    <w:rsid w:val="001915B5"/>
    <w:rsid w:val="001B7C6A"/>
    <w:rsid w:val="00251895"/>
    <w:rsid w:val="003C6262"/>
    <w:rsid w:val="004D698C"/>
    <w:rsid w:val="00544797"/>
    <w:rsid w:val="005509CF"/>
    <w:rsid w:val="007352CF"/>
    <w:rsid w:val="0080715D"/>
    <w:rsid w:val="00D4006A"/>
    <w:rsid w:val="00D50B5C"/>
    <w:rsid w:val="00DB0B66"/>
    <w:rsid w:val="00E342C9"/>
    <w:rsid w:val="064047AA"/>
    <w:rsid w:val="088E5CA1"/>
    <w:rsid w:val="0BB0138A"/>
    <w:rsid w:val="10037C77"/>
    <w:rsid w:val="21755420"/>
    <w:rsid w:val="27007912"/>
    <w:rsid w:val="2A3D04A4"/>
    <w:rsid w:val="2E0B658F"/>
    <w:rsid w:val="38D62BC9"/>
    <w:rsid w:val="3EAB41B0"/>
    <w:rsid w:val="4121627F"/>
    <w:rsid w:val="61F44F84"/>
    <w:rsid w:val="65A45331"/>
    <w:rsid w:val="6B0845B4"/>
    <w:rsid w:val="71CB1E97"/>
    <w:rsid w:val="71E43CE9"/>
    <w:rsid w:val="7630676D"/>
    <w:rsid w:val="796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批注文字 Char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990</Words>
  <Characters>1052</Characters>
  <Lines>7</Lines>
  <Paragraphs>2</Paragraphs>
  <TotalTime>0</TotalTime>
  <ScaleCrop>false</ScaleCrop>
  <LinksUpToDate>false</LinksUpToDate>
  <CharactersWithSpaces>1053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2022-09-06T00:45:00Z</dcterms:created>
  <dc:creator>周海波</dc:creator>
  <cp:lastModifiedBy>追梦</cp:lastModifiedBy>
  <dcterms:modified xsi:type="dcterms:W3CDTF">2022-09-06T08:41:21Z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F9359520F3B34234B253478347999509</vt:lpwstr>
  </property>
</Properties>
</file>