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附件一：响应文件一览表</w:t>
      </w:r>
    </w:p>
    <w:p>
      <w:pPr>
        <w:pStyle w:val="4"/>
        <w:widowControl/>
        <w:spacing w:line="560" w:lineRule="exac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</w:p>
    <w:p>
      <w:pPr>
        <w:pStyle w:val="4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</w:rPr>
              <w:t>营业执照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、资质证书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、法定代表人证明书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、法定代表人授权委托书及身份证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近一年内（从公告期满之日起倒算）有至少一项同类工程（建筑装修装饰工程）业绩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提供合同协议书复印件。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以合同签订时间为准，未体现合同签订时间的为无效业绩。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项目负责人业绩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近一年内（从公告期满之日起倒算）有至少一项同类工程（建筑装修装饰工程）业绩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提供合同协议书复印件。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以合同签订时间为准，未体现合同签订时间的为无效业绩。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履约情况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年至今有至少一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项同类工程（建筑装修装饰工程）履约证明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履约证明复印件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以履约证明上载明的时间为准，未体现履约评价时间的，则不予统计。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内容包括不限于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对本项目的理解、拟派遣团队及业绩、响应速度、工期计划及相关服务保证措施等，</w:t>
            </w:r>
            <w:r>
              <w:rPr>
                <w:rFonts w:hint="eastAsia" w:ascii="宋体" w:hAnsi="宋体"/>
                <w:color w:val="000000"/>
                <w:szCs w:val="21"/>
              </w:rPr>
              <w:t>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B6E19"/>
    <w:rsid w:val="226E2249"/>
    <w:rsid w:val="3100078E"/>
    <w:rsid w:val="32534D1E"/>
    <w:rsid w:val="3FA3469E"/>
    <w:rsid w:val="4CB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448</Characters>
  <Lines>0</Lines>
  <Paragraphs>0</Paragraphs>
  <TotalTime>0</TotalTime>
  <ScaleCrop>false</ScaleCrop>
  <LinksUpToDate>false</LinksUpToDate>
  <CharactersWithSpaces>448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2022-01-11T03:35:00Z</dcterms:created>
  <dc:creator>QQHH</dc:creator>
  <cp:lastModifiedBy>QQHH</cp:lastModifiedBy>
  <dcterms:modified xsi:type="dcterms:W3CDTF">2022-04-19T01:53:05Z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2683ADC9085B4F17956B2D78AF31CB6D</vt:lpwstr>
  </property>
</Properties>
</file>