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813"/>
          <w:tab w:val="left" w:pos="2238"/>
          <w:tab w:val="left" w:pos="3663"/>
          <w:tab w:val="left" w:pos="5435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2"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813"/>
          <w:tab w:val="left" w:pos="2238"/>
          <w:tab w:val="left" w:pos="3663"/>
          <w:tab w:val="left" w:pos="5435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2" w:firstLine="56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13"/>
          <w:tab w:val="left" w:pos="2238"/>
          <w:tab w:val="left" w:pos="3663"/>
          <w:tab w:val="left" w:pos="5435"/>
          <w:tab w:val="left" w:pos="79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2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宋体" w:eastAsia="宋体" w:cs="宋体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本单位承诺具备《中华人民共和国政府采购法》第二十二条第一款规定的条件：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具有独立承担民事责任的能力;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具有良好的商业信誉和健全的财务会计制度;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具有履行合同所必需的设备和专业技术能力;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ascii="仿宋_GB2312" w:hAnsi="仿宋_GB2312" w:eastAsia="仿宋_GB2312" w:cs="仿宋_GB2312"/>
          <w:sz w:val="32"/>
          <w:szCs w:val="32"/>
        </w:rPr>
        <w:t>有依法缴纳税收和社会保障资金的良好记录;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sz w:val="32"/>
          <w:szCs w:val="32"/>
        </w:rPr>
        <w:t>参加政府采购活动前三年内，在经营活动中没有重大违法记录;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ascii="仿宋_GB2312" w:hAnsi="仿宋_GB2312" w:eastAsia="仿宋_GB2312" w:cs="仿宋_GB2312"/>
          <w:sz w:val="32"/>
          <w:szCs w:val="32"/>
        </w:rPr>
        <w:t>法律、行政法规规定的其他条件。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本单位若有违反本承诺资料的行为，愿意承担报价无效、中标（成交）结果无效、合同终止或解除等后果。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单位（盖章）：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N2QzYTdiYTBmNjkyODc2YTc2MGVjNzgzYzI2MDYifQ=="/>
  </w:docVars>
  <w:rsids>
    <w:rsidRoot w:val="00000000"/>
    <w:rsid w:val="7DD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RLZY</dc:creator>
  <cp:lastModifiedBy>苏永达</cp:lastModifiedBy>
  <dcterms:modified xsi:type="dcterms:W3CDTF">2022-08-05T02:12:06Z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92040F6E1DE94736A8BDD761399E36E3</vt:lpwstr>
  </property>
</Properties>
</file>