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b/>
          <w:bCs/>
          <w:color w:val="auto"/>
          <w:sz w:val="36"/>
          <w:szCs w:val="40"/>
          <w:lang w:eastAsia="zh-CN"/>
        </w:rPr>
      </w:pPr>
      <w:r>
        <w:rPr>
          <w:rFonts w:hint="eastAsia" w:eastAsia="宋体"/>
          <w:b/>
          <w:bCs/>
          <w:color w:val="auto"/>
          <w:sz w:val="36"/>
          <w:szCs w:val="4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-885825</wp:posOffset>
            </wp:positionV>
            <wp:extent cx="7592060" cy="10737215"/>
            <wp:effectExtent l="0" t="0" r="8890" b="6985"/>
            <wp:wrapNone/>
            <wp:docPr id="1" name="图片 1" descr="0209 二九高 封面_任务书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09 二九高 封面_任务书 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auto"/>
          <w:sz w:val="36"/>
          <w:szCs w:val="40"/>
        </w:rPr>
        <w:br w:type="page"/>
      </w:r>
    </w:p>
    <w:p>
      <w:pPr>
        <w:pStyle w:val="2"/>
        <w:rPr>
          <w:color w:val="auto"/>
        </w:rPr>
      </w:pPr>
      <w:bookmarkStart w:id="113" w:name="_GoBack"/>
      <w:bookmarkEnd w:id="113"/>
    </w:p>
    <w:sdt>
      <w:sdtPr>
        <w:rPr>
          <w:b/>
          <w:bCs/>
          <w:color w:val="auto"/>
          <w:sz w:val="36"/>
          <w:szCs w:val="40"/>
        </w:rPr>
        <w:id w:val="580063782"/>
      </w:sdtPr>
      <w:sdtEndPr>
        <w:rPr>
          <w:b/>
          <w:bCs/>
          <w:color w:val="auto"/>
          <w:sz w:val="36"/>
          <w:szCs w:val="40"/>
        </w:rPr>
      </w:sdtEndPr>
      <w:sdtContent>
        <w:p>
          <w:pPr>
            <w:jc w:val="center"/>
            <w:rPr>
              <w:b/>
              <w:bCs/>
              <w:color w:val="auto"/>
              <w:sz w:val="40"/>
              <w:szCs w:val="40"/>
            </w:rPr>
          </w:pPr>
          <w:bookmarkStart w:id="0" w:name="_bookmark0"/>
          <w:bookmarkEnd w:id="0"/>
          <w:r>
            <w:rPr>
              <w:rFonts w:hint="eastAsia"/>
              <w:b/>
              <w:bCs/>
              <w:color w:val="auto"/>
              <w:sz w:val="36"/>
              <w:szCs w:val="40"/>
            </w:rPr>
            <w:t>目  录</w:t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ind w:left="0" w:firstLine="0"/>
            <w:rPr>
              <w:color w:val="auto"/>
            </w:rPr>
          </w:pP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TOC \o "1-3" \h \u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"_Toc1769573"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1 </w:t>
          </w:r>
          <w:r>
            <w:rPr>
              <w:color w:val="auto"/>
              <w:spacing w:val="-1"/>
              <w:szCs w:val="28"/>
            </w:rPr>
            <w:t>项目概况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_Toc1769573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"_Toc1823926000"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1.1 </w:t>
          </w:r>
          <w:r>
            <w:rPr>
              <w:color w:val="auto"/>
              <w:spacing w:val="-1"/>
            </w:rPr>
            <w:t>项目背景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_Toc1823926000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"_Toc1542704722"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1.2 </w:t>
          </w:r>
          <w:r>
            <w:rPr>
              <w:rFonts w:hint="eastAsia"/>
              <w:color w:val="auto"/>
              <w:spacing w:val="-1"/>
            </w:rPr>
            <w:t>项目定位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_Toc1542704722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"_Toc1668192423"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zCs w:val="22"/>
            </w:rPr>
            <w:t xml:space="preserve">1.3 </w:t>
          </w:r>
          <w:r>
            <w:rPr>
              <w:color w:val="auto"/>
              <w:spacing w:val="-1"/>
            </w:rPr>
            <w:t>区位与</w:t>
          </w:r>
          <w:r>
            <w:rPr>
              <w:rFonts w:hint="eastAsia"/>
              <w:color w:val="auto"/>
              <w:spacing w:val="-1"/>
            </w:rPr>
            <w:t>周边</w:t>
          </w:r>
          <w:r>
            <w:rPr>
              <w:color w:val="auto"/>
              <w:spacing w:val="-1"/>
            </w:rPr>
            <w:t>交通现状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_Toc1668192423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"_Toc1911041776"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1.4 </w:t>
          </w:r>
          <w:r>
            <w:rPr>
              <w:color w:val="auto"/>
              <w:spacing w:val="-1"/>
            </w:rPr>
            <w:t>用地现状及周边环境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_Toc1911041776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5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"_Toc1113704700"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1.5 </w:t>
          </w:r>
          <w:r>
            <w:rPr>
              <w:rFonts w:hint="eastAsia"/>
              <w:color w:val="auto"/>
              <w:spacing w:val="-1"/>
            </w:rPr>
            <w:t>其他限制条件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_Toc1113704700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6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"_Toc567425648"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2 </w:t>
          </w:r>
          <w:r>
            <w:rPr>
              <w:rFonts w:hint="eastAsia"/>
              <w:color w:val="auto"/>
              <w:spacing w:val="-1"/>
              <w:szCs w:val="28"/>
            </w:rPr>
            <w:t>建筑设计指标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_Toc567425648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6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"_Toc669904728"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3 </w:t>
          </w:r>
          <w:r>
            <w:rPr>
              <w:rFonts w:hint="eastAsia"/>
              <w:color w:val="auto"/>
              <w:spacing w:val="-1"/>
              <w:szCs w:val="28"/>
            </w:rPr>
            <w:t>设计依据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_Toc669904728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8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"_Toc1979485922"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zCs w:val="22"/>
            </w:rPr>
            <w:t xml:space="preserve">4 </w:t>
          </w:r>
          <w:r>
            <w:rPr>
              <w:rFonts w:hint="eastAsia"/>
              <w:color w:val="auto"/>
              <w:spacing w:val="-1"/>
              <w:szCs w:val="28"/>
            </w:rPr>
            <w:t>资格预审阶段成果文件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_Toc1979485922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9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"_Toc403231730"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zCs w:val="22"/>
            </w:rPr>
            <w:t xml:space="preserve">4.1 </w:t>
          </w:r>
          <w:r>
            <w:rPr>
              <w:color w:val="auto"/>
              <w:spacing w:val="-1"/>
              <w:lang w:eastAsia="zh-TW"/>
            </w:rPr>
            <w:t>概念提案展板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_Toc403231730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9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"_Toc1804779825"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zCs w:val="22"/>
            </w:rPr>
            <w:t xml:space="preserve">4.2 </w:t>
          </w:r>
          <w:r>
            <w:rPr>
              <w:color w:val="auto"/>
              <w:spacing w:val="-1"/>
              <w:lang w:eastAsia="zh-TW"/>
            </w:rPr>
            <w:t>概念提案要求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_Toc1804779825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9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"_Toc1875488547"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5 </w:t>
          </w:r>
          <w:r>
            <w:rPr>
              <w:rFonts w:hint="eastAsia"/>
              <w:color w:val="auto"/>
              <w:spacing w:val="-1"/>
              <w:szCs w:val="28"/>
            </w:rPr>
            <w:t>方案评审阶段成果文件</w:t>
          </w:r>
          <w:r>
            <w:rPr>
              <w:rFonts w:hint="eastAsia" w:eastAsiaTheme="minorEastAsia"/>
              <w:color w:val="auto"/>
              <w:spacing w:val="-1"/>
              <w:szCs w:val="28"/>
            </w:rPr>
            <w:t>(待定)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_Toc1875488547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9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"_Toc571038763"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5.1 </w:t>
          </w:r>
          <w:r>
            <w:rPr>
              <w:rFonts w:hint="eastAsia"/>
              <w:color w:val="auto"/>
              <w:spacing w:val="-1"/>
              <w:lang w:eastAsia="zh-TW"/>
            </w:rPr>
            <w:t>设计内容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_Toc571038763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10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"_Toc344071298"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5.2 </w:t>
          </w:r>
          <w:r>
            <w:rPr>
              <w:rFonts w:hint="eastAsia"/>
              <w:color w:val="auto"/>
              <w:spacing w:val="-1"/>
              <w:lang w:eastAsia="zh-TW"/>
            </w:rPr>
            <w:t>成果要求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_Toc344071298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10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3"/>
            <w:tabs>
              <w:tab w:val="right" w:leader="dot" w:pos="8550"/>
            </w:tabs>
            <w:spacing w:line="360" w:lineRule="auto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"_Toc1780327762" </w:instrText>
          </w:r>
          <w:r>
            <w:rPr>
              <w:color w:val="auto"/>
            </w:rPr>
            <w:fldChar w:fldCharType="separate"/>
          </w:r>
          <w:r>
            <w:rPr>
              <w:rFonts w:ascii="Microsoft JhengHei" w:hAnsi="Microsoft JhengHei" w:eastAsia="Microsoft JhengHei" w:cs="Microsoft JhengHei"/>
              <w:bCs/>
              <w:color w:val="auto"/>
              <w:spacing w:val="-1"/>
              <w:szCs w:val="22"/>
            </w:rPr>
            <w:t xml:space="preserve">6 </w:t>
          </w:r>
          <w:r>
            <w:rPr>
              <w:rFonts w:hint="eastAsia"/>
              <w:color w:val="auto"/>
              <w:spacing w:val="-1"/>
              <w:szCs w:val="28"/>
            </w:rPr>
            <w:t>附件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_Toc1780327762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10</w:t>
          </w:r>
          <w:r>
            <w:rPr>
              <w:color w:val="auto"/>
            </w:rPr>
            <w:fldChar w:fldCharType="end"/>
          </w:r>
          <w:r>
            <w:rPr>
              <w:color w:val="auto"/>
            </w:rPr>
            <w:fldChar w:fldCharType="end"/>
          </w:r>
        </w:p>
        <w:p>
          <w:pPr>
            <w:pStyle w:val="28"/>
            <w:tabs>
              <w:tab w:val="right" w:leader="dot" w:pos="8550"/>
            </w:tabs>
            <w:spacing w:line="360" w:lineRule="auto"/>
            <w:ind w:left="0" w:firstLine="0"/>
            <w:rPr>
              <w:color w:val="auto"/>
              <w:sz w:val="28"/>
              <w:szCs w:val="28"/>
            </w:rPr>
          </w:pPr>
          <w:r>
            <w:rPr>
              <w:color w:val="auto"/>
            </w:rPr>
            <w:fldChar w:fldCharType="end"/>
          </w:r>
        </w:p>
        <w:p>
          <w:pPr>
            <w:rPr>
              <w:color w:val="auto"/>
            </w:rPr>
          </w:pPr>
        </w:p>
      </w:sdtContent>
    </w:sdt>
    <w:sdt>
      <w:sdtPr>
        <w:rPr>
          <w:rFonts w:ascii="PMingLiU" w:hAnsi="PMingLiU" w:eastAsia="PMingLiU" w:cs="PMingLiU"/>
          <w:color w:val="auto"/>
          <w:sz w:val="24"/>
          <w:szCs w:val="24"/>
        </w:rPr>
        <w:id w:val="289995121"/>
      </w:sdtPr>
      <w:sdtEndPr>
        <w:rPr>
          <w:rFonts w:ascii="PMingLiU" w:hAnsi="PMingLiU" w:eastAsia="PMingLiU" w:cs="PMingLiU"/>
          <w:color w:val="auto"/>
          <w:sz w:val="24"/>
          <w:szCs w:val="24"/>
        </w:rPr>
      </w:sdtEndPr>
      <w:sdtContent>
        <w:p>
          <w:pPr>
            <w:pStyle w:val="3"/>
            <w:tabs>
              <w:tab w:val="left" w:pos="299"/>
            </w:tabs>
            <w:spacing w:before="17"/>
            <w:ind w:left="119" w:firstLine="0"/>
            <w:rPr>
              <w:color w:val="auto"/>
            </w:rPr>
          </w:pPr>
        </w:p>
      </w:sdtContent>
    </w:sdt>
    <w:p>
      <w:pPr>
        <w:pStyle w:val="2"/>
        <w:spacing w:after="0" w:line="360" w:lineRule="auto"/>
        <w:ind w:left="0" w:firstLine="0"/>
        <w:rPr>
          <w:color w:val="auto"/>
        </w:rPr>
        <w:sectPr>
          <w:footerReference r:id="rId3" w:type="default"/>
          <w:pgSz w:w="11910" w:h="16840"/>
          <w:pgMar w:top="1360" w:right="1680" w:bottom="1460" w:left="1680" w:header="0" w:footer="1265" w:gutter="0"/>
          <w:cols w:space="720" w:num="1"/>
          <w:docGrid w:linePitch="360" w:charSpace="0"/>
        </w:sectPr>
      </w:pPr>
    </w:p>
    <w:p>
      <w:pPr>
        <w:pStyle w:val="3"/>
        <w:numPr>
          <w:ilvl w:val="0"/>
          <w:numId w:val="2"/>
        </w:numPr>
        <w:tabs>
          <w:tab w:val="left" w:pos="299"/>
        </w:tabs>
        <w:ind w:hanging="179"/>
        <w:rPr>
          <w:color w:val="auto"/>
          <w:spacing w:val="-1"/>
          <w:sz w:val="28"/>
          <w:szCs w:val="28"/>
        </w:rPr>
      </w:pPr>
      <w:bookmarkStart w:id="1" w:name="_Toc1769573"/>
      <w:bookmarkStart w:id="2" w:name="_Toc1601984749"/>
      <w:bookmarkStart w:id="3" w:name="_Toc382998954"/>
      <w:bookmarkStart w:id="4" w:name="_Toc63863152"/>
      <w:r>
        <w:rPr>
          <w:color w:val="auto"/>
          <w:spacing w:val="-1"/>
          <w:sz w:val="28"/>
          <w:szCs w:val="28"/>
        </w:rPr>
        <w:t>项目概况</w:t>
      </w:r>
      <w:bookmarkEnd w:id="1"/>
      <w:bookmarkEnd w:id="2"/>
      <w:bookmarkEnd w:id="3"/>
      <w:bookmarkEnd w:id="4"/>
      <w:bookmarkStart w:id="5" w:name="_bookmark1"/>
      <w:bookmarkEnd w:id="5"/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</w:rPr>
      </w:pPr>
      <w:bookmarkStart w:id="6" w:name="_bookmark2"/>
      <w:bookmarkEnd w:id="6"/>
      <w:bookmarkStart w:id="7" w:name="_Toc598750332_WPSOffice_Level1"/>
      <w:bookmarkStart w:id="8" w:name="_Toc1823926000"/>
      <w:bookmarkStart w:id="9" w:name="_Toc1555194004"/>
      <w:bookmarkStart w:id="10" w:name="_Toc1376980953_WPSOffice_Level1"/>
      <w:bookmarkStart w:id="11" w:name="_Toc1054929819"/>
      <w:bookmarkStart w:id="12" w:name="_Toc1866370467"/>
      <w:bookmarkStart w:id="13" w:name="_Toc1263283517"/>
      <w:bookmarkStart w:id="14" w:name="_Toc1627644049"/>
      <w:bookmarkStart w:id="15" w:name="_Toc771015153"/>
      <w:r>
        <w:rPr>
          <w:color w:val="auto"/>
          <w:spacing w:val="-1"/>
        </w:rPr>
        <w:t>项目背景</w:t>
      </w:r>
      <w:bookmarkEnd w:id="7"/>
      <w:bookmarkEnd w:id="8"/>
      <w:bookmarkEnd w:id="9"/>
      <w:bookmarkEnd w:id="10"/>
      <w:bookmarkEnd w:id="11"/>
    </w:p>
    <w:p>
      <w:pPr>
        <w:spacing w:line="360" w:lineRule="auto"/>
        <w:ind w:firstLine="480"/>
        <w:jc w:val="both"/>
        <w:rPr>
          <w:color w:val="auto"/>
          <w:sz w:val="24"/>
        </w:rPr>
      </w:pPr>
      <w:r>
        <w:rPr>
          <w:rFonts w:hint="eastAsia"/>
          <w:color w:val="auto"/>
          <w:sz w:val="24"/>
        </w:rPr>
        <w:t>高中教育是国民教育体系的重要组成部分。深圳市委市政府一贯高度重视高中阶段教育，始终坚持以人民为中心，努力实现教育高质量发展。为着力解决公办普通高中学位供需矛盾突出的问题，深圳市于</w:t>
      </w:r>
      <w:r>
        <w:rPr>
          <w:color w:val="auto"/>
          <w:sz w:val="24"/>
        </w:rPr>
        <w:t>2019</w:t>
      </w:r>
      <w:r>
        <w:rPr>
          <w:rFonts w:hint="eastAsia"/>
          <w:color w:val="auto"/>
          <w:sz w:val="24"/>
        </w:rPr>
        <w:t>年年末出台《深圳市高中学校建设方案（2020-2025年）》，按照总体规划、分布实施、全力推进的原则要求，加快推进深圳市高中学校建设。</w:t>
      </w:r>
      <w:r>
        <w:rPr>
          <w:color w:val="auto"/>
          <w:sz w:val="24"/>
        </w:rPr>
        <w:t>2021</w:t>
      </w:r>
      <w:r>
        <w:rPr>
          <w:rFonts w:hint="eastAsia"/>
          <w:color w:val="auto"/>
          <w:sz w:val="24"/>
        </w:rPr>
        <w:t>年</w:t>
      </w:r>
      <w:r>
        <w:rPr>
          <w:color w:val="auto"/>
          <w:sz w:val="24"/>
        </w:rPr>
        <w:t>1</w:t>
      </w:r>
      <w:r>
        <w:rPr>
          <w:rFonts w:hint="eastAsia"/>
          <w:color w:val="auto"/>
          <w:sz w:val="24"/>
        </w:rPr>
        <w:t>月深圳市教育局启动了第二批公办普通高中建设项目，计划</w:t>
      </w:r>
      <w:r>
        <w:rPr>
          <w:color w:val="auto"/>
          <w:sz w:val="24"/>
        </w:rPr>
        <w:t>2025</w:t>
      </w:r>
      <w:r>
        <w:rPr>
          <w:rFonts w:hint="eastAsia"/>
          <w:color w:val="auto"/>
          <w:sz w:val="24"/>
        </w:rPr>
        <w:t>年</w:t>
      </w:r>
      <w:r>
        <w:rPr>
          <w:color w:val="auto"/>
          <w:sz w:val="24"/>
        </w:rPr>
        <w:t>5</w:t>
      </w:r>
      <w:r>
        <w:rPr>
          <w:rFonts w:hint="eastAsia"/>
          <w:color w:val="auto"/>
          <w:sz w:val="24"/>
        </w:rPr>
        <w:t>月底前新建</w:t>
      </w:r>
      <w:r>
        <w:rPr>
          <w:color w:val="auto"/>
          <w:sz w:val="24"/>
        </w:rPr>
        <w:t>12</w:t>
      </w:r>
      <w:r>
        <w:rPr>
          <w:rFonts w:hint="eastAsia"/>
          <w:color w:val="auto"/>
          <w:sz w:val="24"/>
        </w:rPr>
        <w:t>所以上公办普通高中，本项目为该批建设项目之一。</w:t>
      </w:r>
    </w:p>
    <w:p>
      <w:pPr>
        <w:pStyle w:val="2"/>
        <w:rPr>
          <w:color w:val="auto"/>
        </w:rPr>
      </w:pP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</w:rPr>
      </w:pPr>
      <w:r>
        <w:rPr>
          <w:color w:val="auto"/>
          <w:spacing w:val="-1"/>
        </w:rPr>
        <w:t xml:space="preserve"> </w:t>
      </w:r>
      <w:bookmarkStart w:id="16" w:name="_Toc580478301"/>
      <w:bookmarkStart w:id="17" w:name="_Toc1542704722"/>
      <w:r>
        <w:rPr>
          <w:rFonts w:hint="eastAsia"/>
          <w:color w:val="auto"/>
          <w:spacing w:val="-1"/>
        </w:rPr>
        <w:t>项目定位</w:t>
      </w:r>
      <w:bookmarkEnd w:id="16"/>
      <w:bookmarkEnd w:id="17"/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项目着眼未来、超前谋划，高起点、高标准建设面向未来、引领发展的一流高中学校，从全生命周期考虑建筑材料和设备设施，力求打造“百年学校、精品学校”。</w:t>
      </w:r>
    </w:p>
    <w:p>
      <w:pPr>
        <w:rPr>
          <w:color w:val="auto"/>
        </w:rPr>
      </w:pP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</w:rPr>
      </w:pPr>
      <w:bookmarkStart w:id="18" w:name="_Toc1668192423"/>
      <w:bookmarkStart w:id="19" w:name="_Toc1122157591"/>
      <w:bookmarkStart w:id="20" w:name="_Toc1084251365_WPSOffice_Level1"/>
      <w:bookmarkStart w:id="21" w:name="_Toc80596586"/>
      <w:bookmarkStart w:id="22" w:name="_Toc2040636684_WPSOffice_Level1"/>
      <w:r>
        <w:rPr>
          <w:color w:val="auto"/>
          <w:spacing w:val="-1"/>
        </w:rPr>
        <w:t>区位与</w:t>
      </w:r>
      <w:r>
        <w:rPr>
          <w:rFonts w:hint="eastAsia"/>
          <w:color w:val="auto"/>
          <w:spacing w:val="-1"/>
        </w:rPr>
        <w:t>周边</w:t>
      </w:r>
      <w:r>
        <w:rPr>
          <w:color w:val="auto"/>
          <w:spacing w:val="-1"/>
        </w:rPr>
        <w:t>交通现状</w:t>
      </w:r>
      <w:bookmarkEnd w:id="12"/>
      <w:bookmarkEnd w:id="13"/>
      <w:bookmarkEnd w:id="14"/>
      <w:bookmarkEnd w:id="15"/>
      <w:bookmarkEnd w:id="18"/>
      <w:bookmarkEnd w:id="19"/>
      <w:bookmarkEnd w:id="20"/>
      <w:bookmarkEnd w:id="21"/>
      <w:bookmarkEnd w:id="22"/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本项目距离深圳市中心约</w:t>
      </w:r>
      <w:r>
        <w:rPr>
          <w:color w:val="auto"/>
          <w:sz w:val="24"/>
          <w:szCs w:val="20"/>
        </w:rPr>
        <w:t>15km</w:t>
      </w:r>
      <w:r>
        <w:rPr>
          <w:rFonts w:hint="eastAsia"/>
          <w:color w:val="auto"/>
          <w:sz w:val="24"/>
          <w:szCs w:val="20"/>
        </w:rPr>
        <w:t>，距离龙岗中心城约</w:t>
      </w:r>
      <w:r>
        <w:rPr>
          <w:color w:val="auto"/>
          <w:sz w:val="24"/>
          <w:szCs w:val="20"/>
        </w:rPr>
        <w:t>15</w:t>
      </w:r>
      <w:r>
        <w:rPr>
          <w:rFonts w:hint="eastAsia"/>
          <w:color w:val="auto"/>
          <w:sz w:val="24"/>
          <w:szCs w:val="20"/>
        </w:rPr>
        <w:t>k</w:t>
      </w:r>
      <w:r>
        <w:rPr>
          <w:color w:val="auto"/>
          <w:sz w:val="24"/>
          <w:szCs w:val="20"/>
        </w:rPr>
        <w:t>m</w:t>
      </w:r>
      <w:r>
        <w:rPr>
          <w:rFonts w:hint="eastAsia"/>
          <w:color w:val="auto"/>
          <w:sz w:val="24"/>
          <w:szCs w:val="20"/>
        </w:rPr>
        <w:t>。项目位于龙岗区南湾街道法定图则</w:t>
      </w:r>
      <w:r>
        <w:rPr>
          <w:color w:val="auto"/>
          <w:sz w:val="24"/>
          <w:szCs w:val="20"/>
        </w:rPr>
        <w:t>[</w:t>
      </w:r>
      <w:r>
        <w:rPr>
          <w:rFonts w:hint="eastAsia"/>
          <w:color w:val="auto"/>
          <w:sz w:val="24"/>
          <w:szCs w:val="20"/>
        </w:rPr>
        <w:t>下李朗</w:t>
      </w:r>
      <w:r>
        <w:rPr>
          <w:color w:val="auto"/>
          <w:sz w:val="24"/>
          <w:szCs w:val="20"/>
        </w:rPr>
        <w:t>-良安田地区]8-11地块，水</w:t>
      </w:r>
      <w:r>
        <w:rPr>
          <w:rFonts w:hint="eastAsia"/>
          <w:color w:val="auto"/>
          <w:sz w:val="24"/>
          <w:szCs w:val="20"/>
        </w:rPr>
        <w:t>官</w:t>
      </w:r>
      <w:r>
        <w:rPr>
          <w:color w:val="auto"/>
          <w:sz w:val="24"/>
          <w:szCs w:val="20"/>
        </w:rPr>
        <w:t>高速以北，丹平快速路以西。东临平湖南铁路货场，</w:t>
      </w:r>
      <w:r>
        <w:rPr>
          <w:rFonts w:hint="eastAsia"/>
          <w:color w:val="auto"/>
          <w:sz w:val="24"/>
          <w:szCs w:val="20"/>
        </w:rPr>
        <w:t>距离约</w:t>
      </w:r>
      <w:r>
        <w:rPr>
          <w:color w:val="auto"/>
          <w:sz w:val="24"/>
          <w:szCs w:val="20"/>
        </w:rPr>
        <w:t>100m</w:t>
      </w:r>
      <w:r>
        <w:rPr>
          <w:rFonts w:hint="eastAsia"/>
          <w:color w:val="auto"/>
          <w:sz w:val="24"/>
          <w:szCs w:val="20"/>
        </w:rPr>
        <w:t>，距最近的轨道交通站点</w:t>
      </w:r>
      <w:r>
        <w:rPr>
          <w:color w:val="auto"/>
          <w:sz w:val="24"/>
          <w:szCs w:val="20"/>
        </w:rPr>
        <w:t>10</w:t>
      </w:r>
      <w:r>
        <w:rPr>
          <w:rFonts w:hint="eastAsia"/>
          <w:color w:val="auto"/>
          <w:sz w:val="24"/>
          <w:szCs w:val="20"/>
        </w:rPr>
        <w:t>号线上李朗站约</w:t>
      </w:r>
      <w:r>
        <w:rPr>
          <w:color w:val="auto"/>
          <w:sz w:val="24"/>
          <w:szCs w:val="20"/>
        </w:rPr>
        <w:t>2km</w:t>
      </w:r>
      <w:r>
        <w:rPr>
          <w:rFonts w:hint="eastAsia"/>
          <w:color w:val="auto"/>
          <w:sz w:val="24"/>
          <w:szCs w:val="20"/>
        </w:rPr>
        <w:t>。距离最近的公交站点约</w:t>
      </w:r>
      <w:r>
        <w:rPr>
          <w:color w:val="auto"/>
          <w:sz w:val="24"/>
          <w:szCs w:val="20"/>
        </w:rPr>
        <w:t>250m</w:t>
      </w:r>
      <w:r>
        <w:rPr>
          <w:rFonts w:hint="eastAsia"/>
          <w:color w:val="auto"/>
          <w:sz w:val="24"/>
          <w:szCs w:val="20"/>
        </w:rPr>
        <w:t>，位于白李路。</w:t>
      </w:r>
    </w:p>
    <w:p>
      <w:pPr>
        <w:pStyle w:val="2"/>
        <w:spacing w:line="360" w:lineRule="auto"/>
        <w:ind w:firstLine="480"/>
        <w:jc w:val="both"/>
        <w:rPr>
          <w:color w:val="auto"/>
          <w:sz w:val="24"/>
          <w:szCs w:val="20"/>
        </w:rPr>
      </w:pP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18"/>
          <w:szCs w:val="18"/>
        </w:rPr>
        <w:drawing>
          <wp:inline distT="0" distB="0" distL="0" distR="0">
            <wp:extent cx="4896485" cy="224345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2" b="13531"/>
                    <a:stretch>
                      <a:fillRect/>
                    </a:stretch>
                  </pic:blipFill>
                  <pic:spPr>
                    <a:xfrm>
                      <a:off x="0" y="0"/>
                      <a:ext cx="4958726" cy="2271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auto"/>
          <w:sz w:val="18"/>
          <w:szCs w:val="18"/>
        </w:rPr>
      </w:pPr>
      <w:r>
        <w:rPr>
          <w:rFonts w:hint="eastAsia"/>
          <w:color w:val="auto"/>
          <w:sz w:val="18"/>
          <w:szCs w:val="18"/>
        </w:rPr>
        <w:t>区位图一</w:t>
      </w:r>
    </w:p>
    <w:p>
      <w:pPr>
        <w:pStyle w:val="2"/>
        <w:ind w:left="0" w:firstLine="0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5423535" cy="3411855"/>
            <wp:effectExtent l="0" t="0" r="12065" b="17145"/>
            <wp:docPr id="2" name="图片 2" descr="2203045场地分析图_02-区位交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03045场地分析图_02-区位交通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firstLine="0"/>
        <w:jc w:val="center"/>
        <w:rPr>
          <w:color w:val="auto"/>
        </w:rPr>
      </w:pPr>
      <w:r>
        <w:rPr>
          <w:rFonts w:hint="eastAsia"/>
          <w:color w:val="auto"/>
          <w:sz w:val="18"/>
          <w:szCs w:val="18"/>
        </w:rPr>
        <w:t>区位图二</w:t>
      </w:r>
    </w:p>
    <w:p>
      <w:pPr>
        <w:spacing w:line="360" w:lineRule="auto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drawing>
          <wp:inline distT="0" distB="0" distL="114300" distR="114300">
            <wp:extent cx="5423535" cy="3522980"/>
            <wp:effectExtent l="0" t="0" r="12065" b="7620"/>
            <wp:docPr id="5" name="图片 5" descr="2203045场地分析图_03-周边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03045场地分析图_03-周边环境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firstLine="0"/>
        <w:jc w:val="center"/>
        <w:rPr>
          <w:color w:val="auto"/>
        </w:rPr>
      </w:pPr>
      <w:r>
        <w:rPr>
          <w:rFonts w:hint="eastAsia"/>
          <w:color w:val="auto"/>
          <w:sz w:val="18"/>
          <w:szCs w:val="18"/>
        </w:rPr>
        <w:t>区位图三</w:t>
      </w:r>
    </w:p>
    <w:p>
      <w:pPr>
        <w:spacing w:line="360" w:lineRule="auto"/>
        <w:ind w:firstLine="480"/>
        <w:jc w:val="both"/>
        <w:rPr>
          <w:color w:val="auto"/>
        </w:rPr>
      </w:pPr>
      <w:r>
        <w:rPr>
          <w:color w:val="auto"/>
          <w:sz w:val="24"/>
          <w:szCs w:val="20"/>
        </w:rPr>
        <w:t>用地周边现状</w:t>
      </w:r>
      <w:r>
        <w:rPr>
          <w:rFonts w:hint="eastAsia"/>
          <w:color w:val="auto"/>
          <w:sz w:val="24"/>
          <w:szCs w:val="20"/>
        </w:rPr>
        <w:t>道路为东侧正在建设中的城市支路铁运路，未来将会连通至南侧白李路，铁运路的控制点坐标可参考任务书</w:t>
      </w:r>
      <w:r>
        <w:rPr>
          <w:rFonts w:hint="eastAsia"/>
          <w:i/>
          <w:iCs/>
          <w:color w:val="auto"/>
          <w:sz w:val="24"/>
          <w:szCs w:val="20"/>
        </w:rPr>
        <w:t>附件</w:t>
      </w:r>
      <w:r>
        <w:rPr>
          <w:i/>
          <w:iCs/>
          <w:color w:val="auto"/>
          <w:sz w:val="24"/>
          <w:szCs w:val="20"/>
        </w:rPr>
        <w:t>6.8</w:t>
      </w:r>
      <w:r>
        <w:rPr>
          <w:rFonts w:hint="eastAsia"/>
          <w:i/>
          <w:iCs/>
          <w:color w:val="auto"/>
          <w:sz w:val="24"/>
          <w:szCs w:val="20"/>
        </w:rPr>
        <w:t>铁运路道路平面总图</w:t>
      </w:r>
      <w:r>
        <w:rPr>
          <w:rFonts w:hint="eastAsia"/>
          <w:color w:val="auto"/>
          <w:sz w:val="24"/>
          <w:szCs w:val="20"/>
        </w:rPr>
        <w:t>。北侧为规划路怡李路，目前怡李路的设计暂未稳定。目前用地出入口为南侧支路育才路，育才路为环路，连接白李路与下李朗北路。除该三条道路外，未来无其他规划道路。</w:t>
      </w:r>
    </w:p>
    <w:p>
      <w:pPr>
        <w:pStyle w:val="15"/>
        <w:spacing w:before="4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424170" cy="3838575"/>
            <wp:effectExtent l="0" t="0" r="11430" b="22225"/>
            <wp:docPr id="7" name="图片 7" descr="220305 二十九高-场地分析图_04-场地周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0305 二十九高-场地分析图_04-场地周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firstLine="0"/>
        <w:jc w:val="center"/>
        <w:rPr>
          <w:color w:val="auto"/>
          <w:sz w:val="18"/>
          <w:szCs w:val="18"/>
        </w:rPr>
      </w:pPr>
      <w:bookmarkStart w:id="23" w:name="_Toc1166836057"/>
      <w:bookmarkStart w:id="24" w:name="_Toc918319550"/>
      <w:r>
        <w:rPr>
          <w:rFonts w:hint="eastAsia"/>
          <w:color w:val="auto"/>
          <w:sz w:val="18"/>
          <w:szCs w:val="18"/>
        </w:rPr>
        <w:t>周边交通</w:t>
      </w:r>
      <w:bookmarkEnd w:id="23"/>
      <w:bookmarkEnd w:id="24"/>
      <w:r>
        <w:rPr>
          <w:rFonts w:hint="eastAsia"/>
          <w:color w:val="auto"/>
          <w:sz w:val="18"/>
          <w:szCs w:val="18"/>
        </w:rPr>
        <w:t>图</w:t>
      </w:r>
    </w:p>
    <w:p>
      <w:pPr>
        <w:pStyle w:val="192"/>
        <w:rPr>
          <w:color w:val="auto"/>
        </w:rPr>
      </w:pP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</w:rPr>
      </w:pPr>
      <w:bookmarkStart w:id="25" w:name="_bookmark3"/>
      <w:bookmarkEnd w:id="25"/>
      <w:bookmarkStart w:id="26" w:name="_Toc1942290787"/>
      <w:bookmarkStart w:id="27" w:name="_Toc1911041776"/>
      <w:bookmarkStart w:id="28" w:name="_Toc324377509"/>
      <w:bookmarkStart w:id="29" w:name="_Toc1672123292"/>
      <w:bookmarkStart w:id="30" w:name="_Toc207928399_WPSOffice_Level1"/>
      <w:bookmarkStart w:id="31" w:name="_Toc1982735977"/>
      <w:bookmarkStart w:id="32" w:name="_Toc1022389889"/>
      <w:bookmarkStart w:id="33" w:name="_Toc535350473"/>
      <w:bookmarkStart w:id="34" w:name="_Toc1089113186_WPSOffice_Level1"/>
      <w:r>
        <w:rPr>
          <w:color w:val="auto"/>
          <w:spacing w:val="-1"/>
        </w:rPr>
        <w:t>用地现状及周边环境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pacing w:line="360" w:lineRule="auto"/>
        <w:ind w:firstLine="480"/>
        <w:jc w:val="both"/>
        <w:rPr>
          <w:color w:val="auto"/>
          <w:sz w:val="24"/>
          <w:szCs w:val="24"/>
        </w:rPr>
      </w:pPr>
      <w:r>
        <w:rPr>
          <w:color w:val="auto"/>
          <w:sz w:val="24"/>
        </w:rPr>
        <w:t>本项目总用地面积为</w:t>
      </w:r>
      <w:r>
        <w:rPr>
          <w:color w:val="auto"/>
        </w:rPr>
        <w:t>36165.84</w:t>
      </w:r>
      <w:r>
        <w:rPr>
          <w:color w:val="auto"/>
          <w:sz w:val="24"/>
        </w:rPr>
        <w:t>㎡</w:t>
      </w:r>
      <w:r>
        <w:rPr>
          <w:color w:val="auto"/>
          <w:sz w:val="24"/>
        </w:rPr>
        <w:t>，</w:t>
      </w:r>
      <w:r>
        <w:rPr>
          <w:rFonts w:hint="eastAsia"/>
          <w:color w:val="auto"/>
          <w:sz w:val="24"/>
        </w:rPr>
        <w:t>呈丘陵地貌。</w:t>
      </w:r>
      <w:r>
        <w:rPr>
          <w:rFonts w:hint="eastAsia"/>
          <w:color w:val="auto"/>
          <w:sz w:val="24"/>
          <w:szCs w:val="24"/>
        </w:rPr>
        <w:t>项目用地</w:t>
      </w:r>
      <w:r>
        <w:rPr>
          <w:rFonts w:hint="eastAsia" w:ascii="华文细黑" w:hAnsi="华文细黑" w:eastAsia="华文细黑"/>
          <w:color w:val="auto"/>
          <w:sz w:val="24"/>
          <w:szCs w:val="24"/>
        </w:rPr>
        <w:t>大部分区域</w:t>
      </w:r>
      <w:r>
        <w:rPr>
          <w:rFonts w:hint="eastAsia"/>
          <w:color w:val="auto"/>
          <w:sz w:val="24"/>
          <w:szCs w:val="24"/>
        </w:rPr>
        <w:t>为周边用地的制高点，无日照遮挡等消极因素。目前的主要使用功能为社区公园。场地内南端现状设有一公交始末站，未来将会拆除。</w:t>
      </w:r>
    </w:p>
    <w:p>
      <w:pPr>
        <w:spacing w:line="360" w:lineRule="auto"/>
        <w:ind w:firstLine="480"/>
        <w:jc w:val="both"/>
        <w:rPr>
          <w:color w:val="auto"/>
          <w:sz w:val="24"/>
        </w:rPr>
      </w:pPr>
      <w:r>
        <w:rPr>
          <w:rFonts w:hint="eastAsia"/>
          <w:color w:val="auto"/>
          <w:sz w:val="24"/>
          <w:szCs w:val="24"/>
        </w:rPr>
        <w:t>用地西侧紧邻下李朗小学与下李朗幼儿园，西面现状为四类居住用地下李朗社区</w:t>
      </w:r>
      <w:r>
        <w:rPr>
          <w:color w:val="auto"/>
          <w:sz w:val="24"/>
          <w:szCs w:val="24"/>
        </w:rPr>
        <w:t>，</w:t>
      </w:r>
      <w:r>
        <w:rPr>
          <w:rFonts w:hint="eastAsia"/>
          <w:color w:val="auto"/>
          <w:sz w:val="24"/>
          <w:szCs w:val="24"/>
        </w:rPr>
        <w:t>为中低层高密度住宅，未来该片区将会保留</w:t>
      </w:r>
      <w:r>
        <w:rPr>
          <w:color w:val="auto"/>
          <w:sz w:val="24"/>
          <w:szCs w:val="24"/>
        </w:rPr>
        <w:t>。</w:t>
      </w:r>
      <w:r>
        <w:rPr>
          <w:rFonts w:hint="eastAsia"/>
          <w:color w:val="auto"/>
          <w:sz w:val="24"/>
          <w:szCs w:val="24"/>
        </w:rPr>
        <w:t>用地</w:t>
      </w:r>
      <w:r>
        <w:rPr>
          <w:rFonts w:hint="eastAsia" w:ascii="华文细黑" w:hAnsi="华文细黑" w:eastAsia="华文细黑"/>
          <w:color w:val="auto"/>
          <w:sz w:val="24"/>
          <w:szCs w:val="24"/>
        </w:rPr>
        <w:t>大部分区域</w:t>
      </w:r>
      <w:r>
        <w:rPr>
          <w:rFonts w:hint="eastAsia"/>
          <w:color w:val="auto"/>
          <w:sz w:val="24"/>
          <w:szCs w:val="24"/>
        </w:rPr>
        <w:t>与西</w:t>
      </w:r>
      <w:r>
        <w:rPr>
          <w:rFonts w:hint="eastAsia"/>
          <w:color w:val="auto"/>
          <w:sz w:val="24"/>
        </w:rPr>
        <w:t>侧下李朗小学、东侧铁运路场地高差较大，</w:t>
      </w:r>
      <w:r>
        <w:rPr>
          <w:rFonts w:hint="eastAsia"/>
          <w:color w:val="auto"/>
          <w:sz w:val="24"/>
        </w:rPr>
        <w:t>约</w:t>
      </w:r>
      <w:r>
        <w:rPr>
          <w:rFonts w:hint="eastAsia"/>
          <w:color w:val="auto"/>
          <w:sz w:val="24"/>
        </w:rPr>
        <w:t>5</w:t>
      </w:r>
      <w:r>
        <w:rPr>
          <w:color w:val="auto"/>
          <w:sz w:val="24"/>
        </w:rPr>
        <w:t>-3</w:t>
      </w:r>
      <w:r>
        <w:rPr>
          <w:color w:val="auto"/>
          <w:sz w:val="24"/>
        </w:rPr>
        <w:t>0m</w:t>
      </w:r>
      <w:r>
        <w:rPr>
          <w:rFonts w:hint="eastAsia"/>
          <w:color w:val="auto"/>
          <w:sz w:val="24"/>
        </w:rPr>
        <w:t>，现状</w:t>
      </w:r>
      <w:r>
        <w:rPr>
          <w:rFonts w:hint="eastAsia"/>
          <w:color w:val="auto"/>
          <w:sz w:val="24"/>
        </w:rPr>
        <w:t>存在</w:t>
      </w:r>
      <w:r>
        <w:rPr>
          <w:rFonts w:hint="eastAsia"/>
          <w:color w:val="auto"/>
          <w:sz w:val="24"/>
        </w:rPr>
        <w:t>护坡。南侧现状为下李朗社区体育公园，北面为科技园办公用地，与科技园之间暂时以围墙区隔。</w:t>
      </w:r>
    </w:p>
    <w:p>
      <w:pPr>
        <w:pStyle w:val="15"/>
        <w:spacing w:before="2"/>
        <w:jc w:val="center"/>
        <w:rPr>
          <w:color w:val="auto"/>
        </w:rPr>
      </w:pPr>
    </w:p>
    <w:p>
      <w:pPr>
        <w:pStyle w:val="2"/>
        <w:ind w:left="0" w:firstLine="0"/>
        <w:jc w:val="center"/>
        <w:rPr>
          <w:color w:val="auto"/>
        </w:rPr>
      </w:pPr>
      <w:r>
        <w:rPr>
          <w:rFonts w:hint="eastAsia"/>
          <w:color w:val="auto"/>
          <w:sz w:val="18"/>
          <w:szCs w:val="18"/>
        </w:rPr>
        <w:drawing>
          <wp:inline distT="0" distB="0" distL="114300" distR="114300">
            <wp:extent cx="5424170" cy="3376295"/>
            <wp:effectExtent l="0" t="0" r="5080" b="0"/>
            <wp:docPr id="8" name="图片 8" descr="220305 二十九高-场地分析图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0305 二十九高-场地分析图-05"/>
                    <pic:cNvPicPr>
                      <a:picLocks noChangeAspect="1"/>
                    </pic:cNvPicPr>
                  </pic:nvPicPr>
                  <pic:blipFill>
                    <a:blip r:embed="rId10"/>
                    <a:srcRect b="12035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376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18"/>
          <w:szCs w:val="18"/>
        </w:rPr>
        <w:t>周边环境图</w:t>
      </w: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</w:rPr>
      </w:pPr>
      <w:bookmarkStart w:id="35" w:name="_Toc1405164002"/>
      <w:bookmarkStart w:id="36" w:name="_Toc1113704700"/>
      <w:r>
        <w:rPr>
          <w:rFonts w:hint="eastAsia"/>
          <w:color w:val="auto"/>
          <w:spacing w:val="-1"/>
        </w:rPr>
        <w:t>其他限制条件</w:t>
      </w:r>
      <w:bookmarkEnd w:id="35"/>
      <w:bookmarkEnd w:id="36"/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项目用地东侧距离平湖南铁路货场仅</w:t>
      </w:r>
      <w:r>
        <w:rPr>
          <w:color w:val="auto"/>
          <w:sz w:val="24"/>
          <w:szCs w:val="20"/>
        </w:rPr>
        <w:t>100m</w:t>
      </w:r>
      <w:r>
        <w:rPr>
          <w:rFonts w:hint="eastAsia"/>
          <w:color w:val="auto"/>
          <w:sz w:val="24"/>
          <w:szCs w:val="20"/>
        </w:rPr>
        <w:t>左右，需要</w:t>
      </w:r>
      <w:r>
        <w:rPr>
          <w:rFonts w:hint="eastAsia"/>
          <w:color w:val="auto"/>
          <w:sz w:val="24"/>
          <w:szCs w:val="20"/>
        </w:rPr>
        <w:t>解决铁路噪音问题</w:t>
      </w:r>
      <w:r>
        <w:rPr>
          <w:rFonts w:hint="eastAsia"/>
          <w:color w:val="auto"/>
          <w:sz w:val="24"/>
          <w:szCs w:val="20"/>
        </w:rPr>
        <w:t>。此外，目前用地红线范围内有部分市政管道，施工图阶段需考虑管道改迁，具体管线资料详见</w:t>
      </w:r>
      <w:r>
        <w:rPr>
          <w:rFonts w:hint="eastAsia"/>
          <w:i/>
          <w:iCs/>
          <w:color w:val="auto"/>
          <w:sz w:val="24"/>
          <w:szCs w:val="20"/>
        </w:rPr>
        <w:t>附件</w:t>
      </w:r>
      <w:r>
        <w:rPr>
          <w:i/>
          <w:iCs/>
          <w:color w:val="auto"/>
          <w:sz w:val="24"/>
          <w:szCs w:val="20"/>
        </w:rPr>
        <w:t>6.3-</w:t>
      </w:r>
      <w:r>
        <w:rPr>
          <w:rFonts w:hint="eastAsia"/>
          <w:i/>
          <w:iCs/>
          <w:color w:val="auto"/>
          <w:sz w:val="24"/>
          <w:szCs w:val="20"/>
        </w:rPr>
        <w:t>物探资料</w:t>
      </w:r>
      <w:r>
        <w:rPr>
          <w:rFonts w:hint="eastAsia"/>
          <w:color w:val="auto"/>
          <w:sz w:val="24"/>
          <w:szCs w:val="20"/>
        </w:rPr>
        <w:t>。</w:t>
      </w:r>
    </w:p>
    <w:p>
      <w:pPr>
        <w:pStyle w:val="192"/>
        <w:rPr>
          <w:color w:val="auto"/>
        </w:rPr>
      </w:pPr>
    </w:p>
    <w:p>
      <w:pPr>
        <w:pStyle w:val="3"/>
        <w:numPr>
          <w:ilvl w:val="0"/>
          <w:numId w:val="2"/>
        </w:numPr>
        <w:tabs>
          <w:tab w:val="left" w:pos="299"/>
        </w:tabs>
        <w:spacing w:line="360" w:lineRule="auto"/>
        <w:ind w:hanging="179"/>
        <w:rPr>
          <w:color w:val="auto"/>
          <w:spacing w:val="-1"/>
          <w:sz w:val="28"/>
          <w:szCs w:val="28"/>
        </w:rPr>
      </w:pPr>
      <w:bookmarkStart w:id="37" w:name="_bookmark4"/>
      <w:bookmarkEnd w:id="37"/>
      <w:bookmarkStart w:id="38" w:name="_bookmark5"/>
      <w:bookmarkEnd w:id="38"/>
      <w:bookmarkStart w:id="39" w:name="_Toc713715555"/>
      <w:bookmarkStart w:id="40" w:name="_Toc122943441"/>
      <w:bookmarkStart w:id="41" w:name="_Toc567425648"/>
      <w:r>
        <w:rPr>
          <w:rFonts w:hint="eastAsia"/>
          <w:color w:val="auto"/>
          <w:spacing w:val="-1"/>
          <w:sz w:val="28"/>
          <w:szCs w:val="28"/>
        </w:rPr>
        <w:t>建筑设计指标</w:t>
      </w:r>
      <w:bookmarkEnd w:id="39"/>
      <w:bookmarkEnd w:id="40"/>
      <w:bookmarkEnd w:id="41"/>
    </w:p>
    <w:p>
      <w:pPr>
        <w:spacing w:line="360" w:lineRule="auto"/>
        <w:ind w:firstLine="480"/>
        <w:jc w:val="both"/>
        <w:rPr>
          <w:color w:val="auto"/>
        </w:rPr>
      </w:pPr>
      <w:bookmarkStart w:id="42" w:name="_bookmark6"/>
      <w:bookmarkEnd w:id="42"/>
      <w:r>
        <w:rPr>
          <w:rFonts w:hint="eastAsia"/>
          <w:color w:val="auto"/>
          <w:sz w:val="24"/>
          <w:szCs w:val="20"/>
        </w:rPr>
        <w:t>本项目</w:t>
      </w:r>
      <w:r>
        <w:rPr>
          <w:color w:val="auto"/>
          <w:sz w:val="24"/>
          <w:szCs w:val="20"/>
        </w:rPr>
        <w:t>总用地面积为</w:t>
      </w:r>
      <w:r>
        <w:rPr>
          <w:color w:val="auto"/>
        </w:rPr>
        <w:t>36165.84</w:t>
      </w:r>
      <w:r>
        <w:rPr>
          <w:color w:val="auto"/>
          <w:sz w:val="24"/>
        </w:rPr>
        <w:t>㎡</w:t>
      </w:r>
      <w:r>
        <w:rPr>
          <w:color w:val="auto"/>
          <w:sz w:val="24"/>
          <w:szCs w:val="20"/>
        </w:rPr>
        <w:t>，拟规划建设一所36班/1800个学位的</w:t>
      </w:r>
      <w:r>
        <w:rPr>
          <w:rFonts w:hint="eastAsia"/>
          <w:color w:val="auto"/>
          <w:sz w:val="24"/>
          <w:szCs w:val="20"/>
        </w:rPr>
        <w:t>寄宿制</w:t>
      </w:r>
      <w:r>
        <w:rPr>
          <w:rFonts w:hint="eastAsia"/>
          <w:color w:val="auto"/>
          <w:sz w:val="24"/>
          <w:szCs w:val="20"/>
        </w:rPr>
        <w:t>高级中学</w:t>
      </w:r>
      <w:r>
        <w:rPr>
          <w:color w:val="auto"/>
          <w:sz w:val="24"/>
          <w:szCs w:val="20"/>
        </w:rPr>
        <w:t>。</w:t>
      </w:r>
      <w:r>
        <w:rPr>
          <w:rFonts w:hint="eastAsia"/>
          <w:color w:val="auto"/>
          <w:sz w:val="24"/>
          <w:szCs w:val="20"/>
        </w:rPr>
        <w:t>总建筑面积低限为</w:t>
      </w:r>
      <w:r>
        <w:rPr>
          <w:color w:val="auto"/>
          <w:sz w:val="24"/>
          <w:szCs w:val="20"/>
        </w:rPr>
        <w:t>60990平方米，包括必配45990平方米（教学及辅助20569平方米，办公用房2208平方米，生活服务用房23214平方米）；选配低限为架空层3600平方米、停车库5565平方米，设备用房2230平方米，教师宿舍3605平方米。总建筑面积上限为70000平方米。</w:t>
      </w:r>
      <w:r>
        <w:rPr>
          <w:rFonts w:hint="eastAsia"/>
          <w:color w:val="auto"/>
          <w:sz w:val="24"/>
          <w:szCs w:val="20"/>
        </w:rPr>
        <w:t>投资单价不超过</w:t>
      </w:r>
      <w:r>
        <w:rPr>
          <w:color w:val="auto"/>
          <w:sz w:val="24"/>
          <w:szCs w:val="20"/>
        </w:rPr>
        <w:t>8000</w:t>
      </w:r>
      <w:r>
        <w:rPr>
          <w:rFonts w:hint="eastAsia"/>
          <w:color w:val="auto"/>
          <w:sz w:val="24"/>
          <w:szCs w:val="20"/>
        </w:rPr>
        <w:t>元</w:t>
      </w:r>
      <w:r>
        <w:rPr>
          <w:color w:val="auto"/>
          <w:sz w:val="24"/>
          <w:szCs w:val="20"/>
        </w:rPr>
        <w:t>/</w:t>
      </w:r>
      <w:r>
        <w:rPr>
          <w:rFonts w:hint="eastAsia"/>
          <w:color w:val="auto"/>
          <w:sz w:val="24"/>
          <w:szCs w:val="20"/>
        </w:rPr>
        <w:t>㎡。具体建设规模详见下表：</w:t>
      </w:r>
    </w:p>
    <w:tbl>
      <w:tblPr>
        <w:tblStyle w:val="33"/>
        <w:tblW w:w="753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0"/>
        <w:gridCol w:w="4271"/>
        <w:gridCol w:w="251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序号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用房名称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建筑面积（㎡）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一、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必配校舍用房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45990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（一）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教学及辅助用房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20568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6764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1.1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普通教室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5236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1.2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选修课教室（大）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655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1.3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选修课教室（小）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873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专用教室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6615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理生化实验室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2000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探究实验室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545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仪器室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218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2.4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准备室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218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2.5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药品室（生化）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175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2.6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音乐教室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2.7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器乐排练室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182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2.8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音乐器材室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2.9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舞蹈教室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571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舞蹈更衣室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175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美术教室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美术器材室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计算机（语言）教室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909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2.14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教室辅助用房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218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2.15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技术教室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545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2.16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技术教室辅助用房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公共教学用房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7190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多功能厅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960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合班教室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545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图书室（馆）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1964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3.4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社团活动室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436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3.5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心理咨询室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3.6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德育展览室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364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3.7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体质测试室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91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3.8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体育馆（含体育器材室、游泳馆及更衣室）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2667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（二）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办公用房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2208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教师办公室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1331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行政办公室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400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广播室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4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卫生保健室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123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5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团队室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6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会议接待室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154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7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网络控制室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8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安防监控室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（三）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生活服务用房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23214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总务用房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462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教职工和学生食堂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3600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3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学生宿舍（含卫生间、洗浴间）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16782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4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宿舍管理及教师值班用房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838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5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后勤辅助用房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332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6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厕所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1108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7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传达值班室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92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二、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选配用房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23862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（一）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微格教室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182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（二）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教</w:t>
            </w:r>
            <w:r>
              <w:rPr>
                <w:rFonts w:hint="eastAsia" w:ascii="等线" w:hAnsi="等线" w:eastAsia="等线" w:cs="等线"/>
                <w:color w:val="auto"/>
              </w:rPr>
              <w:t>师</w:t>
            </w:r>
            <w:r>
              <w:rPr>
                <w:rFonts w:ascii="等线" w:hAnsi="等线" w:eastAsia="等线" w:cs="等线"/>
                <w:color w:val="auto"/>
              </w:rPr>
              <w:t>宿舍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4515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（三）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架空层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6000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（四）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车库及设备用房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9665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1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车库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6956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2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设备用房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2709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（六）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立体运动场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3500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三、</w:t>
            </w:r>
          </w:p>
        </w:tc>
        <w:tc>
          <w:tcPr>
            <w:tcW w:w="4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>合计</w:t>
            </w:r>
          </w:p>
        </w:tc>
        <w:tc>
          <w:tcPr>
            <w:tcW w:w="2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auto"/>
              </w:rPr>
            </w:pPr>
            <w:r>
              <w:rPr>
                <w:rFonts w:ascii="等线" w:hAnsi="等线" w:eastAsia="等线" w:cs="等线"/>
                <w:color w:val="auto"/>
              </w:rPr>
              <w:t xml:space="preserve">69852 </w:t>
            </w:r>
          </w:p>
        </w:tc>
      </w:tr>
    </w:tbl>
    <w:p>
      <w:pPr>
        <w:pStyle w:val="2"/>
        <w:ind w:left="0" w:firstLine="0"/>
        <w:rPr>
          <w:color w:val="auto"/>
          <w:sz w:val="24"/>
          <w:szCs w:val="20"/>
        </w:rPr>
      </w:pPr>
    </w:p>
    <w:p>
      <w:pPr>
        <w:pStyle w:val="15"/>
        <w:spacing w:line="288" w:lineRule="auto"/>
        <w:rPr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</w:rPr>
        <w:t>*建筑高度、建筑退线、消防等需满足深圳市相关规范的要求，出入口设计应满足《建设项目机动车出入口开设技术指引》。其中，除以下</w:t>
      </w:r>
      <w:r>
        <w:rPr>
          <w:rFonts w:hint="eastAsia"/>
          <w:b/>
          <w:bCs/>
          <w:color w:val="auto"/>
          <w:sz w:val="24"/>
          <w:szCs w:val="24"/>
        </w:rPr>
        <w:t>五</w:t>
      </w:r>
      <w:r>
        <w:rPr>
          <w:rFonts w:hint="eastAsia"/>
          <w:b/>
          <w:bCs/>
          <w:color w:val="auto"/>
          <w:sz w:val="24"/>
          <w:szCs w:val="24"/>
        </w:rPr>
        <w:t>项</w:t>
      </w:r>
      <w:r>
        <w:rPr>
          <w:rFonts w:hint="eastAsia"/>
          <w:b/>
          <w:bCs/>
          <w:color w:val="auto"/>
          <w:sz w:val="24"/>
          <w:szCs w:val="24"/>
        </w:rPr>
        <w:t>选配用房面积可酌情调整外，其余指标均需满足以上表格要求：</w:t>
      </w:r>
    </w:p>
    <w:p>
      <w:pPr>
        <w:pStyle w:val="15"/>
        <w:spacing w:line="288" w:lineRule="auto"/>
        <w:ind w:firstLine="482" w:firstLineChars="200"/>
        <w:rPr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</w:rPr>
        <w:t>1、教师宿舍、设备用房</w:t>
      </w:r>
      <w:r>
        <w:rPr>
          <w:rFonts w:hint="eastAsia"/>
          <w:b/>
          <w:bCs/>
          <w:color w:val="auto"/>
          <w:sz w:val="24"/>
          <w:szCs w:val="24"/>
        </w:rPr>
        <w:t>、车库</w:t>
      </w:r>
      <w:r>
        <w:rPr>
          <w:rFonts w:hint="eastAsia"/>
          <w:b/>
          <w:bCs/>
          <w:color w:val="auto"/>
          <w:sz w:val="24"/>
          <w:szCs w:val="24"/>
        </w:rPr>
        <w:t>：需要配置，面积在满足建筑功能需求的前提下可根据设计方案调整。</w:t>
      </w:r>
    </w:p>
    <w:p>
      <w:pPr>
        <w:pStyle w:val="15"/>
        <w:spacing w:line="288" w:lineRule="auto"/>
        <w:ind w:firstLine="482" w:firstLineChars="200"/>
        <w:rPr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</w:rPr>
        <w:t>2、架空层：按不小于</w:t>
      </w:r>
      <w:r>
        <w:rPr>
          <w:b/>
          <w:bCs/>
          <w:color w:val="auto"/>
          <w:sz w:val="24"/>
          <w:szCs w:val="24"/>
        </w:rPr>
        <w:t>2</w:t>
      </w:r>
      <w:r>
        <w:rPr>
          <w:rFonts w:hint="eastAsia"/>
          <w:b/>
          <w:bCs/>
          <w:color w:val="auto"/>
          <w:sz w:val="24"/>
          <w:szCs w:val="24"/>
        </w:rPr>
        <w:t>㎡</w:t>
      </w:r>
      <w:r>
        <w:rPr>
          <w:b/>
          <w:bCs/>
          <w:color w:val="auto"/>
          <w:sz w:val="24"/>
          <w:szCs w:val="24"/>
        </w:rPr>
        <w:t>/</w:t>
      </w:r>
      <w:r>
        <w:rPr>
          <w:rFonts w:hint="eastAsia"/>
          <w:b/>
          <w:bCs/>
          <w:color w:val="auto"/>
          <w:sz w:val="24"/>
          <w:szCs w:val="24"/>
        </w:rPr>
        <w:t>学生配置。</w:t>
      </w:r>
    </w:p>
    <w:p>
      <w:pPr>
        <w:pStyle w:val="15"/>
        <w:spacing w:line="288" w:lineRule="auto"/>
        <w:ind w:firstLine="482" w:firstLineChars="200"/>
        <w:rPr>
          <w:rFonts w:hint="eastAsia"/>
          <w:color w:val="auto"/>
        </w:rPr>
      </w:pPr>
      <w:r>
        <w:rPr>
          <w:rFonts w:hint="eastAsia"/>
          <w:b/>
          <w:bCs/>
          <w:color w:val="auto"/>
          <w:sz w:val="24"/>
          <w:szCs w:val="24"/>
        </w:rPr>
        <w:t>3、立体运动场：在满足体育运动场地需求的前提下可根据设计方案调整。体育运动场地需求为1处300米-400米环形跑道田径场（其中含不小于100米的直跑道），一座室内体育馆，4个-6个篮球场、3个-5个排球场（兼羽毛球场）、1个-2个网球场、1个游泳池和300平方米-400平方米器械场地。</w:t>
      </w:r>
    </w:p>
    <w:p>
      <w:pPr>
        <w:spacing w:line="360" w:lineRule="auto"/>
        <w:jc w:val="both"/>
        <w:rPr>
          <w:color w:val="auto"/>
          <w:sz w:val="24"/>
          <w:szCs w:val="20"/>
        </w:rPr>
      </w:pPr>
    </w:p>
    <w:p>
      <w:pPr>
        <w:pStyle w:val="2"/>
        <w:ind w:left="440" w:firstLine="440"/>
        <w:rPr>
          <w:color w:val="auto"/>
        </w:rPr>
      </w:pPr>
    </w:p>
    <w:p>
      <w:pPr>
        <w:pStyle w:val="3"/>
        <w:numPr>
          <w:ilvl w:val="0"/>
          <w:numId w:val="2"/>
        </w:numPr>
        <w:tabs>
          <w:tab w:val="left" w:pos="299"/>
        </w:tabs>
        <w:ind w:hanging="179"/>
        <w:rPr>
          <w:color w:val="auto"/>
          <w:spacing w:val="-1"/>
          <w:sz w:val="28"/>
          <w:szCs w:val="28"/>
        </w:rPr>
      </w:pPr>
      <w:bookmarkStart w:id="43" w:name="_bookmark15"/>
      <w:bookmarkEnd w:id="43"/>
      <w:bookmarkStart w:id="44" w:name="_Toc1941140783"/>
      <w:bookmarkStart w:id="45" w:name="_Toc980471939"/>
      <w:bookmarkStart w:id="46" w:name="_Toc1272353104"/>
      <w:bookmarkStart w:id="47" w:name="_Toc188685639"/>
      <w:bookmarkStart w:id="48" w:name="_Toc669904728"/>
      <w:bookmarkStart w:id="49" w:name="_Toc737914585"/>
      <w:bookmarkStart w:id="50" w:name="_Toc1711787999"/>
      <w:r>
        <w:rPr>
          <w:rFonts w:hint="eastAsia"/>
          <w:color w:val="auto"/>
          <w:spacing w:val="-1"/>
          <w:sz w:val="28"/>
          <w:szCs w:val="28"/>
        </w:rPr>
        <w:t>设计依据</w:t>
      </w:r>
      <w:bookmarkEnd w:id="44"/>
      <w:bookmarkEnd w:id="45"/>
      <w:bookmarkEnd w:id="46"/>
      <w:bookmarkEnd w:id="47"/>
      <w:bookmarkEnd w:id="48"/>
      <w:bookmarkEnd w:id="49"/>
      <w:bookmarkEnd w:id="50"/>
    </w:p>
    <w:p>
      <w:pPr>
        <w:spacing w:before="240"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《深圳市龙岗</w:t>
      </w:r>
      <w:r>
        <w:rPr>
          <w:rFonts w:hint="eastAsia"/>
          <w:color w:val="auto"/>
          <w:sz w:val="24"/>
          <w:szCs w:val="20"/>
        </w:rPr>
        <w:t>区</w:t>
      </w:r>
      <w:r>
        <w:rPr>
          <w:color w:val="auto"/>
          <w:sz w:val="24"/>
          <w:szCs w:val="20"/>
        </w:rPr>
        <w:t>[</w:t>
      </w:r>
      <w:r>
        <w:rPr>
          <w:rFonts w:hint="eastAsia"/>
          <w:color w:val="auto"/>
          <w:sz w:val="24"/>
          <w:szCs w:val="20"/>
        </w:rPr>
        <w:t>下李朗</w:t>
      </w:r>
      <w:r>
        <w:rPr>
          <w:color w:val="auto"/>
          <w:sz w:val="24"/>
          <w:szCs w:val="20"/>
        </w:rPr>
        <w:t>-良安田地区]法定图则》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《深圳市城市规划标准与准则》（2021）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《深圳市建筑设计规则》（2019）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《深圳市普通中小学校建设标准指引》（2016）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《</w:t>
      </w:r>
      <w:r>
        <w:rPr>
          <w:rFonts w:hint="eastAsia"/>
          <w:color w:val="auto"/>
          <w:sz w:val="24"/>
          <w:szCs w:val="20"/>
        </w:rPr>
        <w:t>深圳市中小学建设试点项目关键技术指引</w:t>
      </w:r>
      <w:r>
        <w:rPr>
          <w:color w:val="auto"/>
          <w:sz w:val="24"/>
          <w:szCs w:val="20"/>
        </w:rPr>
        <w:t>》</w:t>
      </w:r>
      <w:r>
        <w:rPr>
          <w:rFonts w:hint="eastAsia"/>
          <w:color w:val="auto"/>
          <w:sz w:val="24"/>
          <w:szCs w:val="20"/>
        </w:rPr>
        <w:t>（</w:t>
      </w:r>
      <w:r>
        <w:rPr>
          <w:color w:val="auto"/>
          <w:sz w:val="24"/>
          <w:szCs w:val="20"/>
        </w:rPr>
        <w:t>2021</w:t>
      </w:r>
      <w:r>
        <w:rPr>
          <w:rFonts w:hint="eastAsia"/>
          <w:color w:val="auto"/>
          <w:sz w:val="24"/>
          <w:szCs w:val="20"/>
        </w:rPr>
        <w:t>）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《深圳市普通高中学校设计导则（试行）》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《建设项目机动车出入口开设技术指引》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《绿色建筑评价标准》（GB/T 50378-2019）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其它相关标准和规范。</w:t>
      </w:r>
      <w:bookmarkStart w:id="51" w:name="_bookmark16"/>
      <w:bookmarkEnd w:id="51"/>
      <w:bookmarkStart w:id="52" w:name="_bookmark17"/>
      <w:bookmarkEnd w:id="52"/>
      <w:bookmarkStart w:id="53" w:name="_Toc428777406"/>
      <w:bookmarkStart w:id="54" w:name="_Toc869548880"/>
      <w:bookmarkStart w:id="55" w:name="_Toc840628655"/>
      <w:bookmarkStart w:id="56" w:name="_Toc246460530"/>
    </w:p>
    <w:p>
      <w:pPr>
        <w:pStyle w:val="2"/>
        <w:ind w:left="0" w:firstLine="0"/>
        <w:rPr>
          <w:color w:val="auto"/>
        </w:rPr>
      </w:pPr>
    </w:p>
    <w:p>
      <w:pPr>
        <w:pStyle w:val="2"/>
        <w:ind w:left="0" w:firstLine="0"/>
        <w:rPr>
          <w:color w:val="auto"/>
        </w:rPr>
      </w:pPr>
    </w:p>
    <w:p>
      <w:pPr>
        <w:pStyle w:val="3"/>
        <w:numPr>
          <w:ilvl w:val="0"/>
          <w:numId w:val="2"/>
        </w:numPr>
        <w:tabs>
          <w:tab w:val="left" w:pos="299"/>
        </w:tabs>
        <w:ind w:hanging="179"/>
        <w:rPr>
          <w:color w:val="auto"/>
        </w:rPr>
      </w:pPr>
      <w:bookmarkStart w:id="57" w:name="_Toc1960192042_WPSOffice_Level1"/>
      <w:bookmarkStart w:id="58" w:name="_Toc1979485922"/>
      <w:bookmarkStart w:id="59" w:name="_Toc1195053329"/>
      <w:bookmarkStart w:id="60" w:name="_Toc414922852"/>
      <w:bookmarkStart w:id="61" w:name="_Toc181574657"/>
      <w:bookmarkStart w:id="62" w:name="_Toc743007517"/>
      <w:bookmarkStart w:id="63" w:name="_Toc1520785190"/>
      <w:bookmarkStart w:id="64" w:name="_Toc1149855342"/>
      <w:r>
        <w:rPr>
          <w:rFonts w:hint="eastAsia"/>
          <w:color w:val="auto"/>
          <w:spacing w:val="-1"/>
          <w:sz w:val="28"/>
          <w:szCs w:val="28"/>
        </w:rPr>
        <w:t>资格预审阶段成果文件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rFonts w:ascii="宋体" w:hAnsi="宋体" w:eastAsia="宋体" w:cs="宋体"/>
          <w:color w:val="auto"/>
          <w:sz w:val="24"/>
          <w:szCs w:val="20"/>
          <w:lang w:eastAsia="zh-TW"/>
        </w:rPr>
      </w:pPr>
      <w:bookmarkStart w:id="65" w:name="_Toc413393641"/>
      <w:bookmarkStart w:id="66" w:name="_Toc403231730"/>
      <w:r>
        <w:rPr>
          <w:color w:val="auto"/>
          <w:spacing w:val="-1"/>
          <w:lang w:eastAsia="zh-TW"/>
        </w:rPr>
        <w:t>概念提案展板</w:t>
      </w:r>
      <w:bookmarkEnd w:id="65"/>
      <w:bookmarkEnd w:id="66"/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  <w:lang w:eastAsia="zh-TW"/>
        </w:rPr>
        <w:t>2张A1规格（594mm×841mm）</w:t>
      </w:r>
      <w:r>
        <w:rPr>
          <w:rFonts w:hint="eastAsia"/>
          <w:color w:val="auto"/>
          <w:sz w:val="24"/>
          <w:szCs w:val="20"/>
        </w:rPr>
        <w:t>横版展板</w:t>
      </w:r>
      <w:r>
        <w:rPr>
          <w:rFonts w:hint="eastAsia"/>
          <w:color w:val="auto"/>
          <w:sz w:val="24"/>
          <w:szCs w:val="20"/>
          <w:lang w:eastAsia="zh-TW"/>
        </w:rPr>
        <w:t>，并于展板右上角标注写明</w:t>
      </w:r>
      <w:r>
        <w:rPr>
          <w:rFonts w:hint="eastAsia"/>
          <w:color w:val="auto"/>
          <w:sz w:val="24"/>
          <w:szCs w:val="20"/>
        </w:rPr>
        <w:t>提案</w:t>
      </w:r>
      <w:r>
        <w:rPr>
          <w:rFonts w:hint="eastAsia"/>
          <w:color w:val="auto"/>
          <w:sz w:val="24"/>
          <w:szCs w:val="20"/>
          <w:lang w:eastAsia="zh-TW"/>
        </w:rPr>
        <w:t>人名称。</w:t>
      </w:r>
      <w:r>
        <w:rPr>
          <w:rFonts w:hint="eastAsia"/>
          <w:color w:val="auto"/>
          <w:sz w:val="24"/>
          <w:szCs w:val="20"/>
          <w:lang w:eastAsia="zh-TW"/>
        </w:rPr>
        <w:t>内容构成（包括但不限于）</w:t>
      </w:r>
      <w:r>
        <w:rPr>
          <w:rFonts w:hint="eastAsia"/>
          <w:color w:val="auto"/>
          <w:sz w:val="24"/>
          <w:szCs w:val="20"/>
        </w:rPr>
        <w:t>：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  <w:lang w:eastAsia="zh-TW"/>
        </w:rPr>
      </w:pPr>
      <w:r>
        <w:rPr>
          <w:rFonts w:hint="eastAsia"/>
          <w:color w:val="auto"/>
          <w:sz w:val="24"/>
          <w:szCs w:val="20"/>
          <w:lang w:eastAsia="zh-TW"/>
        </w:rPr>
        <w:t>A.</w:t>
      </w:r>
      <w:r>
        <w:rPr>
          <w:rFonts w:hint="eastAsia"/>
          <w:color w:val="auto"/>
          <w:sz w:val="24"/>
          <w:szCs w:val="20"/>
        </w:rPr>
        <w:t>设计理念或愿景表达</w:t>
      </w:r>
      <w:r>
        <w:rPr>
          <w:rFonts w:hint="eastAsia"/>
          <w:color w:val="auto"/>
          <w:sz w:val="24"/>
          <w:szCs w:val="20"/>
          <w:lang w:eastAsia="zh-TW"/>
        </w:rPr>
        <w:t>；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  <w:lang w:eastAsia="zh-TW"/>
        </w:rPr>
      </w:pPr>
      <w:r>
        <w:rPr>
          <w:rFonts w:hint="eastAsia"/>
          <w:color w:val="auto"/>
          <w:sz w:val="24"/>
          <w:szCs w:val="20"/>
          <w:lang w:eastAsia="zh-TW"/>
        </w:rPr>
        <w:t>B.</w:t>
      </w:r>
      <w:r>
        <w:rPr>
          <w:rFonts w:hint="eastAsia"/>
          <w:color w:val="auto"/>
          <w:sz w:val="24"/>
          <w:szCs w:val="20"/>
        </w:rPr>
        <w:t>对铁路噪音的处理策略</w:t>
      </w:r>
      <w:r>
        <w:rPr>
          <w:rFonts w:hint="eastAsia"/>
          <w:color w:val="auto"/>
          <w:sz w:val="24"/>
          <w:szCs w:val="20"/>
        </w:rPr>
        <w:t>、对场地高差的处理、与市政道路的衔接策略</w:t>
      </w:r>
      <w:r>
        <w:rPr>
          <w:rFonts w:hint="eastAsia"/>
          <w:color w:val="auto"/>
          <w:sz w:val="24"/>
          <w:szCs w:val="20"/>
          <w:lang w:eastAsia="zh-TW"/>
        </w:rPr>
        <w:t>；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  <w:lang w:eastAsia="zh-TW"/>
        </w:rPr>
        <w:t>C.</w:t>
      </w:r>
      <w:r>
        <w:rPr>
          <w:rFonts w:hint="eastAsia"/>
          <w:color w:val="auto"/>
          <w:sz w:val="24"/>
          <w:szCs w:val="20"/>
        </w:rPr>
        <w:t>规划设计总平面图；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  <w:lang w:eastAsia="zh-TW"/>
        </w:rPr>
        <w:t>D</w:t>
      </w:r>
      <w:r>
        <w:rPr>
          <w:rFonts w:hint="eastAsia"/>
          <w:color w:val="auto"/>
          <w:sz w:val="24"/>
          <w:szCs w:val="20"/>
          <w:lang w:eastAsia="zh-TW"/>
        </w:rPr>
        <w:t>.</w:t>
      </w:r>
      <w:r>
        <w:rPr>
          <w:rFonts w:hint="eastAsia"/>
          <w:color w:val="auto"/>
          <w:sz w:val="24"/>
          <w:szCs w:val="20"/>
        </w:rPr>
        <w:t>总体效果概念表现图。</w:t>
      </w:r>
    </w:p>
    <w:p>
      <w:pPr>
        <w:pStyle w:val="2"/>
        <w:ind w:left="0" w:firstLine="0"/>
        <w:rPr>
          <w:b/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t>*</w:t>
      </w:r>
      <w:r>
        <w:rPr>
          <w:rFonts w:hint="eastAsia"/>
          <w:b/>
          <w:bCs/>
          <w:color w:val="auto"/>
          <w:sz w:val="18"/>
          <w:szCs w:val="18"/>
        </w:rPr>
        <w:t>不提倡使用商业效果图，建议注重方案概念表达。</w:t>
      </w:r>
    </w:p>
    <w:p>
      <w:pPr>
        <w:pStyle w:val="2"/>
        <w:ind w:left="0" w:firstLine="0"/>
        <w:rPr>
          <w:b/>
          <w:bCs/>
          <w:color w:val="auto"/>
          <w:sz w:val="18"/>
          <w:szCs w:val="18"/>
          <w:lang w:eastAsia="zh-TW"/>
        </w:rPr>
      </w:pP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rFonts w:ascii="宋体" w:hAnsi="宋体" w:eastAsia="宋体" w:cs="宋体"/>
          <w:color w:val="auto"/>
          <w:sz w:val="24"/>
          <w:szCs w:val="20"/>
          <w:lang w:eastAsia="zh-TW"/>
        </w:rPr>
      </w:pPr>
      <w:bookmarkStart w:id="67" w:name="_Toc1804779825"/>
      <w:bookmarkStart w:id="68" w:name="_Toc797326242"/>
      <w:r>
        <w:rPr>
          <w:color w:val="auto"/>
          <w:spacing w:val="-1"/>
          <w:lang w:eastAsia="zh-TW"/>
        </w:rPr>
        <w:t>概念提案要求</w:t>
      </w:r>
      <w:bookmarkEnd w:id="67"/>
      <w:bookmarkEnd w:id="68"/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>重点研究内容：场地内高差较大，需因地制宜充分考虑竖向设计的科学性；合理确定室外道路及场地环境的标高，合理交通流线组织，考虑如何与市政交通接驳；用地狭长，场地不规则，需合理考虑建筑布局；交通流线组织应明确清晰、互不干扰，满足使用要求；对学校定位、办学理念的理解；构建安全、独特的校园体验；</w:t>
      </w:r>
      <w:r>
        <w:rPr>
          <w:rFonts w:hint="eastAsia"/>
          <w:color w:val="auto"/>
          <w:sz w:val="24"/>
          <w:szCs w:val="20"/>
        </w:rPr>
        <w:t>对铁路噪音的处理策略。</w:t>
      </w:r>
    </w:p>
    <w:p>
      <w:pPr>
        <w:pStyle w:val="2"/>
        <w:rPr>
          <w:color w:val="auto"/>
          <w:lang w:eastAsia="zh-TW"/>
        </w:rPr>
      </w:pPr>
    </w:p>
    <w:p>
      <w:pPr>
        <w:pStyle w:val="201"/>
        <w:tabs>
          <w:tab w:val="left" w:pos="1070"/>
        </w:tabs>
        <w:spacing w:before="160"/>
        <w:ind w:left="539" w:firstLine="0"/>
        <w:jc w:val="both"/>
        <w:rPr>
          <w:color w:val="auto"/>
          <w:spacing w:val="-3"/>
          <w:sz w:val="21"/>
          <w:lang w:val="zh-TW" w:eastAsia="zh-TW"/>
        </w:rPr>
      </w:pPr>
    </w:p>
    <w:p>
      <w:pPr>
        <w:pStyle w:val="3"/>
        <w:numPr>
          <w:ilvl w:val="0"/>
          <w:numId w:val="2"/>
        </w:numPr>
        <w:tabs>
          <w:tab w:val="left" w:pos="299"/>
        </w:tabs>
        <w:ind w:hanging="179"/>
        <w:rPr>
          <w:color w:val="auto"/>
          <w:spacing w:val="-1"/>
          <w:sz w:val="28"/>
          <w:szCs w:val="28"/>
        </w:rPr>
      </w:pPr>
      <w:bookmarkStart w:id="69" w:name="_Toc2105744728"/>
      <w:bookmarkStart w:id="70" w:name="_Toc364192014"/>
      <w:bookmarkStart w:id="71" w:name="_Toc1510726349"/>
      <w:bookmarkStart w:id="72" w:name="_Toc1875488547"/>
      <w:r>
        <w:rPr>
          <w:rFonts w:hint="eastAsia"/>
          <w:color w:val="auto"/>
          <w:spacing w:val="-1"/>
          <w:sz w:val="28"/>
          <w:szCs w:val="28"/>
        </w:rPr>
        <w:t>方案评审阶段成果文件</w:t>
      </w:r>
      <w:bookmarkEnd w:id="69"/>
      <w:bookmarkEnd w:id="70"/>
      <w:bookmarkEnd w:id="71"/>
      <w:r>
        <w:rPr>
          <w:rFonts w:hint="eastAsia" w:eastAsiaTheme="minorEastAsia"/>
          <w:color w:val="auto"/>
          <w:spacing w:val="-1"/>
          <w:sz w:val="28"/>
          <w:szCs w:val="28"/>
        </w:rPr>
        <w:t>(待定)</w:t>
      </w:r>
      <w:bookmarkEnd w:id="72"/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  <w:lang w:eastAsia="zh-TW"/>
        </w:rPr>
      </w:pPr>
      <w:bookmarkStart w:id="73" w:name="_bookmark18"/>
      <w:bookmarkEnd w:id="73"/>
      <w:bookmarkStart w:id="74" w:name="_Toc571038763"/>
      <w:bookmarkStart w:id="75" w:name="_Toc1414070977_WPSOffice_Level1"/>
      <w:bookmarkStart w:id="76" w:name="_Toc1811383997_WPSOffice_Level1"/>
      <w:bookmarkStart w:id="77" w:name="_Toc646785348"/>
      <w:bookmarkStart w:id="78" w:name="_Toc1078589162"/>
      <w:bookmarkStart w:id="79" w:name="_Toc721140936"/>
      <w:bookmarkStart w:id="80" w:name="_Toc23181"/>
      <w:bookmarkStart w:id="81" w:name="_Toc7416"/>
      <w:r>
        <w:rPr>
          <w:rFonts w:hint="eastAsia"/>
          <w:color w:val="auto"/>
          <w:spacing w:val="-1"/>
          <w:lang w:eastAsia="zh-TW"/>
        </w:rPr>
        <w:t>设计内容</w:t>
      </w:r>
      <w:bookmarkEnd w:id="74"/>
      <w:bookmarkEnd w:id="75"/>
      <w:bookmarkEnd w:id="76"/>
      <w:bookmarkEnd w:id="77"/>
      <w:r>
        <w:rPr>
          <w:color w:val="auto"/>
          <w:spacing w:val="-1"/>
          <w:lang w:eastAsia="zh-TW"/>
        </w:rPr>
        <w:t xml:space="preserve"> </w:t>
      </w:r>
      <w:bookmarkEnd w:id="78"/>
      <w:bookmarkEnd w:id="79"/>
    </w:p>
    <w:p>
      <w:pPr>
        <w:spacing w:before="240"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rFonts w:hint="eastAsia"/>
          <w:color w:val="auto"/>
          <w:sz w:val="24"/>
          <w:szCs w:val="20"/>
        </w:rPr>
        <w:t xml:space="preserve">设计方案文本包括但不限于以下内容：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（1）概念生成分析图及设计说明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（2）总平面图（标明主要建筑名称、层数、出入口位置、景观绿地、标注建筑距离及各主要建筑物的相对标高等）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（3）主要平面、立面、剖面图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（4）竖向设计、交通组织（包含人流、车流及各功能分区间的流线通道、公共步行/慢行系统等相关设计说明）、无障碍设计、绿化设计、日照、消防等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（5）效果图（包括鸟瞰图、主要立面透视图、重要节点空间透视图、重要室内公共空间效果图等）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（6）绿色建筑设计、海绵城市、节能分析及主要材料等相关设计图纸及说明，页数不超过8页。 </w:t>
      </w:r>
    </w:p>
    <w:p>
      <w:pPr>
        <w:pStyle w:val="3"/>
        <w:numPr>
          <w:ilvl w:val="1"/>
          <w:numId w:val="2"/>
        </w:numPr>
        <w:tabs>
          <w:tab w:val="left" w:pos="1111"/>
          <w:tab w:val="left" w:pos="1112"/>
        </w:tabs>
        <w:spacing w:before="120" w:after="120"/>
        <w:rPr>
          <w:color w:val="auto"/>
          <w:spacing w:val="-1"/>
          <w:lang w:eastAsia="zh-TW"/>
        </w:rPr>
      </w:pPr>
      <w:bookmarkStart w:id="82" w:name="_Toc89389090_WPSOffice_Level1"/>
      <w:bookmarkStart w:id="83" w:name="_Toc2106606369"/>
      <w:bookmarkStart w:id="84" w:name="_Toc1965491331"/>
      <w:bookmarkStart w:id="85" w:name="_Toc938581407"/>
      <w:bookmarkStart w:id="86" w:name="_Toc1202657707_WPSOffice_Level1"/>
      <w:bookmarkStart w:id="87" w:name="_Toc344071298"/>
      <w:r>
        <w:rPr>
          <w:rFonts w:hint="eastAsia"/>
          <w:color w:val="auto"/>
          <w:spacing w:val="-1"/>
          <w:lang w:eastAsia="zh-TW"/>
        </w:rPr>
        <w:t>成果要求</w:t>
      </w:r>
      <w:bookmarkEnd w:id="82"/>
      <w:bookmarkEnd w:id="83"/>
      <w:bookmarkEnd w:id="84"/>
      <w:bookmarkEnd w:id="85"/>
      <w:bookmarkEnd w:id="86"/>
      <w:bookmarkEnd w:id="87"/>
    </w:p>
    <w:p>
      <w:pPr>
        <w:spacing w:before="240"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>投标阶段成果</w:t>
      </w:r>
      <w:r>
        <w:rPr>
          <w:rFonts w:hint="eastAsia"/>
          <w:color w:val="auto"/>
          <w:sz w:val="24"/>
          <w:szCs w:val="20"/>
        </w:rPr>
        <w:t>如下</w:t>
      </w:r>
      <w:r>
        <w:rPr>
          <w:color w:val="auto"/>
          <w:sz w:val="24"/>
          <w:szCs w:val="20"/>
        </w:rPr>
        <w:t>：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（1）A1展板；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（2）方案设计文本； </w:t>
      </w:r>
    </w:p>
    <w:p>
      <w:pPr>
        <w:spacing w:line="360" w:lineRule="auto"/>
        <w:ind w:firstLine="480"/>
        <w:jc w:val="both"/>
        <w:rPr>
          <w:color w:val="auto"/>
          <w:sz w:val="24"/>
          <w:szCs w:val="20"/>
        </w:rPr>
      </w:pPr>
      <w:r>
        <w:rPr>
          <w:color w:val="auto"/>
          <w:sz w:val="24"/>
          <w:szCs w:val="20"/>
        </w:rPr>
        <w:t xml:space="preserve">（3）多媒体演示文件； </w:t>
      </w:r>
      <w:bookmarkEnd w:id="80"/>
      <w:bookmarkEnd w:id="81"/>
    </w:p>
    <w:p>
      <w:pPr>
        <w:spacing w:line="360" w:lineRule="auto"/>
        <w:jc w:val="both"/>
        <w:rPr>
          <w:b/>
          <w:bCs/>
          <w:color w:val="auto"/>
          <w:sz w:val="18"/>
          <w:szCs w:val="18"/>
        </w:rPr>
      </w:pPr>
      <w:r>
        <w:rPr>
          <w:rFonts w:hint="eastAsia"/>
          <w:b/>
          <w:bCs/>
          <w:color w:val="auto"/>
          <w:sz w:val="18"/>
          <w:szCs w:val="18"/>
        </w:rPr>
        <w:t>*</w:t>
      </w:r>
      <w:r>
        <w:rPr>
          <w:b/>
          <w:bCs/>
          <w:color w:val="auto"/>
          <w:sz w:val="18"/>
          <w:szCs w:val="18"/>
        </w:rPr>
        <w:t>方案评审阶段成果文件</w:t>
      </w:r>
      <w:r>
        <w:rPr>
          <w:rFonts w:hint="eastAsia"/>
          <w:b/>
          <w:bCs/>
          <w:color w:val="auto"/>
          <w:sz w:val="18"/>
          <w:szCs w:val="18"/>
        </w:rPr>
        <w:t>为暂定内容，实际要求以招标文件及设计任务书（方案设计阶段）为准。</w:t>
      </w:r>
    </w:p>
    <w:p>
      <w:pPr>
        <w:pStyle w:val="2"/>
        <w:ind w:left="0" w:firstLine="0"/>
        <w:rPr>
          <w:color w:val="auto"/>
        </w:rPr>
      </w:pPr>
    </w:p>
    <w:p>
      <w:pPr>
        <w:pStyle w:val="2"/>
        <w:ind w:left="0" w:firstLine="0"/>
        <w:rPr>
          <w:color w:val="auto"/>
        </w:rPr>
      </w:pPr>
    </w:p>
    <w:p>
      <w:pPr>
        <w:pStyle w:val="3"/>
        <w:numPr>
          <w:ilvl w:val="0"/>
          <w:numId w:val="2"/>
        </w:numPr>
        <w:tabs>
          <w:tab w:val="left" w:pos="299"/>
        </w:tabs>
        <w:ind w:hanging="179"/>
        <w:rPr>
          <w:color w:val="auto"/>
          <w:spacing w:val="-1"/>
          <w:sz w:val="28"/>
          <w:szCs w:val="28"/>
        </w:rPr>
      </w:pPr>
      <w:bookmarkStart w:id="88" w:name="_Toc170355694"/>
      <w:bookmarkStart w:id="89" w:name="_Toc1780327762"/>
      <w:bookmarkStart w:id="90" w:name="_Toc303754364"/>
      <w:r>
        <w:rPr>
          <w:rFonts w:hint="eastAsia"/>
          <w:color w:val="auto"/>
          <w:spacing w:val="-1"/>
          <w:sz w:val="28"/>
          <w:szCs w:val="28"/>
        </w:rPr>
        <w:t>附件</w:t>
      </w:r>
      <w:bookmarkEnd w:id="53"/>
      <w:bookmarkEnd w:id="54"/>
      <w:bookmarkEnd w:id="55"/>
      <w:bookmarkEnd w:id="56"/>
      <w:bookmarkEnd w:id="88"/>
      <w:bookmarkEnd w:id="89"/>
      <w:bookmarkEnd w:id="90"/>
      <w:bookmarkStart w:id="91" w:name="_bookmark25"/>
      <w:bookmarkEnd w:id="91"/>
    </w:p>
    <w:p>
      <w:pPr>
        <w:spacing w:line="360" w:lineRule="auto"/>
        <w:ind w:firstLine="720"/>
        <w:rPr>
          <w:color w:val="auto"/>
        </w:rPr>
      </w:pPr>
      <w:bookmarkStart w:id="92" w:name="_bookmark26"/>
      <w:bookmarkEnd w:id="92"/>
      <w:bookmarkStart w:id="93" w:name="_Toc1977869121_WPSOffice_Level1"/>
      <w:bookmarkStart w:id="94" w:name="_Toc2027847947_WPSOffice_Level1"/>
      <w:bookmarkStart w:id="95" w:name="_Toc2092299801_WPSOffice_Level1"/>
      <w:r>
        <w:rPr>
          <w:color w:val="auto"/>
        </w:rPr>
        <w:t>6</w:t>
      </w:r>
      <w:r>
        <w:rPr>
          <w:color w:val="auto"/>
        </w:rPr>
        <w:t xml:space="preserve">.1 </w:t>
      </w:r>
      <w:r>
        <w:rPr>
          <w:color w:val="auto"/>
        </w:rPr>
        <w:t xml:space="preserve"> 市第二十九高用地红线（国家 2000 大地坐标系）</w:t>
      </w:r>
      <w:bookmarkEnd w:id="93"/>
      <w:bookmarkEnd w:id="94"/>
      <w:bookmarkEnd w:id="95"/>
    </w:p>
    <w:p>
      <w:pPr>
        <w:spacing w:line="360" w:lineRule="auto"/>
        <w:ind w:firstLine="720"/>
        <w:rPr>
          <w:color w:val="auto"/>
        </w:rPr>
      </w:pPr>
      <w:bookmarkStart w:id="96" w:name="_Toc1474967339_WPSOffice_Level1"/>
      <w:bookmarkStart w:id="97" w:name="_Toc1146944734_WPSOffice_Level1"/>
      <w:bookmarkStart w:id="98" w:name="_Toc238035782_WPSOffice_Level1"/>
      <w:r>
        <w:rPr>
          <w:color w:val="auto"/>
        </w:rPr>
        <w:t>6</w:t>
      </w:r>
      <w:r>
        <w:rPr>
          <w:color w:val="auto"/>
        </w:rPr>
        <w:t xml:space="preserve">.2 </w:t>
      </w:r>
      <w:r>
        <w:rPr>
          <w:color w:val="auto"/>
        </w:rPr>
        <w:t xml:space="preserve">  1：500地形图（国家 2000 大地坐标系）</w:t>
      </w:r>
      <w:bookmarkEnd w:id="96"/>
      <w:bookmarkEnd w:id="97"/>
      <w:bookmarkEnd w:id="98"/>
    </w:p>
    <w:p>
      <w:pPr>
        <w:spacing w:line="360" w:lineRule="auto"/>
        <w:ind w:firstLine="720"/>
        <w:rPr>
          <w:color w:val="auto"/>
        </w:rPr>
      </w:pPr>
      <w:bookmarkStart w:id="99" w:name="_Toc886928866_WPSOffice_Level1"/>
      <w:bookmarkStart w:id="100" w:name="_Toc1372329252_WPSOffice_Level1"/>
      <w:bookmarkStart w:id="101" w:name="_Toc2052837360_WPSOffice_Level1"/>
      <w:r>
        <w:rPr>
          <w:color w:val="auto"/>
        </w:rPr>
        <w:t>6</w:t>
      </w:r>
      <w:r>
        <w:rPr>
          <w:color w:val="auto"/>
        </w:rPr>
        <w:t xml:space="preserve">.3 </w:t>
      </w:r>
      <w:r>
        <w:rPr>
          <w:color w:val="auto"/>
        </w:rPr>
        <w:t xml:space="preserve"> 物探资料 </w:t>
      </w:r>
      <w:bookmarkEnd w:id="99"/>
      <w:bookmarkEnd w:id="100"/>
      <w:bookmarkEnd w:id="101"/>
    </w:p>
    <w:p>
      <w:pPr>
        <w:spacing w:line="360" w:lineRule="auto"/>
        <w:ind w:firstLine="720"/>
        <w:rPr>
          <w:color w:val="auto"/>
        </w:rPr>
      </w:pPr>
      <w:bookmarkStart w:id="102" w:name="_bookmark28"/>
      <w:bookmarkEnd w:id="102"/>
      <w:bookmarkStart w:id="103" w:name="_bookmark27"/>
      <w:bookmarkEnd w:id="103"/>
      <w:bookmarkStart w:id="104" w:name="_Toc1198307581_WPSOffice_Level1"/>
      <w:bookmarkStart w:id="105" w:name="_Toc1754067682_WPSOffice_Level1"/>
      <w:bookmarkStart w:id="106" w:name="_Toc1320979354_WPSOffice_Level1"/>
      <w:r>
        <w:rPr>
          <w:color w:val="auto"/>
        </w:rPr>
        <w:t>6</w:t>
      </w:r>
      <w:r>
        <w:rPr>
          <w:color w:val="auto"/>
        </w:rPr>
        <w:t xml:space="preserve">.4 </w:t>
      </w:r>
      <w:r>
        <w:rPr>
          <w:color w:val="auto"/>
        </w:rPr>
        <w:t xml:space="preserve"> 深圳市龙岗[</w:t>
      </w:r>
      <w:r>
        <w:rPr>
          <w:rFonts w:hint="eastAsia"/>
          <w:color w:val="auto"/>
        </w:rPr>
        <w:t>下李朗</w:t>
      </w:r>
      <w:r>
        <w:rPr>
          <w:color w:val="auto"/>
        </w:rPr>
        <w:t>-良安田地区]法定图则</w:t>
      </w:r>
      <w:bookmarkEnd w:id="104"/>
      <w:bookmarkEnd w:id="105"/>
      <w:bookmarkEnd w:id="106"/>
    </w:p>
    <w:p>
      <w:pPr>
        <w:spacing w:line="360" w:lineRule="auto"/>
        <w:ind w:firstLine="720"/>
        <w:rPr>
          <w:color w:val="auto"/>
        </w:rPr>
      </w:pPr>
      <w:bookmarkStart w:id="107" w:name="_Toc2107509005_WPSOffice_Level1"/>
      <w:bookmarkStart w:id="108" w:name="_Toc1014059992_WPSOffice_Level1"/>
      <w:bookmarkStart w:id="109" w:name="_Toc853872301_WPSOffice_Level1"/>
      <w:r>
        <w:rPr>
          <w:color w:val="auto"/>
        </w:rPr>
        <w:t>6</w:t>
      </w:r>
      <w:r>
        <w:rPr>
          <w:color w:val="auto"/>
        </w:rPr>
        <w:t xml:space="preserve">.5 </w:t>
      </w:r>
      <w:r>
        <w:rPr>
          <w:color w:val="auto"/>
        </w:rPr>
        <w:t xml:space="preserve"> 航拍资料（航拍、全景 360、透视图、现场照片）</w:t>
      </w:r>
      <w:bookmarkEnd w:id="107"/>
      <w:bookmarkEnd w:id="108"/>
      <w:bookmarkEnd w:id="109"/>
      <w:r>
        <w:rPr>
          <w:color w:val="auto"/>
        </w:rPr>
        <w:t xml:space="preserve"> </w:t>
      </w:r>
    </w:p>
    <w:p>
      <w:pPr>
        <w:spacing w:line="360" w:lineRule="auto"/>
        <w:ind w:firstLine="720"/>
        <w:rPr>
          <w:color w:val="auto"/>
        </w:rPr>
      </w:pPr>
      <w:bookmarkStart w:id="110" w:name="_Toc876062952_WPSOffice_Level1"/>
      <w:bookmarkStart w:id="111" w:name="_Toc1546033653_WPSOffice_Level1"/>
      <w:bookmarkStart w:id="112" w:name="_Toc308573417_WPSOffice_Level1"/>
      <w:r>
        <w:rPr>
          <w:color w:val="auto"/>
        </w:rPr>
        <w:t>6</w:t>
      </w:r>
      <w:r>
        <w:rPr>
          <w:color w:val="auto"/>
        </w:rPr>
        <w:t xml:space="preserve">.6 </w:t>
      </w:r>
      <w:r>
        <w:rPr>
          <w:color w:val="auto"/>
        </w:rPr>
        <w:t xml:space="preserve"> 《深圳市中小学建设试点项目关键技术指引》（2021</w:t>
      </w:r>
      <w:r>
        <w:rPr>
          <w:rFonts w:hint="eastAsia"/>
          <w:color w:val="auto"/>
        </w:rPr>
        <w:t>）</w:t>
      </w:r>
      <w:bookmarkEnd w:id="110"/>
      <w:bookmarkEnd w:id="111"/>
      <w:bookmarkEnd w:id="112"/>
    </w:p>
    <w:p>
      <w:pPr>
        <w:pStyle w:val="2"/>
        <w:ind w:left="0" w:firstLine="720"/>
        <w:rPr>
          <w:color w:val="auto"/>
        </w:rPr>
      </w:pPr>
      <w:r>
        <w:rPr>
          <w:color w:val="auto"/>
        </w:rPr>
        <w:t>6</w:t>
      </w:r>
      <w:r>
        <w:rPr>
          <w:color w:val="auto"/>
        </w:rPr>
        <w:t>.7 《深圳市普通高中学校设计导则（试行）》</w:t>
      </w:r>
    </w:p>
    <w:p>
      <w:pPr>
        <w:spacing w:line="360" w:lineRule="auto"/>
        <w:ind w:firstLine="720"/>
        <w:rPr>
          <w:color w:val="auto"/>
        </w:rPr>
      </w:pPr>
      <w:r>
        <w:rPr>
          <w:color w:val="auto"/>
        </w:rPr>
        <w:t>6</w:t>
      </w:r>
      <w:r>
        <w:rPr>
          <w:color w:val="auto"/>
        </w:rPr>
        <w:t xml:space="preserve">.8  </w:t>
      </w:r>
      <w:r>
        <w:rPr>
          <w:rFonts w:hint="eastAsia"/>
          <w:color w:val="auto"/>
        </w:rPr>
        <w:t>铁运路道路平面总图</w:t>
      </w:r>
    </w:p>
    <w:p>
      <w:pPr>
        <w:pStyle w:val="2"/>
        <w:ind w:left="0" w:firstLine="0"/>
        <w:rPr>
          <w:color w:val="auto"/>
        </w:rPr>
      </w:pPr>
    </w:p>
    <w:sectPr>
      <w:pgSz w:w="11910" w:h="16840"/>
      <w:pgMar w:top="1360" w:right="1680" w:bottom="1460" w:left="1680" w:header="0" w:footer="1265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pple sd gothic neo">
    <w:altName w:val="Malgun Gothic"/>
    <w:panose1 w:val="02000300000000000000"/>
    <w:charset w:val="81"/>
    <w:family w:val="auto"/>
    <w:pitch w:val="default"/>
    <w:sig w:usb0="00000000" w:usb1="00000000" w:usb2="00000010" w:usb3="00000000" w:csb0="00280005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6313170</wp:posOffset>
              </wp:positionH>
              <wp:positionV relativeFrom="page">
                <wp:posOffset>9748520</wp:posOffset>
              </wp:positionV>
              <wp:extent cx="143510" cy="173990"/>
              <wp:effectExtent l="0" t="0" r="0" b="0"/>
              <wp:wrapNone/>
              <wp:docPr id="9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4351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5"/>
                            <w:spacing w:before="12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left:497.1pt;margin-top:767.6pt;height:13.7pt;width:11.3pt;mso-position-horizontal-relative:page;mso-position-vertical-relative:page;z-index:-251657216;mso-width-relative:page;mso-height-relative:page;" filled="f" stroked="f" coordsize="21600,21600" o:gfxdata="UEsDBAoAAAAAAIdO4kAAAAAAAAAAAAAAAAAEAAAAZHJzL1BLAwQUAAAACACHTuJAVzM9/9wAAAAO&#10;AQAADwAAAGRycy9kb3ducmV2LnhtbE2PzU7DMBCE70i8g7VI3KidQKMmjVMhflSO0CKV3tzYJBH2&#10;OordpvD0bE5w290ZzX5Trs7OspMZQudRQjITwAzWXnfYSHjfPt8sgIWoUCvr0Uj4NgFW1eVFqQrt&#10;R3wzp01sGIVgKJSENsa+4DzUrXEqzHxvkLRPPzgVaR0argc1UrizPBUi4051SB9a1ZuH1tRfm6OT&#10;sF709x8v/mds7NN+vXvd5Y/bPEp5fZWIJbBozvHPDBM+oUNFTAd/RB2YlZDndylZSZjfzmmaLCLJ&#10;qM5humVpBrwq+f8a1S9QSwMEFAAAAAgAh07iQAx8cy3BAQAAggMAAA4AAABkcnMvZTJvRG9jLnht&#10;bK1TS27bMBDdF+gdCO5rWUl/FixnY6Qo0E+AtAegKMoiwF9naEs+TYHueogep+g1MqRkt0k2WXRD&#10;DGeGb+a9Ga6vRmvYQQFq72peLpacKSd9q92u5l+/XL94yxlG4VphvFM1PyrkV5vnz9ZDqNSF771p&#10;FTACcVgNoeZ9jKEqCpS9sgIXPihHwc6DFZGusCtaEAOhW1NcLJevi8FDG8BLhUje7RTkMyI8BdB3&#10;nZZq6+XeKhcnVFBGRKKEvQ7IN7nbrlMyfu46VJGZmhPTmE8qQnaTzmKzFtUOROi1nFsQT2nhAScr&#10;tKOiZ6itiILtQT+CslqCR9/FhfS2mIhkRYhFuXygzW0vgspcSGoMZ9Hx/8HKT4cbYLqt+YozJywN&#10;/M/3n79//WBl0mYIWFHKbbiB+YZksmb46FtKFfvoM+2xA5voEyE2ZnWPZ3XVGJkkZ/ny8lVJuksK&#10;lW8uV6usfiGq0+MAGN8pb1kyag40vAwuDh8wUnlKPaWkWs5fa2PyAI2756DEyaPyBsyvE5fU/cQq&#10;js04U2p8eyRSA21BzfHbXoDizLx3JHNamZMBJ6OZjdRSAqXR5ObmNUqz//ees/5+nc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zM9/9wAAAAOAQAADwAAAAAAAAABACAAAAAiAAAAZHJzL2Rvd25y&#10;ZXYueG1sUEsBAhQAFAAAAAgAh07iQAx8cy3BAQAAggMAAA4AAAAAAAAAAQAgAAAAK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5"/>
                      <w:spacing w:before="12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C93E17"/>
    <w:multiLevelType w:val="multilevel"/>
    <w:tmpl w:val="61C93E17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1C93E22"/>
    <w:multiLevelType w:val="multilevel"/>
    <w:tmpl w:val="61C93E22"/>
    <w:lvl w:ilvl="0" w:tentative="0">
      <w:start w:val="1"/>
      <w:numFmt w:val="decimal"/>
      <w:lvlText w:val="%1"/>
      <w:lvlJc w:val="left"/>
      <w:pPr>
        <w:ind w:left="298" w:hanging="178"/>
        <w:jc w:val="left"/>
      </w:pPr>
      <w:rPr>
        <w:rFonts w:hint="default" w:ascii="Microsoft JhengHei" w:hAnsi="Microsoft JhengHei" w:eastAsia="Microsoft JhengHei" w:cs="Microsoft JhengHei"/>
        <w:b/>
        <w:bCs/>
        <w:sz w:val="22"/>
        <w:szCs w:val="22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1111" w:hanging="567"/>
        <w:jc w:val="left"/>
      </w:pPr>
      <w:rPr>
        <w:rFonts w:hint="default" w:ascii="Microsoft JhengHei" w:hAnsi="Microsoft JhengHei" w:eastAsia="Microsoft JhengHei" w:cs="Microsoft JhengHei"/>
        <w:b/>
        <w:bCs/>
        <w:sz w:val="22"/>
        <w:szCs w:val="22"/>
        <w:lang w:val="en-US" w:eastAsia="zh-CN" w:bidi="ar-SA"/>
      </w:rPr>
    </w:lvl>
    <w:lvl w:ilvl="2" w:tentative="0">
      <w:start w:val="1"/>
      <w:numFmt w:val="bullet"/>
      <w:lvlText w:val="•"/>
      <w:lvlJc w:val="left"/>
      <w:pPr>
        <w:ind w:left="1120" w:hanging="567"/>
      </w:pPr>
      <w:rPr>
        <w:rFonts w:hint="default"/>
        <w:lang w:val="en-US" w:eastAsia="zh-CN" w:bidi="ar-SA"/>
      </w:rPr>
    </w:lvl>
    <w:lvl w:ilvl="3" w:tentative="0">
      <w:start w:val="1"/>
      <w:numFmt w:val="bullet"/>
      <w:lvlText w:val="•"/>
      <w:lvlJc w:val="left"/>
      <w:pPr>
        <w:ind w:left="2048" w:hanging="567"/>
      </w:pPr>
      <w:rPr>
        <w:rFonts w:hint="default"/>
        <w:lang w:val="en-US" w:eastAsia="zh-CN" w:bidi="ar-SA"/>
      </w:rPr>
    </w:lvl>
    <w:lvl w:ilvl="4" w:tentative="0">
      <w:start w:val="1"/>
      <w:numFmt w:val="bullet"/>
      <w:lvlText w:val="•"/>
      <w:lvlJc w:val="left"/>
      <w:pPr>
        <w:ind w:left="2976" w:hanging="567"/>
      </w:pPr>
      <w:rPr>
        <w:rFonts w:hint="default"/>
        <w:lang w:val="en-US" w:eastAsia="zh-CN" w:bidi="ar-SA"/>
      </w:rPr>
    </w:lvl>
    <w:lvl w:ilvl="5" w:tentative="0">
      <w:start w:val="1"/>
      <w:numFmt w:val="bullet"/>
      <w:lvlText w:val="•"/>
      <w:lvlJc w:val="left"/>
      <w:pPr>
        <w:ind w:left="3904" w:hanging="567"/>
      </w:pPr>
      <w:rPr>
        <w:rFonts w:hint="default"/>
        <w:lang w:val="en-US" w:eastAsia="zh-CN" w:bidi="ar-SA"/>
      </w:rPr>
    </w:lvl>
    <w:lvl w:ilvl="6" w:tentative="0">
      <w:start w:val="1"/>
      <w:numFmt w:val="bullet"/>
      <w:lvlText w:val="•"/>
      <w:lvlJc w:val="left"/>
      <w:pPr>
        <w:ind w:left="4833" w:hanging="567"/>
      </w:pPr>
      <w:rPr>
        <w:rFonts w:hint="default"/>
        <w:lang w:val="en-US" w:eastAsia="zh-CN" w:bidi="ar-SA"/>
      </w:rPr>
    </w:lvl>
    <w:lvl w:ilvl="7" w:tentative="0">
      <w:start w:val="1"/>
      <w:numFmt w:val="bullet"/>
      <w:lvlText w:val="•"/>
      <w:lvlJc w:val="left"/>
      <w:pPr>
        <w:ind w:left="5761" w:hanging="567"/>
      </w:pPr>
      <w:rPr>
        <w:rFonts w:hint="default"/>
        <w:lang w:val="en-US" w:eastAsia="zh-CN" w:bidi="ar-SA"/>
      </w:rPr>
    </w:lvl>
    <w:lvl w:ilvl="8" w:tentative="0">
      <w:start w:val="1"/>
      <w:numFmt w:val="bullet"/>
      <w:lvlText w:val="•"/>
      <w:lvlJc w:val="left"/>
      <w:pPr>
        <w:ind w:left="6689" w:hanging="567"/>
      </w:pPr>
      <w:rPr>
        <w:rFonts w:hint="default"/>
        <w:lang w:val="en-US" w:eastAsia="zh-CN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BD"/>
    <w:rsid w:val="000D0A26"/>
    <w:rsid w:val="000E0B23"/>
    <w:rsid w:val="000F4D0B"/>
    <w:rsid w:val="002E03F0"/>
    <w:rsid w:val="004B53BC"/>
    <w:rsid w:val="00630DC3"/>
    <w:rsid w:val="007A72C3"/>
    <w:rsid w:val="009C2E33"/>
    <w:rsid w:val="009E78BD"/>
    <w:rsid w:val="00B57D0D"/>
    <w:rsid w:val="00BC6120"/>
    <w:rsid w:val="00BF6D5B"/>
    <w:rsid w:val="00D326E5"/>
    <w:rsid w:val="00EF6C4F"/>
    <w:rsid w:val="04CF2066"/>
    <w:rsid w:val="0D5E4160"/>
    <w:rsid w:val="0EB907B9"/>
    <w:rsid w:val="0F9FC4DF"/>
    <w:rsid w:val="0FDC0467"/>
    <w:rsid w:val="0FDC093B"/>
    <w:rsid w:val="14817525"/>
    <w:rsid w:val="17ADCAA1"/>
    <w:rsid w:val="17CFD3FF"/>
    <w:rsid w:val="17FB7A44"/>
    <w:rsid w:val="19FD9A0E"/>
    <w:rsid w:val="1A0D4FB9"/>
    <w:rsid w:val="1A5B77AF"/>
    <w:rsid w:val="1B72B575"/>
    <w:rsid w:val="1D24609C"/>
    <w:rsid w:val="1D2DC961"/>
    <w:rsid w:val="1D7FAAD7"/>
    <w:rsid w:val="1DF342E2"/>
    <w:rsid w:val="1F6F7D7B"/>
    <w:rsid w:val="1F74494F"/>
    <w:rsid w:val="1FFB5C46"/>
    <w:rsid w:val="1FFED3FF"/>
    <w:rsid w:val="26BF98F1"/>
    <w:rsid w:val="26DB705A"/>
    <w:rsid w:val="27B6AC0F"/>
    <w:rsid w:val="27B75C7D"/>
    <w:rsid w:val="28FD0F6A"/>
    <w:rsid w:val="2A3E8670"/>
    <w:rsid w:val="2DECCEF8"/>
    <w:rsid w:val="2DEE380E"/>
    <w:rsid w:val="2E7A2D12"/>
    <w:rsid w:val="2F9E8E57"/>
    <w:rsid w:val="2FB3679B"/>
    <w:rsid w:val="2FCBC5F0"/>
    <w:rsid w:val="2FDAA01E"/>
    <w:rsid w:val="2FFFB24E"/>
    <w:rsid w:val="317B3359"/>
    <w:rsid w:val="33EF1F71"/>
    <w:rsid w:val="33F4313B"/>
    <w:rsid w:val="34F73BBD"/>
    <w:rsid w:val="35BBB4F4"/>
    <w:rsid w:val="36A9C4F3"/>
    <w:rsid w:val="36F5B871"/>
    <w:rsid w:val="36FF1D81"/>
    <w:rsid w:val="373E0D9A"/>
    <w:rsid w:val="37DFD602"/>
    <w:rsid w:val="37EF25BF"/>
    <w:rsid w:val="38FB5E0B"/>
    <w:rsid w:val="38FFFFED"/>
    <w:rsid w:val="39BFFB82"/>
    <w:rsid w:val="39D501EC"/>
    <w:rsid w:val="39FE59B7"/>
    <w:rsid w:val="3B76A799"/>
    <w:rsid w:val="3B8FDDD2"/>
    <w:rsid w:val="3BEF53C3"/>
    <w:rsid w:val="3BF724AE"/>
    <w:rsid w:val="3BFE19AB"/>
    <w:rsid w:val="3CD20314"/>
    <w:rsid w:val="3CEFC4EE"/>
    <w:rsid w:val="3D3FE792"/>
    <w:rsid w:val="3D798E8E"/>
    <w:rsid w:val="3DA7EBE1"/>
    <w:rsid w:val="3DD7B84E"/>
    <w:rsid w:val="3DF506F6"/>
    <w:rsid w:val="3DF63A43"/>
    <w:rsid w:val="3DF64416"/>
    <w:rsid w:val="3DFD4391"/>
    <w:rsid w:val="3DFFF79B"/>
    <w:rsid w:val="3EAFF5FA"/>
    <w:rsid w:val="3EFE7496"/>
    <w:rsid w:val="3EFFE017"/>
    <w:rsid w:val="3F7CB91D"/>
    <w:rsid w:val="3FA3788F"/>
    <w:rsid w:val="3FAE6FC1"/>
    <w:rsid w:val="3FB3AD72"/>
    <w:rsid w:val="3FDB9EB7"/>
    <w:rsid w:val="3FDBD4D6"/>
    <w:rsid w:val="3FDE280C"/>
    <w:rsid w:val="3FDF9985"/>
    <w:rsid w:val="3FEC2F96"/>
    <w:rsid w:val="3FF44759"/>
    <w:rsid w:val="3FFB0AE4"/>
    <w:rsid w:val="3FFB78D2"/>
    <w:rsid w:val="3FFDE380"/>
    <w:rsid w:val="45FD2ED2"/>
    <w:rsid w:val="46578E39"/>
    <w:rsid w:val="472FB2ED"/>
    <w:rsid w:val="47A7F932"/>
    <w:rsid w:val="47DD2575"/>
    <w:rsid w:val="47FF2BBC"/>
    <w:rsid w:val="4A6760C0"/>
    <w:rsid w:val="4BABAFF6"/>
    <w:rsid w:val="4BD24D1B"/>
    <w:rsid w:val="4BFF825B"/>
    <w:rsid w:val="4CB90FD3"/>
    <w:rsid w:val="4CC78E29"/>
    <w:rsid w:val="4CFDB777"/>
    <w:rsid w:val="4CFE1B8B"/>
    <w:rsid w:val="4D0FE43B"/>
    <w:rsid w:val="4DF78BB8"/>
    <w:rsid w:val="4F3CC0D2"/>
    <w:rsid w:val="4F46352C"/>
    <w:rsid w:val="4F4F0BE1"/>
    <w:rsid w:val="4FBF265F"/>
    <w:rsid w:val="4FDB167B"/>
    <w:rsid w:val="4FEBC971"/>
    <w:rsid w:val="5295274C"/>
    <w:rsid w:val="52C7A8CC"/>
    <w:rsid w:val="53B9B3E0"/>
    <w:rsid w:val="53FB2DA7"/>
    <w:rsid w:val="53FFB6B5"/>
    <w:rsid w:val="554751F6"/>
    <w:rsid w:val="55CD4C64"/>
    <w:rsid w:val="56FFCF65"/>
    <w:rsid w:val="577B969C"/>
    <w:rsid w:val="577E474A"/>
    <w:rsid w:val="577EAB9F"/>
    <w:rsid w:val="577F269E"/>
    <w:rsid w:val="57DF4569"/>
    <w:rsid w:val="57FF4692"/>
    <w:rsid w:val="58F7978E"/>
    <w:rsid w:val="595B828D"/>
    <w:rsid w:val="5A4D159E"/>
    <w:rsid w:val="5A7D9B2B"/>
    <w:rsid w:val="5AFF858D"/>
    <w:rsid w:val="5B72A68C"/>
    <w:rsid w:val="5B7F11ED"/>
    <w:rsid w:val="5B9E148D"/>
    <w:rsid w:val="5BDBF4A4"/>
    <w:rsid w:val="5CC6C28F"/>
    <w:rsid w:val="5CFE732C"/>
    <w:rsid w:val="5D1FC0FA"/>
    <w:rsid w:val="5D3BDF21"/>
    <w:rsid w:val="5DBE7AA9"/>
    <w:rsid w:val="5DDFA7D8"/>
    <w:rsid w:val="5DEA76D0"/>
    <w:rsid w:val="5DFFAFA4"/>
    <w:rsid w:val="5DFFF4F6"/>
    <w:rsid w:val="5E1E902C"/>
    <w:rsid w:val="5E6545DA"/>
    <w:rsid w:val="5EAF356C"/>
    <w:rsid w:val="5EDF0508"/>
    <w:rsid w:val="5F59476D"/>
    <w:rsid w:val="5F79DF07"/>
    <w:rsid w:val="5FABDDDD"/>
    <w:rsid w:val="5FAE2B69"/>
    <w:rsid w:val="5FBFD262"/>
    <w:rsid w:val="5FDF86A6"/>
    <w:rsid w:val="5FF335EB"/>
    <w:rsid w:val="5FFE5E29"/>
    <w:rsid w:val="5FFF0B4D"/>
    <w:rsid w:val="5FFF8847"/>
    <w:rsid w:val="5FFFBBC0"/>
    <w:rsid w:val="62AF75B7"/>
    <w:rsid w:val="649708AB"/>
    <w:rsid w:val="65B7E50A"/>
    <w:rsid w:val="65ED281B"/>
    <w:rsid w:val="666FBE28"/>
    <w:rsid w:val="66DE484B"/>
    <w:rsid w:val="676F96B1"/>
    <w:rsid w:val="676FE8A0"/>
    <w:rsid w:val="677D69C9"/>
    <w:rsid w:val="6AFC8CA4"/>
    <w:rsid w:val="6B7B8397"/>
    <w:rsid w:val="6BBF5EDA"/>
    <w:rsid w:val="6BCB1FF4"/>
    <w:rsid w:val="6BEF01EC"/>
    <w:rsid w:val="6BF7484B"/>
    <w:rsid w:val="6BFBED8F"/>
    <w:rsid w:val="6BFE4AC3"/>
    <w:rsid w:val="6C7F51E0"/>
    <w:rsid w:val="6E6E541D"/>
    <w:rsid w:val="6E8862F6"/>
    <w:rsid w:val="6EB6161D"/>
    <w:rsid w:val="6EF98519"/>
    <w:rsid w:val="6F533F62"/>
    <w:rsid w:val="6F566585"/>
    <w:rsid w:val="6F65EC76"/>
    <w:rsid w:val="6F9AF8DB"/>
    <w:rsid w:val="6FA73CEE"/>
    <w:rsid w:val="6FBBAE2A"/>
    <w:rsid w:val="6FBECA7A"/>
    <w:rsid w:val="6FEBF7F6"/>
    <w:rsid w:val="6FEFBE24"/>
    <w:rsid w:val="6FEFD029"/>
    <w:rsid w:val="6FF6DD20"/>
    <w:rsid w:val="6FF79328"/>
    <w:rsid w:val="6FFD8490"/>
    <w:rsid w:val="6FFDB798"/>
    <w:rsid w:val="717DE2EA"/>
    <w:rsid w:val="71D75502"/>
    <w:rsid w:val="73EFF3E5"/>
    <w:rsid w:val="73FD7346"/>
    <w:rsid w:val="73FF802C"/>
    <w:rsid w:val="751B4C51"/>
    <w:rsid w:val="752CBE67"/>
    <w:rsid w:val="759FB7D2"/>
    <w:rsid w:val="75BF52A2"/>
    <w:rsid w:val="75DEE1E8"/>
    <w:rsid w:val="75EFEB39"/>
    <w:rsid w:val="75FB45CB"/>
    <w:rsid w:val="763DAF10"/>
    <w:rsid w:val="767FE0E7"/>
    <w:rsid w:val="76B7E7C9"/>
    <w:rsid w:val="76D72A3E"/>
    <w:rsid w:val="774C5E49"/>
    <w:rsid w:val="777A9AF0"/>
    <w:rsid w:val="777FF2E8"/>
    <w:rsid w:val="77A71F6D"/>
    <w:rsid w:val="77AC93C1"/>
    <w:rsid w:val="77AE792C"/>
    <w:rsid w:val="77BB9EBB"/>
    <w:rsid w:val="77EAB58D"/>
    <w:rsid w:val="77EFBE48"/>
    <w:rsid w:val="77F6B169"/>
    <w:rsid w:val="77F9AC80"/>
    <w:rsid w:val="78AFC277"/>
    <w:rsid w:val="78BEFDF2"/>
    <w:rsid w:val="78FE7BBC"/>
    <w:rsid w:val="791FDF12"/>
    <w:rsid w:val="79BFF797"/>
    <w:rsid w:val="79FFDEF2"/>
    <w:rsid w:val="7A3C1D1B"/>
    <w:rsid w:val="7A3FBE46"/>
    <w:rsid w:val="7A6F7135"/>
    <w:rsid w:val="7A9C2AE1"/>
    <w:rsid w:val="7ACB8EB6"/>
    <w:rsid w:val="7AFD793B"/>
    <w:rsid w:val="7BA5C6A0"/>
    <w:rsid w:val="7BD97F3C"/>
    <w:rsid w:val="7BEE1C27"/>
    <w:rsid w:val="7C7B5352"/>
    <w:rsid w:val="7CEB87EB"/>
    <w:rsid w:val="7CFD1E93"/>
    <w:rsid w:val="7D7F5982"/>
    <w:rsid w:val="7DB843E8"/>
    <w:rsid w:val="7DB9565A"/>
    <w:rsid w:val="7DDD150E"/>
    <w:rsid w:val="7DDF7EF9"/>
    <w:rsid w:val="7DF7C76F"/>
    <w:rsid w:val="7DFB283E"/>
    <w:rsid w:val="7DFB59F6"/>
    <w:rsid w:val="7DFDAF3B"/>
    <w:rsid w:val="7E3F3CED"/>
    <w:rsid w:val="7E3FF7E3"/>
    <w:rsid w:val="7E732FD1"/>
    <w:rsid w:val="7E941719"/>
    <w:rsid w:val="7EA6C317"/>
    <w:rsid w:val="7EA9C7F7"/>
    <w:rsid w:val="7EB521AA"/>
    <w:rsid w:val="7EB9F2CB"/>
    <w:rsid w:val="7ED9C0F2"/>
    <w:rsid w:val="7EDF7E89"/>
    <w:rsid w:val="7EED738D"/>
    <w:rsid w:val="7EEF5BA7"/>
    <w:rsid w:val="7EF3544B"/>
    <w:rsid w:val="7EF3A9DB"/>
    <w:rsid w:val="7EF7060C"/>
    <w:rsid w:val="7EFF4585"/>
    <w:rsid w:val="7F375018"/>
    <w:rsid w:val="7F391EB2"/>
    <w:rsid w:val="7F5B0EB4"/>
    <w:rsid w:val="7F5FF96D"/>
    <w:rsid w:val="7F673E42"/>
    <w:rsid w:val="7F7BD52F"/>
    <w:rsid w:val="7F7F0AAA"/>
    <w:rsid w:val="7F7F52DC"/>
    <w:rsid w:val="7F7FE39B"/>
    <w:rsid w:val="7F9F7311"/>
    <w:rsid w:val="7F9FD9AF"/>
    <w:rsid w:val="7FAB15AE"/>
    <w:rsid w:val="7FB78F0C"/>
    <w:rsid w:val="7FBF01B2"/>
    <w:rsid w:val="7FBF2F53"/>
    <w:rsid w:val="7FBF4EB5"/>
    <w:rsid w:val="7FCE15DC"/>
    <w:rsid w:val="7FD79D0F"/>
    <w:rsid w:val="7FDE0883"/>
    <w:rsid w:val="7FDFABDD"/>
    <w:rsid w:val="7FDFCFB7"/>
    <w:rsid w:val="7FE5EBE6"/>
    <w:rsid w:val="7FE72760"/>
    <w:rsid w:val="7FE74275"/>
    <w:rsid w:val="7FEDD3D0"/>
    <w:rsid w:val="7FF60261"/>
    <w:rsid w:val="7FF705B6"/>
    <w:rsid w:val="7FFB6645"/>
    <w:rsid w:val="7FFBA956"/>
    <w:rsid w:val="7FFBF5C1"/>
    <w:rsid w:val="7FFF8EFB"/>
    <w:rsid w:val="7FFF99F0"/>
    <w:rsid w:val="7FFFAE94"/>
    <w:rsid w:val="7FFFD23E"/>
    <w:rsid w:val="87BF9F78"/>
    <w:rsid w:val="8E98A1E0"/>
    <w:rsid w:val="8EFD10A4"/>
    <w:rsid w:val="8F8DDF56"/>
    <w:rsid w:val="967B6F56"/>
    <w:rsid w:val="97AFD359"/>
    <w:rsid w:val="97F6314C"/>
    <w:rsid w:val="97FBB43F"/>
    <w:rsid w:val="983FAE9C"/>
    <w:rsid w:val="9CDF212B"/>
    <w:rsid w:val="9DFFA81F"/>
    <w:rsid w:val="9EBA2E0A"/>
    <w:rsid w:val="9EFE7B05"/>
    <w:rsid w:val="9F1FFD50"/>
    <w:rsid w:val="9F977AE6"/>
    <w:rsid w:val="9FDA8CDF"/>
    <w:rsid w:val="9FFE19BC"/>
    <w:rsid w:val="A5FF0BE4"/>
    <w:rsid w:val="A6FD090E"/>
    <w:rsid w:val="A6FF337E"/>
    <w:rsid w:val="A7DF02CC"/>
    <w:rsid w:val="A7FB3F11"/>
    <w:rsid w:val="ABA358F2"/>
    <w:rsid w:val="ABE5B43B"/>
    <w:rsid w:val="ADCFCEEF"/>
    <w:rsid w:val="AE5796CD"/>
    <w:rsid w:val="AEBFAA9E"/>
    <w:rsid w:val="AEFE7142"/>
    <w:rsid w:val="AEFF9710"/>
    <w:rsid w:val="AF21BFA4"/>
    <w:rsid w:val="AFFFDC62"/>
    <w:rsid w:val="B3AFD070"/>
    <w:rsid w:val="B4EF8744"/>
    <w:rsid w:val="B52FA009"/>
    <w:rsid w:val="B5989E0A"/>
    <w:rsid w:val="B5F85A07"/>
    <w:rsid w:val="B5FBB733"/>
    <w:rsid w:val="B6B5074A"/>
    <w:rsid w:val="B7F5E86E"/>
    <w:rsid w:val="B7FF19A8"/>
    <w:rsid w:val="B85FB1A0"/>
    <w:rsid w:val="BA9F901A"/>
    <w:rsid w:val="BBDDF753"/>
    <w:rsid w:val="BBEDBF2B"/>
    <w:rsid w:val="BCEBD53D"/>
    <w:rsid w:val="BD0B0DB0"/>
    <w:rsid w:val="BDA7C0EF"/>
    <w:rsid w:val="BDDAB515"/>
    <w:rsid w:val="BDDE896A"/>
    <w:rsid w:val="BE7F847F"/>
    <w:rsid w:val="BEBE3644"/>
    <w:rsid w:val="BEF715C2"/>
    <w:rsid w:val="BF3CEC39"/>
    <w:rsid w:val="BF4DD593"/>
    <w:rsid w:val="BF582E87"/>
    <w:rsid w:val="BF61719B"/>
    <w:rsid w:val="BF6D07A0"/>
    <w:rsid w:val="BF761C24"/>
    <w:rsid w:val="BF7D4DB5"/>
    <w:rsid w:val="BF7DD4E7"/>
    <w:rsid w:val="BF97E37F"/>
    <w:rsid w:val="BF9F10CB"/>
    <w:rsid w:val="BF9FE977"/>
    <w:rsid w:val="BFC64A18"/>
    <w:rsid w:val="BFDC37DD"/>
    <w:rsid w:val="BFEECDC2"/>
    <w:rsid w:val="C6BFE0FC"/>
    <w:rsid w:val="C6EF768E"/>
    <w:rsid w:val="C77B2B7F"/>
    <w:rsid w:val="C7FF1091"/>
    <w:rsid w:val="CBB3F2DA"/>
    <w:rsid w:val="CCFE5BC3"/>
    <w:rsid w:val="CDAF6347"/>
    <w:rsid w:val="CE5D1BFE"/>
    <w:rsid w:val="CF5BDFB3"/>
    <w:rsid w:val="CF9FC98F"/>
    <w:rsid w:val="CFAF4146"/>
    <w:rsid w:val="CFB7B143"/>
    <w:rsid w:val="CFF4291B"/>
    <w:rsid w:val="CFFCBD86"/>
    <w:rsid w:val="CFFD0C69"/>
    <w:rsid w:val="CFFFEC96"/>
    <w:rsid w:val="D0DF8A45"/>
    <w:rsid w:val="D1DA1468"/>
    <w:rsid w:val="D3FF6EDD"/>
    <w:rsid w:val="D44E0408"/>
    <w:rsid w:val="D559187D"/>
    <w:rsid w:val="D7B6ED5E"/>
    <w:rsid w:val="D7E04AB0"/>
    <w:rsid w:val="D7EFE9CE"/>
    <w:rsid w:val="D7F32946"/>
    <w:rsid w:val="D7FA4D4C"/>
    <w:rsid w:val="D7FA7364"/>
    <w:rsid w:val="D7FB6C46"/>
    <w:rsid w:val="D8F6617F"/>
    <w:rsid w:val="D95F19D3"/>
    <w:rsid w:val="D9BF3D88"/>
    <w:rsid w:val="DA5F8956"/>
    <w:rsid w:val="DA9FFA05"/>
    <w:rsid w:val="DBBD9007"/>
    <w:rsid w:val="DBEA0688"/>
    <w:rsid w:val="DBEABCF2"/>
    <w:rsid w:val="DBEB187D"/>
    <w:rsid w:val="DC1F1FE4"/>
    <w:rsid w:val="DCE7BB49"/>
    <w:rsid w:val="DDB25804"/>
    <w:rsid w:val="DDFD4F85"/>
    <w:rsid w:val="DDFFC386"/>
    <w:rsid w:val="DE7BF905"/>
    <w:rsid w:val="DE7FBECA"/>
    <w:rsid w:val="DEAF5AC3"/>
    <w:rsid w:val="DEC75682"/>
    <w:rsid w:val="DEFFB2AA"/>
    <w:rsid w:val="DF1E7CE8"/>
    <w:rsid w:val="DF2ED283"/>
    <w:rsid w:val="DF3E1457"/>
    <w:rsid w:val="DF6D3C1C"/>
    <w:rsid w:val="DF6FD71D"/>
    <w:rsid w:val="DF9256D5"/>
    <w:rsid w:val="DF972A40"/>
    <w:rsid w:val="DFA5A3BF"/>
    <w:rsid w:val="DFAF0DC0"/>
    <w:rsid w:val="DFBAF221"/>
    <w:rsid w:val="DFBF9DCC"/>
    <w:rsid w:val="DFCD7BB1"/>
    <w:rsid w:val="DFDD1B71"/>
    <w:rsid w:val="DFDD7493"/>
    <w:rsid w:val="DFDF4626"/>
    <w:rsid w:val="DFF3D88C"/>
    <w:rsid w:val="DFFF07F6"/>
    <w:rsid w:val="DFFFD6AB"/>
    <w:rsid w:val="E0EF69F2"/>
    <w:rsid w:val="E1D7B512"/>
    <w:rsid w:val="E3B38CFA"/>
    <w:rsid w:val="E3E7F307"/>
    <w:rsid w:val="E3F84679"/>
    <w:rsid w:val="E457B9CE"/>
    <w:rsid w:val="E53B863C"/>
    <w:rsid w:val="E5DF1D35"/>
    <w:rsid w:val="E6F08A78"/>
    <w:rsid w:val="E6F3E7CA"/>
    <w:rsid w:val="E6FBF027"/>
    <w:rsid w:val="E767D82D"/>
    <w:rsid w:val="E79F5B95"/>
    <w:rsid w:val="E7BF1A22"/>
    <w:rsid w:val="E7DF0F65"/>
    <w:rsid w:val="E96F8839"/>
    <w:rsid w:val="E9A2006C"/>
    <w:rsid w:val="EAD73174"/>
    <w:rsid w:val="EAF7CB96"/>
    <w:rsid w:val="EB9D876B"/>
    <w:rsid w:val="EBFB5C40"/>
    <w:rsid w:val="EBFE7161"/>
    <w:rsid w:val="ECDFC80F"/>
    <w:rsid w:val="ED49FFE8"/>
    <w:rsid w:val="EDB3CCEC"/>
    <w:rsid w:val="EDF242C8"/>
    <w:rsid w:val="EDF5CC64"/>
    <w:rsid w:val="EDF9D47B"/>
    <w:rsid w:val="EDFB2420"/>
    <w:rsid w:val="EDFDA05B"/>
    <w:rsid w:val="EE7F0876"/>
    <w:rsid w:val="EEADAAD5"/>
    <w:rsid w:val="EEBFF2D1"/>
    <w:rsid w:val="EF4D9816"/>
    <w:rsid w:val="EF5D758A"/>
    <w:rsid w:val="EF6A4056"/>
    <w:rsid w:val="EF7B63EB"/>
    <w:rsid w:val="EFB1010C"/>
    <w:rsid w:val="EFB631B1"/>
    <w:rsid w:val="EFBDF3B1"/>
    <w:rsid w:val="EFBF58F3"/>
    <w:rsid w:val="EFEE799B"/>
    <w:rsid w:val="EFF72424"/>
    <w:rsid w:val="EFF7F4CC"/>
    <w:rsid w:val="EFFF93DC"/>
    <w:rsid w:val="F0FFF52E"/>
    <w:rsid w:val="F3B801F2"/>
    <w:rsid w:val="F4B6166A"/>
    <w:rsid w:val="F4FBDDB8"/>
    <w:rsid w:val="F5FF3200"/>
    <w:rsid w:val="F5FFBB38"/>
    <w:rsid w:val="F6772EE1"/>
    <w:rsid w:val="F6EB88D7"/>
    <w:rsid w:val="F6F5D4E8"/>
    <w:rsid w:val="F6FB7717"/>
    <w:rsid w:val="F6FBB8F8"/>
    <w:rsid w:val="F72519DC"/>
    <w:rsid w:val="F73F9899"/>
    <w:rsid w:val="F7754010"/>
    <w:rsid w:val="F77C49B8"/>
    <w:rsid w:val="F77FEF6C"/>
    <w:rsid w:val="F793B73F"/>
    <w:rsid w:val="F79F3723"/>
    <w:rsid w:val="F7B5FBF6"/>
    <w:rsid w:val="F7C9672C"/>
    <w:rsid w:val="F7CF9661"/>
    <w:rsid w:val="F7DC95E4"/>
    <w:rsid w:val="F7E800C5"/>
    <w:rsid w:val="F7EDF7F8"/>
    <w:rsid w:val="F7EE0D24"/>
    <w:rsid w:val="F7EECF7B"/>
    <w:rsid w:val="F7F5A9D0"/>
    <w:rsid w:val="F7F5CB1C"/>
    <w:rsid w:val="F7F6AE3B"/>
    <w:rsid w:val="F7F7B0D3"/>
    <w:rsid w:val="F7FAE9B1"/>
    <w:rsid w:val="F7FC4C65"/>
    <w:rsid w:val="F7FE1AEC"/>
    <w:rsid w:val="F7FE570F"/>
    <w:rsid w:val="F7FF05E0"/>
    <w:rsid w:val="F7FF4000"/>
    <w:rsid w:val="F7FF7A76"/>
    <w:rsid w:val="F8FA9BB2"/>
    <w:rsid w:val="F90F0671"/>
    <w:rsid w:val="F91F330E"/>
    <w:rsid w:val="F98F82D6"/>
    <w:rsid w:val="FAB86173"/>
    <w:rsid w:val="FAF32084"/>
    <w:rsid w:val="FAFB6FA0"/>
    <w:rsid w:val="FAFD9932"/>
    <w:rsid w:val="FB166EA0"/>
    <w:rsid w:val="FB5B58E2"/>
    <w:rsid w:val="FB732A2D"/>
    <w:rsid w:val="FB77F047"/>
    <w:rsid w:val="FB7DC663"/>
    <w:rsid w:val="FBBBF679"/>
    <w:rsid w:val="FBBD0988"/>
    <w:rsid w:val="FBD79331"/>
    <w:rsid w:val="FBDD0D91"/>
    <w:rsid w:val="FBEB30A6"/>
    <w:rsid w:val="FBEBB4B4"/>
    <w:rsid w:val="FBEC8B62"/>
    <w:rsid w:val="FBEF13EA"/>
    <w:rsid w:val="FBFF34DA"/>
    <w:rsid w:val="FBFFA3A2"/>
    <w:rsid w:val="FBFFCF19"/>
    <w:rsid w:val="FC6EF020"/>
    <w:rsid w:val="FC8F233B"/>
    <w:rsid w:val="FCFBDF05"/>
    <w:rsid w:val="FCFEC16F"/>
    <w:rsid w:val="FDB52C13"/>
    <w:rsid w:val="FDC59576"/>
    <w:rsid w:val="FDCF289F"/>
    <w:rsid w:val="FDCF73F8"/>
    <w:rsid w:val="FDEF0127"/>
    <w:rsid w:val="FDEF4CFE"/>
    <w:rsid w:val="FDF49209"/>
    <w:rsid w:val="FDFF0134"/>
    <w:rsid w:val="FDFF180F"/>
    <w:rsid w:val="FDFFAA9B"/>
    <w:rsid w:val="FE1D8B49"/>
    <w:rsid w:val="FE4F8EA0"/>
    <w:rsid w:val="FE597DBB"/>
    <w:rsid w:val="FE659FC2"/>
    <w:rsid w:val="FE7F2B73"/>
    <w:rsid w:val="FEA85A3A"/>
    <w:rsid w:val="FEAE61E1"/>
    <w:rsid w:val="FEAFF6B5"/>
    <w:rsid w:val="FEBAB058"/>
    <w:rsid w:val="FEBE88C3"/>
    <w:rsid w:val="FEEAFC90"/>
    <w:rsid w:val="FEEC1B1F"/>
    <w:rsid w:val="FEEDCD65"/>
    <w:rsid w:val="FEF76F47"/>
    <w:rsid w:val="FEFC8F58"/>
    <w:rsid w:val="FEFF9447"/>
    <w:rsid w:val="FEFFE468"/>
    <w:rsid w:val="FEFFE958"/>
    <w:rsid w:val="FF2FD724"/>
    <w:rsid w:val="FF36023C"/>
    <w:rsid w:val="FF3C0648"/>
    <w:rsid w:val="FF4EAEBC"/>
    <w:rsid w:val="FF4F69DB"/>
    <w:rsid w:val="FF5DC174"/>
    <w:rsid w:val="FF5FEAB3"/>
    <w:rsid w:val="FF6ECC59"/>
    <w:rsid w:val="FF755190"/>
    <w:rsid w:val="FF7B24A9"/>
    <w:rsid w:val="FF7F1279"/>
    <w:rsid w:val="FF7F2D48"/>
    <w:rsid w:val="FFAE3289"/>
    <w:rsid w:val="FFBBAA87"/>
    <w:rsid w:val="FFBEE155"/>
    <w:rsid w:val="FFC779C2"/>
    <w:rsid w:val="FFCE007C"/>
    <w:rsid w:val="FFCF6920"/>
    <w:rsid w:val="FFCFC155"/>
    <w:rsid w:val="FFCFC7EC"/>
    <w:rsid w:val="FFD73402"/>
    <w:rsid w:val="FFDBE727"/>
    <w:rsid w:val="FFDDA0B1"/>
    <w:rsid w:val="FFDFC4C6"/>
    <w:rsid w:val="FFDFF50F"/>
    <w:rsid w:val="FFE20C46"/>
    <w:rsid w:val="FFE7462C"/>
    <w:rsid w:val="FFE7CAA4"/>
    <w:rsid w:val="FFEEB914"/>
    <w:rsid w:val="FFEFB92F"/>
    <w:rsid w:val="FFEFD8FF"/>
    <w:rsid w:val="FFF2B9F6"/>
    <w:rsid w:val="FFF30DF6"/>
    <w:rsid w:val="FFF4FBB4"/>
    <w:rsid w:val="FFFE5A3B"/>
    <w:rsid w:val="FFFE7D98"/>
    <w:rsid w:val="FFFEA7D2"/>
    <w:rsid w:val="FFFF21C8"/>
    <w:rsid w:val="FFFF6A1A"/>
    <w:rsid w:val="FFFFA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0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uiPriority="99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907" w:hanging="363"/>
      <w:outlineLvl w:val="0"/>
    </w:pPr>
    <w:rPr>
      <w:rFonts w:ascii="Microsoft JhengHei" w:hAnsi="Microsoft JhengHei" w:eastAsia="Microsoft JhengHei" w:cs="Microsoft JhengHei"/>
      <w:b/>
      <w:bCs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0" w:after="20"/>
      <w:outlineLvl w:val="1"/>
    </w:pPr>
    <w:rPr>
      <w:rFonts w:ascii="DejaVu Sans" w:hAnsi="DejaVu Sans" w:eastAsia="方正黑体_GBK"/>
      <w:b/>
    </w:rPr>
  </w:style>
  <w:style w:type="paragraph" w:styleId="5">
    <w:name w:val="heading 3"/>
    <w:basedOn w:val="1"/>
    <w:next w:val="1"/>
    <w:unhideWhenUsed/>
    <w:qFormat/>
    <w:uiPriority w:val="0"/>
    <w:pPr>
      <w:numPr>
        <w:ilvl w:val="2"/>
        <w:numId w:val="1"/>
      </w:numPr>
      <w:ind w:left="0" w:firstLine="480"/>
      <w:outlineLvl w:val="2"/>
    </w:pPr>
    <w:rPr>
      <w:b/>
      <w:bCs/>
      <w:sz w:val="24"/>
      <w:szCs w:val="24"/>
    </w:rPr>
  </w:style>
  <w:style w:type="paragraph" w:styleId="6">
    <w:name w:val="heading 4"/>
    <w:basedOn w:val="1"/>
    <w:next w:val="1"/>
    <w:link w:val="43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">
    <w:name w:val="heading 5"/>
    <w:basedOn w:val="1"/>
    <w:next w:val="1"/>
    <w:link w:val="44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">
    <w:name w:val="heading 6"/>
    <w:basedOn w:val="1"/>
    <w:next w:val="1"/>
    <w:link w:val="45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">
    <w:name w:val="heading 7"/>
    <w:basedOn w:val="1"/>
    <w:next w:val="1"/>
    <w:link w:val="46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10">
    <w:name w:val="heading 8"/>
    <w:basedOn w:val="1"/>
    <w:next w:val="1"/>
    <w:link w:val="47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11">
    <w:name w:val="heading 9"/>
    <w:basedOn w:val="1"/>
    <w:next w:val="1"/>
    <w:link w:val="48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35">
    <w:name w:val="Default Paragraph Font"/>
    <w:unhideWhenUsed/>
    <w:qFormat/>
    <w:uiPriority w:val="1"/>
  </w:style>
  <w:style w:type="table" w:default="1" w:styleId="3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1"/>
    <w:qFormat/>
    <w:uiPriority w:val="0"/>
    <w:pPr>
      <w:spacing w:after="120"/>
      <w:ind w:left="420" w:firstLine="420"/>
    </w:pPr>
  </w:style>
  <w:style w:type="paragraph" w:styleId="12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13">
    <w:name w:val="caption"/>
    <w:basedOn w:val="1"/>
    <w:next w:val="1"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4">
    <w:name w:val="annotation text"/>
    <w:basedOn w:val="1"/>
    <w:link w:val="199"/>
    <w:unhideWhenUsed/>
    <w:qFormat/>
    <w:uiPriority w:val="99"/>
  </w:style>
  <w:style w:type="paragraph" w:styleId="15">
    <w:name w:val="Body Text"/>
    <w:basedOn w:val="1"/>
    <w:qFormat/>
    <w:uiPriority w:val="1"/>
    <w:rPr>
      <w:sz w:val="21"/>
      <w:szCs w:val="21"/>
    </w:rPr>
  </w:style>
  <w:style w:type="paragraph" w:styleId="16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17">
    <w:name w:val="toc 3"/>
    <w:basedOn w:val="1"/>
    <w:next w:val="1"/>
    <w:qFormat/>
    <w:uiPriority w:val="0"/>
    <w:pPr>
      <w:ind w:left="840"/>
    </w:pPr>
  </w:style>
  <w:style w:type="paragraph" w:styleId="18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9">
    <w:name w:val="endnote text"/>
    <w:basedOn w:val="1"/>
    <w:link w:val="186"/>
    <w:unhideWhenUsed/>
    <w:qFormat/>
    <w:uiPriority w:val="99"/>
    <w:rPr>
      <w:sz w:val="20"/>
    </w:rPr>
  </w:style>
  <w:style w:type="paragraph" w:styleId="20">
    <w:name w:val="Balloon Text"/>
    <w:basedOn w:val="1"/>
    <w:link w:val="198"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19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2">
    <w:name w:val="header"/>
    <w:basedOn w:val="1"/>
    <w:link w:val="19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1"/>
    <w:pPr>
      <w:spacing w:before="5"/>
      <w:ind w:left="312" w:hanging="193"/>
    </w:pPr>
    <w:rPr>
      <w:rFonts w:ascii="PMingLiU" w:hAnsi="PMingLiU" w:eastAsia="PMingLiU" w:cs="PMingLiU"/>
      <w:sz w:val="24"/>
      <w:szCs w:val="24"/>
    </w:rPr>
  </w:style>
  <w:style w:type="paragraph" w:styleId="24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25">
    <w:name w:val="Subtitle"/>
    <w:basedOn w:val="1"/>
    <w:next w:val="1"/>
    <w:link w:val="52"/>
    <w:qFormat/>
    <w:uiPriority w:val="11"/>
    <w:pPr>
      <w:spacing w:before="200" w:after="200"/>
    </w:pPr>
    <w:rPr>
      <w:sz w:val="24"/>
      <w:szCs w:val="24"/>
    </w:rPr>
  </w:style>
  <w:style w:type="paragraph" w:styleId="26">
    <w:name w:val="footnote text"/>
    <w:basedOn w:val="1"/>
    <w:link w:val="185"/>
    <w:unhideWhenUsed/>
    <w:qFormat/>
    <w:uiPriority w:val="99"/>
    <w:pPr>
      <w:spacing w:after="40"/>
    </w:pPr>
    <w:rPr>
      <w:sz w:val="18"/>
    </w:rPr>
  </w:style>
  <w:style w:type="paragraph" w:styleId="27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8">
    <w:name w:val="toc 2"/>
    <w:basedOn w:val="1"/>
    <w:next w:val="1"/>
    <w:qFormat/>
    <w:uiPriority w:val="1"/>
    <w:pPr>
      <w:spacing w:before="5"/>
      <w:ind w:left="931" w:hanging="392"/>
    </w:pPr>
    <w:rPr>
      <w:rFonts w:ascii="PMingLiU" w:hAnsi="PMingLiU" w:eastAsia="PMingLiU" w:cs="PMingLiU"/>
      <w:sz w:val="24"/>
      <w:szCs w:val="24"/>
    </w:rPr>
  </w:style>
  <w:style w:type="paragraph" w:styleId="29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3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31">
    <w:name w:val="Title"/>
    <w:basedOn w:val="1"/>
    <w:qFormat/>
    <w:uiPriority w:val="1"/>
    <w:pPr>
      <w:ind w:left="2110" w:right="2000"/>
      <w:jc w:val="center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2">
    <w:name w:val="annotation subject"/>
    <w:basedOn w:val="14"/>
    <w:next w:val="14"/>
    <w:link w:val="200"/>
    <w:unhideWhenUsed/>
    <w:qFormat/>
    <w:uiPriority w:val="99"/>
    <w:rPr>
      <w:b/>
      <w:bCs/>
    </w:rPr>
  </w:style>
  <w:style w:type="table" w:styleId="34">
    <w:name w:val="Table Grid"/>
    <w:basedOn w:val="3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6">
    <w:name w:val="endnote reference"/>
    <w:basedOn w:val="35"/>
    <w:unhideWhenUsed/>
    <w:qFormat/>
    <w:uiPriority w:val="99"/>
    <w:rPr>
      <w:vertAlign w:val="superscript"/>
    </w:rPr>
  </w:style>
  <w:style w:type="character" w:styleId="37">
    <w:name w:val="Hyperlink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8">
    <w:name w:val="annotation reference"/>
    <w:basedOn w:val="35"/>
    <w:unhideWhenUsed/>
    <w:qFormat/>
    <w:uiPriority w:val="99"/>
    <w:rPr>
      <w:sz w:val="21"/>
      <w:szCs w:val="21"/>
    </w:rPr>
  </w:style>
  <w:style w:type="character" w:styleId="39">
    <w:name w:val="footnote reference"/>
    <w:basedOn w:val="35"/>
    <w:unhideWhenUsed/>
    <w:qFormat/>
    <w:uiPriority w:val="99"/>
    <w:rPr>
      <w:vertAlign w:val="superscript"/>
    </w:rPr>
  </w:style>
  <w:style w:type="character" w:customStyle="1" w:styleId="40">
    <w:name w:val="Heading 1 Char"/>
    <w:basedOn w:val="35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41">
    <w:name w:val="Heading 2 Char"/>
    <w:basedOn w:val="35"/>
    <w:qFormat/>
    <w:uiPriority w:val="9"/>
    <w:rPr>
      <w:rFonts w:ascii="Arial" w:hAnsi="Arial" w:eastAsia="Arial" w:cs="Arial"/>
      <w:sz w:val="34"/>
    </w:rPr>
  </w:style>
  <w:style w:type="character" w:customStyle="1" w:styleId="42">
    <w:name w:val="Heading 3 Char"/>
    <w:basedOn w:val="35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3">
    <w:name w:val="标题 4 字符"/>
    <w:basedOn w:val="35"/>
    <w:link w:val="6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4">
    <w:name w:val="标题 5 字符"/>
    <w:basedOn w:val="35"/>
    <w:link w:val="7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5">
    <w:name w:val="标题 6 字符"/>
    <w:basedOn w:val="35"/>
    <w:link w:val="8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6">
    <w:name w:val="标题 7 字符"/>
    <w:basedOn w:val="35"/>
    <w:link w:val="9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7">
    <w:name w:val="标题 8 字符"/>
    <w:basedOn w:val="35"/>
    <w:link w:val="10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8">
    <w:name w:val="标题 9 字符"/>
    <w:basedOn w:val="35"/>
    <w:link w:val="11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customStyle="1" w:styleId="49">
    <w:name w:val="列出段落1"/>
    <w:basedOn w:val="1"/>
    <w:qFormat/>
    <w:uiPriority w:val="34"/>
    <w:pPr>
      <w:ind w:left="720"/>
      <w:contextualSpacing/>
    </w:pPr>
  </w:style>
  <w:style w:type="paragraph" w:customStyle="1" w:styleId="50">
    <w:name w:val="无间隔1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宋体" w:cs="Times New Roman"/>
      <w:szCs w:val="22"/>
      <w:lang w:val="en-US" w:eastAsia="zh-CN" w:bidi="ar-SA"/>
    </w:rPr>
  </w:style>
  <w:style w:type="character" w:customStyle="1" w:styleId="51">
    <w:name w:val="Title Char"/>
    <w:basedOn w:val="35"/>
    <w:qFormat/>
    <w:uiPriority w:val="10"/>
    <w:rPr>
      <w:sz w:val="48"/>
      <w:szCs w:val="48"/>
    </w:rPr>
  </w:style>
  <w:style w:type="character" w:customStyle="1" w:styleId="52">
    <w:name w:val="副标题 字符"/>
    <w:basedOn w:val="35"/>
    <w:link w:val="25"/>
    <w:qFormat/>
    <w:uiPriority w:val="11"/>
    <w:rPr>
      <w:sz w:val="24"/>
      <w:szCs w:val="24"/>
    </w:rPr>
  </w:style>
  <w:style w:type="paragraph" w:customStyle="1" w:styleId="53">
    <w:name w:val="引用1"/>
    <w:basedOn w:val="1"/>
    <w:next w:val="1"/>
    <w:link w:val="54"/>
    <w:qFormat/>
    <w:uiPriority w:val="29"/>
    <w:pPr>
      <w:ind w:left="720" w:right="720"/>
    </w:pPr>
    <w:rPr>
      <w:i/>
    </w:rPr>
  </w:style>
  <w:style w:type="character" w:customStyle="1" w:styleId="54">
    <w:name w:val="Quote Char"/>
    <w:link w:val="53"/>
    <w:qFormat/>
    <w:uiPriority w:val="29"/>
    <w:rPr>
      <w:i/>
    </w:rPr>
  </w:style>
  <w:style w:type="paragraph" w:customStyle="1" w:styleId="55">
    <w:name w:val="明显引用1"/>
    <w:basedOn w:val="1"/>
    <w:next w:val="1"/>
    <w:link w:val="56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56">
    <w:name w:val="Intense Quote Char"/>
    <w:link w:val="55"/>
    <w:qFormat/>
    <w:uiPriority w:val="30"/>
    <w:rPr>
      <w:i/>
    </w:rPr>
  </w:style>
  <w:style w:type="character" w:customStyle="1" w:styleId="57">
    <w:name w:val="Header Char"/>
    <w:basedOn w:val="35"/>
    <w:qFormat/>
    <w:uiPriority w:val="99"/>
  </w:style>
  <w:style w:type="character" w:customStyle="1" w:styleId="58">
    <w:name w:val="Footer Char"/>
    <w:basedOn w:val="35"/>
    <w:qFormat/>
    <w:uiPriority w:val="99"/>
  </w:style>
  <w:style w:type="character" w:customStyle="1" w:styleId="59">
    <w:name w:val="Caption Char"/>
    <w:qFormat/>
    <w:uiPriority w:val="99"/>
  </w:style>
  <w:style w:type="table" w:customStyle="1" w:styleId="60">
    <w:name w:val="Table Grid Light"/>
    <w:basedOn w:val="33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</w:style>
  <w:style w:type="table" w:customStyle="1" w:styleId="61">
    <w:name w:val="无格式表格 11"/>
    <w:basedOn w:val="33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auto" w:fill="F1F1F1" w:themeFill="text1" w:themeFillTint="0D"/>
      </w:tcPr>
    </w:tblStylePr>
    <w:tblStylePr w:type="band1Horz">
      <w:tcPr>
        <w:shd w:val="clear" w:color="auto" w:fill="F1F1F1" w:themeFill="text1" w:themeFillTint="0D"/>
      </w:tcPr>
    </w:tblStylePr>
  </w:style>
  <w:style w:type="table" w:customStyle="1" w:styleId="62">
    <w:name w:val="无格式表格 21"/>
    <w:basedOn w:val="33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63">
    <w:name w:val="无格式表格 31"/>
    <w:basedOn w:val="33"/>
    <w:qFormat/>
    <w:uiPriority w:val="99"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</w:style>
  <w:style w:type="table" w:customStyle="1" w:styleId="64">
    <w:name w:val="无格式表格 41"/>
    <w:basedOn w:val="33"/>
    <w:qFormat/>
    <w:uiPriority w:val="99"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</w:style>
  <w:style w:type="table" w:customStyle="1" w:styleId="65">
    <w:name w:val="无格式表格 51"/>
    <w:basedOn w:val="33"/>
    <w:qFormat/>
    <w:uiPriority w:val="99"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</w:style>
  <w:style w:type="table" w:customStyle="1" w:styleId="66">
    <w:name w:val="网格表 1 浅色1"/>
    <w:basedOn w:val="33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7">
    <w:name w:val="Grid Table 1 Light - Accent 1"/>
    <w:basedOn w:val="33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68">
    <w:name w:val="Grid Table 1 Light - Accent 2"/>
    <w:basedOn w:val="33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69">
    <w:name w:val="Grid Table 1 Light - Accent 3"/>
    <w:basedOn w:val="3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70">
    <w:name w:val="Grid Table 1 Light - Accent 4"/>
    <w:basedOn w:val="33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71">
    <w:name w:val="Grid Table 1 Light - Accent 5"/>
    <w:basedOn w:val="33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72">
    <w:name w:val="Grid Table 1 Light - Accent 6"/>
    <w:basedOn w:val="33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73">
    <w:name w:val="网格表 21"/>
    <w:basedOn w:val="33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</w:style>
  <w:style w:type="table" w:customStyle="1" w:styleId="74">
    <w:name w:val="Grid Table 2 - Accent 1"/>
    <w:basedOn w:val="33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BE5F1" w:themeFill="accent1" w:themeFillTint="34"/>
      </w:tcPr>
    </w:tblStylePr>
  </w:style>
  <w:style w:type="table" w:customStyle="1" w:styleId="75">
    <w:name w:val="Grid Table 2 - Accent 2"/>
    <w:basedOn w:val="33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</w:style>
  <w:style w:type="table" w:customStyle="1" w:styleId="76">
    <w:name w:val="Grid Table 2 - Accent 3"/>
    <w:basedOn w:val="3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</w:style>
  <w:style w:type="table" w:customStyle="1" w:styleId="77">
    <w:name w:val="Grid Table 2 - Accent 4"/>
    <w:basedOn w:val="33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</w:style>
  <w:style w:type="table" w:customStyle="1" w:styleId="78">
    <w:name w:val="Grid Table 2 - Accent 5"/>
    <w:basedOn w:val="33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</w:style>
  <w:style w:type="table" w:customStyle="1" w:styleId="79">
    <w:name w:val="Grid Table 2 - Accent 6"/>
    <w:basedOn w:val="33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</w:style>
  <w:style w:type="table" w:customStyle="1" w:styleId="80">
    <w:name w:val="网格表 31"/>
    <w:basedOn w:val="33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</w:style>
  <w:style w:type="table" w:customStyle="1" w:styleId="81">
    <w:name w:val="Grid Table 3 - Accent 1"/>
    <w:basedOn w:val="33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BE5F1" w:themeFill="accent1" w:themeFillTint="34"/>
      </w:tcPr>
    </w:tblStylePr>
  </w:style>
  <w:style w:type="table" w:customStyle="1" w:styleId="82">
    <w:name w:val="Grid Table 3 - Accent 2"/>
    <w:basedOn w:val="33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</w:style>
  <w:style w:type="table" w:customStyle="1" w:styleId="83">
    <w:name w:val="Grid Table 3 - Accent 3"/>
    <w:basedOn w:val="3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</w:style>
  <w:style w:type="table" w:customStyle="1" w:styleId="84">
    <w:name w:val="Grid Table 3 - Accent 4"/>
    <w:basedOn w:val="33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</w:style>
  <w:style w:type="table" w:customStyle="1" w:styleId="85">
    <w:name w:val="Grid Table 3 - Accent 5"/>
    <w:basedOn w:val="33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</w:style>
  <w:style w:type="table" w:customStyle="1" w:styleId="86">
    <w:name w:val="Grid Table 3 - Accent 6"/>
    <w:basedOn w:val="33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</w:style>
  <w:style w:type="table" w:customStyle="1" w:styleId="87">
    <w:name w:val="网格表 41"/>
    <w:basedOn w:val="33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auto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CACACA" w:themeFill="text1" w:themeFillTint="34"/>
      </w:tcPr>
    </w:tblStylePr>
  </w:style>
  <w:style w:type="table" w:customStyle="1" w:styleId="88">
    <w:name w:val="Grid Table 4 - Accent 1"/>
    <w:basedOn w:val="33"/>
    <w:qFormat/>
    <w:uiPriority w:val="5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auto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</w:style>
  <w:style w:type="table" w:customStyle="1" w:styleId="89">
    <w:name w:val="Grid Table 4 - Accent 2"/>
    <w:basedOn w:val="33"/>
    <w:qFormat/>
    <w:uiPriority w:val="5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auto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</w:style>
  <w:style w:type="table" w:customStyle="1" w:styleId="90">
    <w:name w:val="Grid Table 4 - Accent 3"/>
    <w:basedOn w:val="33"/>
    <w:qFormat/>
    <w:uiPriority w:val="5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auto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</w:style>
  <w:style w:type="table" w:customStyle="1" w:styleId="91">
    <w:name w:val="Grid Table 4 - Accent 4"/>
    <w:basedOn w:val="33"/>
    <w:qFormat/>
    <w:uiPriority w:val="5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</w:style>
  <w:style w:type="table" w:customStyle="1" w:styleId="92">
    <w:name w:val="Grid Table 4 - Accent 5"/>
    <w:basedOn w:val="33"/>
    <w:qFormat/>
    <w:uiPriority w:val="5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auto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</w:style>
  <w:style w:type="table" w:customStyle="1" w:styleId="93">
    <w:name w:val="Grid Table 4 - Accent 6"/>
    <w:basedOn w:val="33"/>
    <w:qFormat/>
    <w:uiPriority w:val="5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auto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</w:style>
  <w:style w:type="table" w:customStyle="1" w:styleId="94">
    <w:name w:val="网格表 5 深色1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band1Vert">
      <w:tcPr>
        <w:shd w:val="clear" w:color="auto" w:fill="898989" w:themeFill="text1" w:themeFillTint="75"/>
      </w:tcPr>
    </w:tblStylePr>
    <w:tblStylePr w:type="band1Horz">
      <w:tcPr>
        <w:shd w:val="clear" w:color="auto" w:fill="898989" w:themeFill="text1" w:themeFillTint="75"/>
      </w:tcPr>
    </w:tblStylePr>
  </w:style>
  <w:style w:type="table" w:customStyle="1" w:styleId="95">
    <w:name w:val="Grid Table 5 Dark- Accent 1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band1Vert">
      <w:tcPr>
        <w:shd w:val="clear" w:color="auto" w:fill="AEC5E0" w:themeFill="accent1" w:themeFillTint="75"/>
      </w:tcPr>
    </w:tblStylePr>
    <w:tblStylePr w:type="band1Horz">
      <w:tcPr>
        <w:shd w:val="clear" w:color="auto" w:fill="AEC5E0" w:themeFill="accent1" w:themeFillTint="75"/>
      </w:tcPr>
    </w:tblStylePr>
  </w:style>
  <w:style w:type="table" w:customStyle="1" w:styleId="96">
    <w:name w:val="Grid Table 5 Dark - Accent 2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band1Vert">
      <w:tcPr>
        <w:shd w:val="clear" w:color="auto" w:fill="E2AEAD" w:themeFill="accent2" w:themeFillTint="75"/>
      </w:tcPr>
    </w:tblStylePr>
    <w:tblStylePr w:type="band1Horz">
      <w:tcPr>
        <w:shd w:val="clear" w:color="auto" w:fill="E2AEAD" w:themeFill="accent2" w:themeFillTint="75"/>
      </w:tcPr>
    </w:tblStylePr>
  </w:style>
  <w:style w:type="table" w:customStyle="1" w:styleId="97">
    <w:name w:val="Grid Table 5 Dark - Accent 3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band1Vert">
      <w:tcPr>
        <w:shd w:val="clear" w:color="auto" w:fill="D1DFB2" w:themeFill="accent3" w:themeFillTint="75"/>
      </w:tcPr>
    </w:tblStylePr>
    <w:tblStylePr w:type="band1Horz">
      <w:tcPr>
        <w:shd w:val="clear" w:color="auto" w:fill="D1DFB2" w:themeFill="accent3" w:themeFillTint="75"/>
      </w:tcPr>
    </w:tblStylePr>
  </w:style>
  <w:style w:type="table" w:customStyle="1" w:styleId="98">
    <w:name w:val="Grid Table 5 Dark- Accent 4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band1Vert">
      <w:tcPr>
        <w:shd w:val="clear" w:color="auto" w:fill="C4B7D4" w:themeFill="accent4" w:themeFillTint="75"/>
      </w:tcPr>
    </w:tblStylePr>
    <w:tblStylePr w:type="band1Horz">
      <w:tcPr>
        <w:shd w:val="clear" w:color="auto" w:fill="C4B7D4" w:themeFill="accent4" w:themeFillTint="75"/>
      </w:tcPr>
    </w:tblStylePr>
  </w:style>
  <w:style w:type="table" w:customStyle="1" w:styleId="99">
    <w:name w:val="Grid Table 5 Dark - Accent 5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band1Vert">
      <w:tcPr>
        <w:shd w:val="clear" w:color="auto" w:fill="ACD8E4" w:themeFill="accent5" w:themeFillTint="75"/>
      </w:tcPr>
    </w:tblStylePr>
    <w:tblStylePr w:type="band1Horz">
      <w:tcPr>
        <w:shd w:val="clear" w:color="auto" w:fill="ACD8E4" w:themeFill="accent5" w:themeFillTint="75"/>
      </w:tcPr>
    </w:tblStylePr>
  </w:style>
  <w:style w:type="table" w:customStyle="1" w:styleId="100">
    <w:name w:val="Grid Table 5 Dark - Accent 6"/>
    <w:basedOn w:val="3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band1Vert">
      <w:tcPr>
        <w:shd w:val="clear" w:color="auto" w:fill="FBCEAA" w:themeFill="accent6" w:themeFillTint="75"/>
      </w:tcPr>
    </w:tblStylePr>
    <w:tblStylePr w:type="band1Horz">
      <w:tcPr>
        <w:shd w:val="clear" w:color="auto" w:fill="FBCEAA" w:themeFill="accent6" w:themeFillTint="75"/>
      </w:tcPr>
    </w:tblStylePr>
  </w:style>
  <w:style w:type="table" w:customStyle="1" w:styleId="101">
    <w:name w:val="网格表 6 彩色1"/>
    <w:basedOn w:val="33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auto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auto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2">
    <w:name w:val="Grid Table 6 Colorful - Accent 1"/>
    <w:basedOn w:val="33"/>
    <w:qFormat/>
    <w:uiPriority w:val="99"/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auto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auto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3">
    <w:name w:val="Grid Table 6 Colorful - Accent 2"/>
    <w:basedOn w:val="33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4">
    <w:name w:val="Grid Table 6 Colorful - Accent 3"/>
    <w:basedOn w:val="33"/>
    <w:qFormat/>
    <w:uiPriority w:val="99"/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/>
        <w14:textFill>
          <w14:solidFill>
            <w14:schemeClr w14:val="accent3"/>
          </w14:solidFill>
        </w14:textFill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/>
        <w14:textFill>
          <w14:solidFill>
            <w14:schemeClr w14:val="accent3"/>
          </w14:solidFill>
        </w14:textFill>
      </w:rPr>
    </w:tblStylePr>
    <w:tblStylePr w:type="firstCol">
      <w:rPr>
        <w:b/>
        <w:color w:val="9BBB59" w:themeColor="accent3"/>
        <w14:textFill>
          <w14:solidFill>
            <w14:schemeClr w14:val="accent3"/>
          </w14:solidFill>
        </w14:textFill>
      </w:rPr>
    </w:tblStylePr>
    <w:tblStylePr w:type="lastCol">
      <w:rPr>
        <w:b/>
        <w:color w:val="9BBB59" w:themeColor="accent3"/>
        <w14:textFill>
          <w14:solidFill>
            <w14:schemeClr w14:val="accent3"/>
          </w14:solidFill>
        </w14:textFill>
      </w:rPr>
    </w:tblStylePr>
    <w:tblStylePr w:type="band1Vert"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9BBB59" w:themeColor="accent3"/>
        <w:sz w:val="22"/>
        <w14:textFill>
          <w14:solidFill>
            <w14:schemeClr w14:val="accent3"/>
          </w14:solidFill>
        </w14:textFill>
      </w:rPr>
      <w:tcPr>
        <w:shd w:val="clear" w:color="auto" w:fill="EAF1DD" w:themeFill="accent3" w:themeFillTint="34"/>
      </w:tcPr>
    </w:tblStylePr>
    <w:tblStylePr w:type="band2Horz">
      <w:rPr>
        <w:rFonts w:ascii="Arial" w:hAnsi="Arial"/>
        <w:color w:val="9BBB59" w:themeColor="accent3"/>
        <w:sz w:val="22"/>
        <w14:textFill>
          <w14:solidFill>
            <w14:schemeClr w14:val="accent3"/>
          </w14:solidFill>
        </w14:textFill>
      </w:rPr>
    </w:tblStylePr>
  </w:style>
  <w:style w:type="table" w:customStyle="1" w:styleId="105">
    <w:name w:val="Grid Table 6 Colorful - Accent 4"/>
    <w:basedOn w:val="33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6">
    <w:name w:val="Grid Table 6 Colorful - Accent 5"/>
    <w:basedOn w:val="33"/>
    <w:qFormat/>
    <w:uiPriority w:val="99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7">
    <w:name w:val="Grid Table 6 Colorful - Accent 6"/>
    <w:basedOn w:val="33"/>
    <w:qFormat/>
    <w:uiPriority w:val="99"/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auto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8">
    <w:name w:val="网格表 7 彩色1"/>
    <w:basedOn w:val="33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auto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9">
    <w:name w:val="Grid Table 7 Colorful - Accent 1"/>
    <w:basedOn w:val="33"/>
    <w:qFormat/>
    <w:uiPriority w:val="99"/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auto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10">
    <w:name w:val="Grid Table 7 Colorful - Accent 2"/>
    <w:basedOn w:val="33"/>
    <w:qFormat/>
    <w:uiPriority w:val="99"/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11">
    <w:name w:val="Grid Table 7 Colorful - Accent 3"/>
    <w:basedOn w:val="33"/>
    <w:qFormat/>
    <w:uiPriority w:val="99"/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  <w14:textFill>
          <w14:solidFill>
            <w14:schemeClr w14:val="accent3"/>
          </w14:solidFill>
        </w14:textFill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9BBB59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9BBB59" w:themeColor="accent3"/>
        <w:sz w:val="22"/>
        <w14:textFill>
          <w14:solidFill>
            <w14:schemeClr w14:val="accent3"/>
          </w14:solidFill>
        </w14:textFill>
      </w:rPr>
      <w:tcPr>
        <w:shd w:val="clear" w:color="auto" w:fill="EAF1DD" w:themeFill="accent3" w:themeFillTint="34"/>
      </w:tcPr>
    </w:tblStylePr>
    <w:tblStylePr w:type="band2Horz">
      <w:rPr>
        <w:rFonts w:ascii="Arial" w:hAnsi="Arial"/>
        <w:color w:val="9BBB59" w:themeColor="accent3"/>
        <w:sz w:val="22"/>
        <w14:textFill>
          <w14:solidFill>
            <w14:schemeClr w14:val="accent3"/>
          </w14:solidFill>
        </w14:textFill>
      </w:rPr>
    </w:tblStylePr>
  </w:style>
  <w:style w:type="table" w:customStyle="1" w:styleId="112">
    <w:name w:val="Grid Table 7 Colorful - Accent 4"/>
    <w:basedOn w:val="33"/>
    <w:qFormat/>
    <w:uiPriority w:val="99"/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13">
    <w:name w:val="Grid Table 7 Colorful - Accent 5"/>
    <w:basedOn w:val="33"/>
    <w:qFormat/>
    <w:uiPriority w:val="99"/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8" w:themeColor="accent5" w:themeShade="94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14">
    <w:name w:val="Grid Table 7 Colorful - Accent 6"/>
    <w:basedOn w:val="33"/>
    <w:qFormat/>
    <w:uiPriority w:val="99"/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05408" w:themeColor="accent6" w:themeShade="94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B05408" w:themeColor="accent6" w:themeShade="94"/>
        <w:sz w:val="22"/>
      </w:rPr>
      <w:tcPr>
        <w:shd w:val="clear" w:color="auto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</w:tblStylePr>
  </w:style>
  <w:style w:type="table" w:customStyle="1" w:styleId="115">
    <w:name w:val="清单表 1 浅色1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BEBEBE" w:themeFill="text1" w:themeFillTint="40"/>
      </w:tcPr>
    </w:tblStylePr>
    <w:tblStylePr w:type="band1Horz">
      <w:tcPr>
        <w:shd w:val="clear" w:color="auto" w:fill="BEBEBE" w:themeFill="text1" w:themeFillTint="40"/>
      </w:tcPr>
    </w:tblStylePr>
  </w:style>
  <w:style w:type="table" w:customStyle="1" w:styleId="116">
    <w:name w:val="List Table 1 Light - Accent 1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2DFEE" w:themeFill="accent1" w:themeFillTint="40"/>
      </w:tcPr>
    </w:tblStylePr>
    <w:tblStylePr w:type="band1Horz">
      <w:tcPr>
        <w:shd w:val="clear" w:color="auto" w:fill="D2DFEE" w:themeFill="accent1" w:themeFillTint="40"/>
      </w:tcPr>
    </w:tblStylePr>
  </w:style>
  <w:style w:type="table" w:customStyle="1" w:styleId="117">
    <w:name w:val="List Table 1 Light - Accent 2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EFD3D2" w:themeFill="accent2" w:themeFillTint="40"/>
      </w:tcPr>
    </w:tblStylePr>
    <w:tblStylePr w:type="band1Horz">
      <w:tcPr>
        <w:shd w:val="clear" w:color="auto" w:fill="EFD3D2" w:themeFill="accent2" w:themeFillTint="40"/>
      </w:tcPr>
    </w:tblStylePr>
  </w:style>
  <w:style w:type="table" w:customStyle="1" w:styleId="118">
    <w:name w:val="List Table 1 Light - Accent 3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E5EDD5" w:themeFill="accent3" w:themeFillTint="40"/>
      </w:tcPr>
    </w:tblStylePr>
    <w:tblStylePr w:type="band1Horz">
      <w:tcPr>
        <w:shd w:val="clear" w:color="auto" w:fill="E5EDD5" w:themeFill="accent3" w:themeFillTint="40"/>
      </w:tcPr>
    </w:tblStylePr>
  </w:style>
  <w:style w:type="table" w:customStyle="1" w:styleId="119">
    <w:name w:val="List Table 1 Light - Accent 4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FD8E7" w:themeFill="accent4" w:themeFillTint="40"/>
      </w:tcPr>
    </w:tblStylePr>
    <w:tblStylePr w:type="band1Horz">
      <w:tcPr>
        <w:shd w:val="clear" w:color="auto" w:fill="DFD8E7" w:themeFill="accent4" w:themeFillTint="40"/>
      </w:tcPr>
    </w:tblStylePr>
  </w:style>
  <w:style w:type="table" w:customStyle="1" w:styleId="120">
    <w:name w:val="List Table 1 Light - Accent 5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D1EAF0" w:themeFill="accent5" w:themeFillTint="40"/>
      </w:tcPr>
    </w:tblStylePr>
    <w:tblStylePr w:type="band1Horz">
      <w:tcPr>
        <w:shd w:val="clear" w:color="auto" w:fill="D1EAF0" w:themeFill="accent5" w:themeFillTint="40"/>
      </w:tcPr>
    </w:tblStylePr>
  </w:style>
  <w:style w:type="table" w:customStyle="1" w:styleId="121">
    <w:name w:val="List Table 1 Light - Accent 6"/>
    <w:basedOn w:val="33"/>
    <w:qFormat/>
    <w:uiPriority w:val="99"/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auto" w:fill="FCE4D0" w:themeFill="accent6" w:themeFillTint="40"/>
      </w:tcPr>
    </w:tblStylePr>
    <w:tblStylePr w:type="band1Horz">
      <w:tcPr>
        <w:shd w:val="clear" w:color="auto" w:fill="FCE4D0" w:themeFill="accent6" w:themeFillTint="40"/>
      </w:tcPr>
    </w:tblStylePr>
  </w:style>
  <w:style w:type="table" w:customStyle="1" w:styleId="122">
    <w:name w:val="清单表 21"/>
    <w:basedOn w:val="33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BEBEBE" w:themeFill="text1" w:themeFillTint="40"/>
      </w:tcPr>
    </w:tblStylePr>
  </w:style>
  <w:style w:type="table" w:customStyle="1" w:styleId="123">
    <w:name w:val="List Table 2 - Accent 1"/>
    <w:basedOn w:val="33"/>
    <w:qFormat/>
    <w:uiPriority w:val="99"/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</w:style>
  <w:style w:type="table" w:customStyle="1" w:styleId="124">
    <w:name w:val="List Table 2 - Accent 2"/>
    <w:basedOn w:val="33"/>
    <w:qFormat/>
    <w:uiPriority w:val="99"/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FD3D2" w:themeFill="accent2" w:themeFillTint="40"/>
      </w:tcPr>
    </w:tblStylePr>
  </w:style>
  <w:style w:type="table" w:customStyle="1" w:styleId="125">
    <w:name w:val="List Table 2 - Accent 3"/>
    <w:basedOn w:val="33"/>
    <w:qFormat/>
    <w:uiPriority w:val="99"/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EDD5" w:themeFill="accent3" w:themeFillTint="40"/>
      </w:tcPr>
    </w:tblStylePr>
  </w:style>
  <w:style w:type="table" w:customStyle="1" w:styleId="126">
    <w:name w:val="List Table 2 - Accent 4"/>
    <w:basedOn w:val="33"/>
    <w:qFormat/>
    <w:uiPriority w:val="99"/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</w:style>
  <w:style w:type="table" w:customStyle="1" w:styleId="127">
    <w:name w:val="List Table 2 - Accent 5"/>
    <w:basedOn w:val="33"/>
    <w:qFormat/>
    <w:uiPriority w:val="99"/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</w:style>
  <w:style w:type="table" w:customStyle="1" w:styleId="128">
    <w:name w:val="List Table 2 - Accent 6"/>
    <w:basedOn w:val="33"/>
    <w:qFormat/>
    <w:uiPriority w:val="99"/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CE4D0" w:themeFill="accent6" w:themeFillTint="40"/>
      </w:tcPr>
    </w:tblStylePr>
  </w:style>
  <w:style w:type="table" w:customStyle="1" w:styleId="129">
    <w:name w:val="清单表 31"/>
    <w:basedOn w:val="33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30">
    <w:name w:val="List Table 3 - Accent 1"/>
    <w:basedOn w:val="33"/>
    <w:qFormat/>
    <w:uiPriority w:val="99"/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31">
    <w:name w:val="List Table 3 - Accent 2"/>
    <w:basedOn w:val="33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32">
    <w:name w:val="List Table 3 - Accent 3"/>
    <w:basedOn w:val="33"/>
    <w:qFormat/>
    <w:uiPriority w:val="99"/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33">
    <w:name w:val="List Table 3 - Accent 4"/>
    <w:basedOn w:val="33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34">
    <w:name w:val="List Table 3 - Accent 5"/>
    <w:basedOn w:val="33"/>
    <w:qFormat/>
    <w:uiPriority w:val="99"/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35">
    <w:name w:val="List Table 3 - Accent 6"/>
    <w:basedOn w:val="33"/>
    <w:qFormat/>
    <w:uiPriority w:val="99"/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36">
    <w:name w:val="清单表 41"/>
    <w:basedOn w:val="33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BEBEBE" w:themeFill="text1" w:themeFillTint="40"/>
      </w:tcPr>
    </w:tblStylePr>
  </w:style>
  <w:style w:type="table" w:customStyle="1" w:styleId="137">
    <w:name w:val="List Table 4 - Accent 1"/>
    <w:basedOn w:val="33"/>
    <w:qFormat/>
    <w:uiPriority w:val="9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</w:style>
  <w:style w:type="table" w:customStyle="1" w:styleId="138">
    <w:name w:val="List Table 4 - Accent 2"/>
    <w:basedOn w:val="33"/>
    <w:qFormat/>
    <w:uiPriority w:val="9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FD3D2" w:themeFill="accent2" w:themeFillTint="40"/>
      </w:tcPr>
    </w:tblStylePr>
  </w:style>
  <w:style w:type="table" w:customStyle="1" w:styleId="139">
    <w:name w:val="List Table 4 - Accent 3"/>
    <w:basedOn w:val="33"/>
    <w:qFormat/>
    <w:uiPriority w:val="9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E5EDD5" w:themeFill="accent3" w:themeFillTint="40"/>
      </w:tcPr>
    </w:tblStylePr>
  </w:style>
  <w:style w:type="table" w:customStyle="1" w:styleId="140">
    <w:name w:val="List Table 4 - Accent 4"/>
    <w:basedOn w:val="33"/>
    <w:qFormat/>
    <w:uiPriority w:val="9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</w:style>
  <w:style w:type="table" w:customStyle="1" w:styleId="141">
    <w:name w:val="List Table 4 - Accent 5"/>
    <w:basedOn w:val="33"/>
    <w:qFormat/>
    <w:uiPriority w:val="9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</w:style>
  <w:style w:type="table" w:customStyle="1" w:styleId="142">
    <w:name w:val="List Table 4 - Accent 6"/>
    <w:basedOn w:val="33"/>
    <w:qFormat/>
    <w:uiPriority w:val="9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auto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auto" w:fill="FCE4D0" w:themeFill="accent6" w:themeFillTint="40"/>
      </w:tcPr>
    </w:tblStylePr>
  </w:style>
  <w:style w:type="table" w:customStyle="1" w:styleId="143">
    <w:name w:val="清单表 5 深色1"/>
    <w:basedOn w:val="33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auto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7E7E7E" w:themeFill="text1" w:themeFillTint="80"/>
      </w:tcPr>
    </w:tblStylePr>
  </w:style>
  <w:style w:type="table" w:customStyle="1" w:styleId="144">
    <w:name w:val="List Table 5 Dark - Accent 1"/>
    <w:basedOn w:val="33"/>
    <w:qFormat/>
    <w:uiPriority w:val="99"/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4F81BD" w:themeFill="accent1"/>
      </w:tcPr>
    </w:tblStylePr>
  </w:style>
  <w:style w:type="table" w:customStyle="1" w:styleId="145">
    <w:name w:val="List Table 5 Dark - Accent 2"/>
    <w:basedOn w:val="33"/>
    <w:qFormat/>
    <w:uiPriority w:val="99"/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auto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D99795" w:themeFill="accent2" w:themeFillTint="97"/>
      </w:tcPr>
    </w:tblStylePr>
  </w:style>
  <w:style w:type="table" w:customStyle="1" w:styleId="146">
    <w:name w:val="List Table 5 Dark - Accent 3"/>
    <w:basedOn w:val="33"/>
    <w:qFormat/>
    <w:uiPriority w:val="99"/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auto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C3D69C" w:themeFill="accent3" w:themeFillTint="98"/>
      </w:tcPr>
    </w:tblStylePr>
  </w:style>
  <w:style w:type="table" w:customStyle="1" w:styleId="147">
    <w:name w:val="List Table 5 Dark - Accent 4"/>
    <w:basedOn w:val="33"/>
    <w:qFormat/>
    <w:uiPriority w:val="99"/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B2A1C6" w:themeFill="accent4" w:themeFillTint="9A"/>
      </w:tcPr>
    </w:tblStylePr>
  </w:style>
  <w:style w:type="table" w:customStyle="1" w:styleId="148">
    <w:name w:val="List Table 5 Dark - Accent 5"/>
    <w:basedOn w:val="33"/>
    <w:qFormat/>
    <w:uiPriority w:val="99"/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92CCDC" w:themeFill="accent5" w:themeFillTint="9A"/>
      </w:tcPr>
    </w:tblStylePr>
  </w:style>
  <w:style w:type="table" w:customStyle="1" w:styleId="149">
    <w:name w:val="List Table 5 Dark - Accent 6"/>
    <w:basedOn w:val="33"/>
    <w:qFormat/>
    <w:uiPriority w:val="99"/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uto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uto" w:fill="FAC090" w:themeFill="accent6" w:themeFillTint="98"/>
      </w:tcPr>
    </w:tblStylePr>
  </w:style>
  <w:style w:type="table" w:customStyle="1" w:styleId="150">
    <w:name w:val="清单表 6 彩色1"/>
    <w:basedOn w:val="33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auto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auto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51">
    <w:name w:val="List Table 6 Colorful - Accent 1"/>
    <w:basedOn w:val="33"/>
    <w:qFormat/>
    <w:uiPriority w:val="99"/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4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</w:tblStylePr>
    <w:tblStylePr w:type="lastCol">
      <w:rPr>
        <w:b/>
        <w:color w:val="2A4B71" w:themeColor="accent1" w:themeShade="94"/>
      </w:rPr>
    </w:tblStylePr>
    <w:tblStylePr w:type="band1Vert"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2">
    <w:name w:val="List Table 6 Colorful - Accent 2"/>
    <w:basedOn w:val="33"/>
    <w:qFormat/>
    <w:uiPriority w:val="99"/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auto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auto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3">
    <w:name w:val="List Table 6 Colorful - Accent 3"/>
    <w:basedOn w:val="33"/>
    <w:qFormat/>
    <w:uiPriority w:val="99"/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auto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auto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4">
    <w:name w:val="List Table 6 Colorful - Accent 4"/>
    <w:basedOn w:val="33"/>
    <w:qFormat/>
    <w:uiPriority w:val="99"/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5">
    <w:name w:val="List Table 6 Colorful - Accent 5"/>
    <w:basedOn w:val="33"/>
    <w:qFormat/>
    <w:uiPriority w:val="99"/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6">
    <w:name w:val="List Table 6 Colorful - Accent 6"/>
    <w:basedOn w:val="33"/>
    <w:qFormat/>
    <w:uiPriority w:val="99"/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auto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auto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7">
    <w:name w:val="清单表 7 彩色1"/>
    <w:basedOn w:val="33"/>
    <w:qFormat/>
    <w:uiPriority w:val="99"/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auto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8">
    <w:name w:val="List Table 7 Colorful - Accent 1"/>
    <w:basedOn w:val="33"/>
    <w:qFormat/>
    <w:uiPriority w:val="99"/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9">
    <w:name w:val="List Table 7 Colorful - Accent 2"/>
    <w:basedOn w:val="33"/>
    <w:qFormat/>
    <w:uiPriority w:val="99"/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auto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60">
    <w:name w:val="List Table 7 Colorful - Accent 3"/>
    <w:basedOn w:val="33"/>
    <w:qFormat/>
    <w:uiPriority w:val="99"/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auto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61">
    <w:name w:val="List Table 7 Colorful - Accent 4"/>
    <w:basedOn w:val="33"/>
    <w:qFormat/>
    <w:uiPriority w:val="99"/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62">
    <w:name w:val="List Table 7 Colorful - Accent 5"/>
    <w:basedOn w:val="33"/>
    <w:qFormat/>
    <w:uiPriority w:val="99"/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63">
    <w:name w:val="List Table 7 Colorful - Accent 6"/>
    <w:basedOn w:val="33"/>
    <w:qFormat/>
    <w:uiPriority w:val="99"/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auto" w:fill="FFFFFF"/>
      </w:tcPr>
    </w:tblStylePr>
    <w:tblStylePr w:type="band1Vert">
      <w:tcPr>
        <w:shd w:val="clear" w:color="auto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auto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4">
    <w:name w:val="Lined - Accent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</w:style>
  <w:style w:type="table" w:customStyle="1" w:styleId="165">
    <w:name w:val="Lined - Accent 1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</w:style>
  <w:style w:type="table" w:customStyle="1" w:styleId="166">
    <w:name w:val="Lined - Accent 2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</w:style>
  <w:style w:type="table" w:customStyle="1" w:styleId="167">
    <w:name w:val="Lined - Accent 3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</w:style>
  <w:style w:type="table" w:customStyle="1" w:styleId="168">
    <w:name w:val="Lined - Accent 4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</w:style>
  <w:style w:type="table" w:customStyle="1" w:styleId="169">
    <w:name w:val="Lined - Accent 5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</w:style>
  <w:style w:type="table" w:customStyle="1" w:styleId="170">
    <w:name w:val="Lined - Accent 6"/>
    <w:basedOn w:val="33"/>
    <w:qFormat/>
    <w:uiPriority w:val="99"/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</w:style>
  <w:style w:type="table" w:customStyle="1" w:styleId="171">
    <w:name w:val="Bordered &amp; Lined - Accent"/>
    <w:basedOn w:val="33"/>
    <w:qFormat/>
    <w:uiPriority w:val="99"/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1F1F1" w:themeFill="text1" w:themeFillTint="0D"/>
      </w:tcPr>
    </w:tblStylePr>
  </w:style>
  <w:style w:type="table" w:customStyle="1" w:styleId="172">
    <w:name w:val="Bordered &amp; Lined - Accent 1"/>
    <w:basedOn w:val="33"/>
    <w:qFormat/>
    <w:uiPriority w:val="99"/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</w:style>
  <w:style w:type="table" w:customStyle="1" w:styleId="173">
    <w:name w:val="Bordered &amp; Lined - Accent 2"/>
    <w:basedOn w:val="33"/>
    <w:qFormat/>
    <w:uiPriority w:val="99"/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</w:style>
  <w:style w:type="table" w:customStyle="1" w:styleId="174">
    <w:name w:val="Bordered &amp; Lined - Accent 3"/>
    <w:basedOn w:val="33"/>
    <w:qFormat/>
    <w:uiPriority w:val="99"/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 w:themeFill="accent3" w:themeFillTint="34"/>
      </w:tcPr>
    </w:tblStylePr>
  </w:style>
  <w:style w:type="table" w:customStyle="1" w:styleId="175">
    <w:name w:val="Bordered &amp; Lined - Accent 4"/>
    <w:basedOn w:val="33"/>
    <w:qFormat/>
    <w:uiPriority w:val="99"/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</w:style>
  <w:style w:type="table" w:customStyle="1" w:styleId="176">
    <w:name w:val="Bordered &amp; Lined - Accent 5"/>
    <w:basedOn w:val="33"/>
    <w:qFormat/>
    <w:uiPriority w:val="99"/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</w:style>
  <w:style w:type="table" w:customStyle="1" w:styleId="177">
    <w:name w:val="Bordered &amp; Lined - Accent 6"/>
    <w:basedOn w:val="33"/>
    <w:qFormat/>
    <w:uiPriority w:val="99"/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 w:themeFill="accent6" w:themeFillTint="34"/>
      </w:tcPr>
    </w:tblStylePr>
  </w:style>
  <w:style w:type="table" w:customStyle="1" w:styleId="178">
    <w:name w:val="Bordered"/>
    <w:basedOn w:val="33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9">
    <w:name w:val="Bordered - Accent 1"/>
    <w:basedOn w:val="33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80">
    <w:name w:val="Bordered - Accent 2"/>
    <w:basedOn w:val="33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81">
    <w:name w:val="Bordered - Accent 3"/>
    <w:basedOn w:val="3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82">
    <w:name w:val="Bordered - Accent 4"/>
    <w:basedOn w:val="33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83">
    <w:name w:val="Bordered - Accent 5"/>
    <w:basedOn w:val="33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84">
    <w:name w:val="Bordered - Accent 6"/>
    <w:basedOn w:val="33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85">
    <w:name w:val="脚注文本 字符"/>
    <w:link w:val="26"/>
    <w:qFormat/>
    <w:uiPriority w:val="99"/>
    <w:rPr>
      <w:sz w:val="18"/>
    </w:rPr>
  </w:style>
  <w:style w:type="character" w:customStyle="1" w:styleId="186">
    <w:name w:val="尾注文本 字符"/>
    <w:link w:val="19"/>
    <w:qFormat/>
    <w:uiPriority w:val="99"/>
    <w:rPr>
      <w:sz w:val="20"/>
    </w:rPr>
  </w:style>
  <w:style w:type="paragraph" w:customStyle="1" w:styleId="187">
    <w:name w:val="TOC 标题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</w:pPr>
    <w:rPr>
      <w:rFonts w:ascii="Times New Roman" w:hAnsi="Times New Roman" w:eastAsia="宋体" w:cs="Times New Roman"/>
      <w:szCs w:val="22"/>
      <w:lang w:val="en-US" w:eastAsia="zh-CN" w:bidi="ar-SA"/>
    </w:rPr>
  </w:style>
  <w:style w:type="table" w:customStyle="1" w:styleId="188">
    <w:name w:val="Table Normal1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9">
    <w:name w:val="列出段落111"/>
    <w:basedOn w:val="1"/>
    <w:qFormat/>
    <w:uiPriority w:val="1"/>
    <w:pPr>
      <w:ind w:left="120" w:hanging="392"/>
    </w:pPr>
  </w:style>
  <w:style w:type="paragraph" w:customStyle="1" w:styleId="190">
    <w:name w:val="Table Paragraph"/>
    <w:basedOn w:val="1"/>
    <w:qFormat/>
    <w:uiPriority w:val="1"/>
  </w:style>
  <w:style w:type="paragraph" w:customStyle="1" w:styleId="191">
    <w:name w:val="列出段落11"/>
    <w:basedOn w:val="1"/>
    <w:qFormat/>
    <w:uiPriority w:val="1"/>
    <w:pPr>
      <w:ind w:left="120" w:hanging="392"/>
    </w:pPr>
  </w:style>
  <w:style w:type="paragraph" w:customStyle="1" w:styleId="192">
    <w:name w:val="engPara"/>
    <w:basedOn w:val="1"/>
    <w:qFormat/>
    <w:uiPriority w:val="0"/>
    <w:pPr>
      <w:jc w:val="both"/>
    </w:pPr>
    <w:rPr>
      <w:rFonts w:ascii="apple sd gothic neo" w:hAnsi="apple sd gothic neo" w:eastAsia="apple sd gothic neo"/>
      <w:sz w:val="21"/>
    </w:rPr>
  </w:style>
  <w:style w:type="paragraph" w:customStyle="1" w:styleId="193">
    <w:name w:val="p1"/>
    <w:basedOn w:val="1"/>
    <w:qFormat/>
    <w:uiPriority w:val="0"/>
    <w:rPr>
      <w:rFonts w:ascii="pingfang sc" w:hAnsi="pingfang sc" w:eastAsia="pingfang sc" w:cs="Times New Roman"/>
      <w:color w:val="000000"/>
      <w:sz w:val="20"/>
      <w:szCs w:val="20"/>
    </w:rPr>
  </w:style>
  <w:style w:type="paragraph" w:customStyle="1" w:styleId="194">
    <w:name w:val="p2"/>
    <w:basedOn w:val="1"/>
    <w:qFormat/>
    <w:uiPriority w:val="0"/>
    <w:rPr>
      <w:rFonts w:ascii="songti sc" w:hAnsi="songti sc" w:eastAsia="songti sc" w:cs="Times New Roman"/>
      <w:color w:val="000000"/>
      <w:sz w:val="37"/>
      <w:szCs w:val="37"/>
    </w:rPr>
  </w:style>
  <w:style w:type="character" w:customStyle="1" w:styleId="195">
    <w:name w:val="s1"/>
    <w:basedOn w:val="35"/>
    <w:qFormat/>
    <w:uiPriority w:val="0"/>
    <w:rPr>
      <w:rFonts w:ascii="Helvetica Neue" w:hAnsi="Helvetica Neue" w:eastAsia="Helvetica Neue" w:cs="Helvetica Neue"/>
      <w:sz w:val="20"/>
      <w:szCs w:val="20"/>
    </w:rPr>
  </w:style>
  <w:style w:type="character" w:customStyle="1" w:styleId="196">
    <w:name w:val="页眉 字符"/>
    <w:basedOn w:val="35"/>
    <w:link w:val="22"/>
    <w:qFormat/>
    <w:uiPriority w:val="0"/>
    <w:rPr>
      <w:rFonts w:ascii="宋体" w:hAnsi="宋体" w:cs="宋体"/>
      <w:sz w:val="18"/>
      <w:szCs w:val="18"/>
    </w:rPr>
  </w:style>
  <w:style w:type="character" w:customStyle="1" w:styleId="197">
    <w:name w:val="页脚 字符"/>
    <w:basedOn w:val="35"/>
    <w:link w:val="21"/>
    <w:qFormat/>
    <w:uiPriority w:val="0"/>
    <w:rPr>
      <w:rFonts w:ascii="宋体" w:hAnsi="宋体" w:cs="宋体"/>
      <w:sz w:val="18"/>
      <w:szCs w:val="18"/>
    </w:rPr>
  </w:style>
  <w:style w:type="character" w:customStyle="1" w:styleId="198">
    <w:name w:val="批注框文本 字符"/>
    <w:basedOn w:val="35"/>
    <w:link w:val="20"/>
    <w:semiHidden/>
    <w:qFormat/>
    <w:uiPriority w:val="99"/>
    <w:rPr>
      <w:rFonts w:ascii="宋体" w:hAnsi="宋体" w:cs="宋体"/>
      <w:sz w:val="18"/>
      <w:szCs w:val="18"/>
      <w:shd w:val="clear" w:color="auto" w:fill="FFFFFF"/>
    </w:rPr>
  </w:style>
  <w:style w:type="character" w:customStyle="1" w:styleId="199">
    <w:name w:val="批注文字 字符"/>
    <w:basedOn w:val="35"/>
    <w:link w:val="14"/>
    <w:semiHidden/>
    <w:qFormat/>
    <w:uiPriority w:val="99"/>
    <w:rPr>
      <w:rFonts w:ascii="宋体" w:hAnsi="宋体" w:cs="宋体"/>
      <w:sz w:val="22"/>
      <w:szCs w:val="22"/>
      <w:shd w:val="clear" w:color="auto" w:fill="FFFFFF"/>
    </w:rPr>
  </w:style>
  <w:style w:type="character" w:customStyle="1" w:styleId="200">
    <w:name w:val="批注主题 字符"/>
    <w:basedOn w:val="199"/>
    <w:link w:val="32"/>
    <w:semiHidden/>
    <w:qFormat/>
    <w:uiPriority w:val="99"/>
    <w:rPr>
      <w:rFonts w:ascii="宋体" w:hAnsi="宋体" w:cs="宋体"/>
      <w:b/>
      <w:bCs/>
      <w:sz w:val="22"/>
      <w:szCs w:val="22"/>
      <w:shd w:val="clear" w:color="auto" w:fill="FFFFFF"/>
    </w:rPr>
  </w:style>
  <w:style w:type="paragraph" w:customStyle="1" w:styleId="201">
    <w:name w:val="列出段落2"/>
    <w:basedOn w:val="1"/>
    <w:qFormat/>
    <w:uiPriority w:val="1"/>
    <w:pPr>
      <w:ind w:left="120" w:hanging="392"/>
    </w:pPr>
  </w:style>
  <w:style w:type="paragraph" w:customStyle="1" w:styleId="20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3">
    <w:name w:val="修订1"/>
    <w:hidden/>
    <w:semiHidden/>
    <w:qFormat/>
    <w:uiPriority w:val="99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Chinese ORG</Company>
  <Pages>10</Pages>
  <Words>2902</Words>
  <Characters>3307</Characters>
  <Lines>33</Lines>
  <Paragraphs>9</Paragraphs>
  <TotalTime>1</TotalTime>
  <ScaleCrop>false</ScaleCrop>
  <LinksUpToDate>false</LinksUpToDate>
  <CharactersWithSpaces>3634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2022-01-02T03:51:00Z</dcterms:created>
  <dc:creator>zq</dc:creator>
  <cp:lastModifiedBy>陈振沐</cp:lastModifiedBy>
  <dcterms:modified xsi:type="dcterms:W3CDTF">2022-03-28T05:46:49Z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2B4F7C01413C498C804A260D3A78763B</vt:lpwstr>
  </property>
</Properties>
</file>