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left="105" w:leftChars="50" w:firstLine="600" w:firstLineChars="200"/>
        <w:rPr>
          <w:rFonts w:ascii="宋体" w:hAnsi="宋体"/>
          <w:b/>
          <w:sz w:val="28"/>
          <w:szCs w:val="28"/>
        </w:rPr>
      </w:pPr>
      <w:r>
        <w:rPr>
          <w:rFonts w:hint="eastAsia" w:ascii="仿宋_GB2312" w:eastAsia="仿宋_GB2312"/>
          <w:b/>
          <w:bCs/>
          <w:sz w:val="30"/>
          <w:szCs w:val="30"/>
        </w:rPr>
        <w:t>附件一：美加达公司基本资料</w:t>
      </w:r>
    </w:p>
    <w:p>
      <w:pPr>
        <w:adjustRightInd w:val="0"/>
        <w:snapToGrid w:val="0"/>
        <w:spacing w:line="360" w:lineRule="auto"/>
        <w:jc w:val="center"/>
        <w:rPr>
          <w:rFonts w:hint="eastAsia" w:ascii="宋体" w:hAnsi="宋体"/>
          <w:b/>
          <w:sz w:val="36"/>
          <w:szCs w:val="36"/>
        </w:rPr>
      </w:pPr>
    </w:p>
    <w:p>
      <w:pPr>
        <w:adjustRightInd w:val="0"/>
        <w:snapToGrid w:val="0"/>
        <w:spacing w:line="360" w:lineRule="auto"/>
        <w:jc w:val="center"/>
        <w:rPr>
          <w:rFonts w:ascii="宋体" w:hAnsi="宋体"/>
          <w:b/>
          <w:sz w:val="36"/>
          <w:szCs w:val="36"/>
        </w:rPr>
      </w:pPr>
      <w:r>
        <w:rPr>
          <w:rFonts w:hint="eastAsia" w:ascii="宋体" w:hAnsi="宋体"/>
          <w:b/>
          <w:sz w:val="36"/>
          <w:szCs w:val="36"/>
        </w:rPr>
        <w:t>美加达</w:t>
      </w:r>
      <w:r>
        <w:rPr>
          <w:rFonts w:ascii="宋体" w:hAnsi="宋体"/>
          <w:b/>
          <w:sz w:val="36"/>
          <w:szCs w:val="36"/>
        </w:rPr>
        <w:t>公司基本资料</w:t>
      </w:r>
    </w:p>
    <w:p>
      <w:pPr>
        <w:pStyle w:val="4"/>
        <w:adjustRightInd w:val="0"/>
        <w:snapToGrid w:val="0"/>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深圳市美加达公路工程有限公司成立于1993年，属于原龙岗区公路局直属国有企业，具有公路工程、市政公用工程施工总承包二级资质、公路交通工程专业承包（公路安全设施分项、公路机电工程分项）二级资质。公司下辖路宏工程检测有限公司、美精达建设工程技术咨询有限公司及美加艺园园林绿化工程有限公司，主要从事公路、桥梁、隧道工程、市政工程的施工，道路养护、试验检测、项目代管（建）、园林绿化施工及应急抢修等工作，拥有各种机械设备车辆104台。</w:t>
      </w:r>
    </w:p>
    <w:p>
      <w:pPr>
        <w:pStyle w:val="4"/>
        <w:adjustRightInd w:val="0"/>
        <w:snapToGrid w:val="0"/>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公司总资产约2.27亿元，其中流动资产约2.14亿元，固定资产约1291.46万元，负债约0.94亿元。经营收入约1.94亿元，营业成本约1.22亿元。</w:t>
      </w:r>
    </w:p>
    <w:p>
      <w:pPr>
        <w:spacing w:line="560" w:lineRule="exact"/>
        <w:ind w:left="105" w:leftChars="50" w:firstLine="600" w:firstLineChars="200"/>
        <w:rPr>
          <w:rFonts w:ascii="仿宋_GB2312" w:eastAsia="仿宋_GB2312"/>
          <w:b/>
          <w:bCs/>
          <w:sz w:val="30"/>
          <w:szCs w:val="30"/>
        </w:rPr>
      </w:pPr>
      <w:r>
        <w:rPr>
          <w:rFonts w:ascii="仿宋_GB2312" w:eastAsia="仿宋_GB2312"/>
          <w:b/>
          <w:bCs/>
          <w:sz w:val="30"/>
          <w:szCs w:val="30"/>
        </w:rPr>
        <w:br w:type="page"/>
      </w:r>
      <w:r>
        <w:rPr>
          <w:rFonts w:hint="eastAsia" w:ascii="仿宋_GB2312" w:eastAsia="仿宋_GB2312"/>
          <w:b/>
          <w:bCs/>
          <w:sz w:val="30"/>
          <w:szCs w:val="30"/>
        </w:rPr>
        <w:t>附件二：响应文件一览表</w:t>
      </w:r>
    </w:p>
    <w:p>
      <w:pPr>
        <w:pStyle w:val="10"/>
        <w:widowControl/>
        <w:spacing w:line="560" w:lineRule="exact"/>
        <w:ind w:left="105" w:leftChars="50" w:firstLine="600" w:firstLineChars="200"/>
        <w:rPr>
          <w:rFonts w:hint="default" w:ascii="仿宋" w:hAnsi="仿宋" w:eastAsia="仿宋"/>
          <w:b/>
          <w:sz w:val="30"/>
          <w:szCs w:val="30"/>
        </w:rPr>
      </w:pPr>
    </w:p>
    <w:p>
      <w:pPr>
        <w:pStyle w:val="10"/>
        <w:widowControl/>
        <w:spacing w:line="560" w:lineRule="exact"/>
        <w:ind w:left="105" w:leftChars="50" w:firstLine="600" w:firstLineChars="200"/>
        <w:rPr>
          <w:rFonts w:hint="default" w:ascii="仿宋" w:hAnsi="仿宋" w:eastAsia="仿宋"/>
          <w:sz w:val="30"/>
          <w:szCs w:val="30"/>
        </w:rPr>
      </w:pPr>
      <w:r>
        <w:rPr>
          <w:rFonts w:ascii="仿宋" w:hAnsi="仿宋" w:eastAsia="仿宋"/>
          <w:b/>
          <w:sz w:val="30"/>
          <w:szCs w:val="30"/>
        </w:rPr>
        <w:t>响应</w:t>
      </w:r>
      <w:r>
        <w:rPr>
          <w:rFonts w:hint="default" w:ascii="仿宋" w:hAnsi="仿宋" w:eastAsia="仿宋"/>
          <w:b/>
          <w:sz w:val="30"/>
          <w:szCs w:val="30"/>
        </w:rPr>
        <w:t>文件要求一览</w:t>
      </w:r>
      <w:r>
        <w:rPr>
          <w:rFonts w:ascii="仿宋" w:hAnsi="仿宋" w:eastAsia="仿宋"/>
          <w:b/>
          <w:sz w:val="30"/>
          <w:szCs w:val="30"/>
        </w:rPr>
        <w:t>表</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5"/>
        <w:gridCol w:w="3478"/>
        <w:gridCol w:w="45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1035" w:type="dxa"/>
            <w:noWrap w:val="0"/>
            <w:vAlign w:val="center"/>
          </w:tcPr>
          <w:p>
            <w:pPr>
              <w:pStyle w:val="11"/>
              <w:spacing w:line="560" w:lineRule="exact"/>
              <w:ind w:left="105" w:leftChars="50" w:firstLine="480"/>
              <w:jc w:val="center"/>
              <w:rPr>
                <w:rFonts w:ascii="宋体" w:hAnsi="宋体"/>
                <w:sz w:val="24"/>
              </w:rPr>
            </w:pPr>
            <w:r>
              <w:rPr>
                <w:rFonts w:hint="eastAsia" w:ascii="宋体" w:hAnsi="宋体"/>
                <w:sz w:val="24"/>
              </w:rPr>
              <w:t>序号</w:t>
            </w:r>
          </w:p>
        </w:tc>
        <w:tc>
          <w:tcPr>
            <w:tcW w:w="3478" w:type="dxa"/>
            <w:noWrap w:val="0"/>
            <w:vAlign w:val="center"/>
          </w:tcPr>
          <w:p>
            <w:pPr>
              <w:pStyle w:val="11"/>
              <w:spacing w:line="560" w:lineRule="exact"/>
              <w:ind w:left="105" w:leftChars="50" w:firstLine="480"/>
              <w:jc w:val="center"/>
              <w:rPr>
                <w:rFonts w:ascii="宋体" w:hAnsi="宋体"/>
                <w:sz w:val="24"/>
              </w:rPr>
            </w:pPr>
            <w:r>
              <w:rPr>
                <w:rFonts w:ascii="宋体" w:hAnsi="宋体"/>
                <w:sz w:val="24"/>
              </w:rPr>
              <w:t>文件名称</w:t>
            </w:r>
          </w:p>
        </w:tc>
        <w:tc>
          <w:tcPr>
            <w:tcW w:w="4518" w:type="dxa"/>
            <w:noWrap w:val="0"/>
            <w:vAlign w:val="center"/>
          </w:tcPr>
          <w:p>
            <w:pPr>
              <w:pStyle w:val="11"/>
              <w:spacing w:line="560" w:lineRule="exact"/>
              <w:ind w:left="105" w:leftChars="50" w:firstLine="480"/>
              <w:jc w:val="center"/>
              <w:rPr>
                <w:rFonts w:ascii="宋体" w:hAnsi="宋体"/>
                <w:sz w:val="24"/>
              </w:rPr>
            </w:pPr>
            <w:r>
              <w:rPr>
                <w:rFonts w:ascii="宋体" w:hAnsi="宋体"/>
                <w:sz w:val="24"/>
              </w:rPr>
              <w:t>要求说明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0" w:hRule="atLeast"/>
        </w:trPr>
        <w:tc>
          <w:tcPr>
            <w:tcW w:w="1035" w:type="dxa"/>
            <w:noWrap w:val="0"/>
            <w:vAlign w:val="center"/>
          </w:tcPr>
          <w:p>
            <w:pPr>
              <w:pStyle w:val="11"/>
              <w:spacing w:line="560" w:lineRule="exact"/>
              <w:ind w:left="105" w:leftChars="50"/>
              <w:jc w:val="center"/>
              <w:rPr>
                <w:rFonts w:ascii="宋体" w:hAnsi="宋体"/>
                <w:szCs w:val="21"/>
              </w:rPr>
            </w:pPr>
            <w:r>
              <w:rPr>
                <w:rFonts w:hint="eastAsia" w:ascii="宋体" w:hAnsi="宋体"/>
                <w:szCs w:val="21"/>
              </w:rPr>
              <w:t>1</w:t>
            </w:r>
          </w:p>
        </w:tc>
        <w:tc>
          <w:tcPr>
            <w:tcW w:w="3478" w:type="dxa"/>
            <w:noWrap w:val="0"/>
            <w:vAlign w:val="center"/>
          </w:tcPr>
          <w:p>
            <w:pPr>
              <w:adjustRightInd w:val="0"/>
              <w:snapToGrid w:val="0"/>
              <w:spacing w:line="560" w:lineRule="exact"/>
              <w:ind w:left="105" w:leftChars="50" w:firstLine="420" w:firstLineChars="200"/>
              <w:jc w:val="left"/>
              <w:rPr>
                <w:rFonts w:ascii="宋体" w:hAnsi="宋体"/>
                <w:szCs w:val="21"/>
              </w:rPr>
            </w:pPr>
            <w:r>
              <w:rPr>
                <w:rFonts w:hint="eastAsia" w:ascii="宋体" w:hAnsi="宋体"/>
                <w:szCs w:val="21"/>
              </w:rPr>
              <w:t>基本情况资料</w:t>
            </w:r>
          </w:p>
        </w:tc>
        <w:tc>
          <w:tcPr>
            <w:tcW w:w="4518" w:type="dxa"/>
            <w:noWrap w:val="0"/>
            <w:vAlign w:val="center"/>
          </w:tcPr>
          <w:p>
            <w:pPr>
              <w:adjustRightInd w:val="0"/>
              <w:snapToGrid w:val="0"/>
              <w:spacing w:line="560" w:lineRule="exact"/>
              <w:ind w:left="105" w:leftChars="50" w:firstLine="420" w:firstLineChars="200"/>
              <w:jc w:val="left"/>
              <w:rPr>
                <w:rFonts w:ascii="宋体" w:hAnsi="宋体"/>
                <w:szCs w:val="21"/>
              </w:rPr>
            </w:pPr>
            <w:r>
              <w:rPr>
                <w:rFonts w:hint="eastAsia" w:ascii="宋体" w:hAnsi="宋体"/>
                <w:color w:val="000000"/>
                <w:szCs w:val="21"/>
              </w:rPr>
              <w:t>提供营业执照复印件、注册资本金证明材料、具备从事证券服务业务的执业资格、近三年内无重大违法违规记录、相关资产评估业绩（根据资格要求提供）、法定代表人证明书及身份证复印件、法定代表人授权委托书及身份证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1" w:hRule="atLeast"/>
        </w:trPr>
        <w:tc>
          <w:tcPr>
            <w:tcW w:w="1035" w:type="dxa"/>
            <w:noWrap w:val="0"/>
            <w:vAlign w:val="center"/>
          </w:tcPr>
          <w:p>
            <w:pPr>
              <w:pStyle w:val="11"/>
              <w:spacing w:line="560" w:lineRule="exact"/>
              <w:ind w:left="105" w:leftChars="50"/>
              <w:jc w:val="center"/>
              <w:rPr>
                <w:rFonts w:ascii="宋体" w:hAnsi="宋体"/>
                <w:szCs w:val="21"/>
              </w:rPr>
            </w:pPr>
            <w:r>
              <w:rPr>
                <w:rFonts w:hint="eastAsia" w:ascii="宋体" w:hAnsi="宋体"/>
                <w:szCs w:val="21"/>
              </w:rPr>
              <w:t>2</w:t>
            </w:r>
          </w:p>
        </w:tc>
        <w:tc>
          <w:tcPr>
            <w:tcW w:w="3478" w:type="dxa"/>
            <w:noWrap w:val="0"/>
            <w:vAlign w:val="center"/>
          </w:tcPr>
          <w:p>
            <w:pPr>
              <w:adjustRightInd w:val="0"/>
              <w:snapToGrid w:val="0"/>
              <w:spacing w:line="560" w:lineRule="exact"/>
              <w:ind w:left="105" w:leftChars="50" w:firstLine="420" w:firstLineChars="200"/>
              <w:jc w:val="left"/>
              <w:rPr>
                <w:rFonts w:ascii="宋体" w:hAnsi="宋体"/>
                <w:szCs w:val="21"/>
              </w:rPr>
            </w:pPr>
            <w:r>
              <w:rPr>
                <w:rFonts w:hint="eastAsia" w:ascii="宋体" w:hAnsi="宋体"/>
                <w:szCs w:val="21"/>
              </w:rPr>
              <w:t>报价承诺函</w:t>
            </w:r>
          </w:p>
        </w:tc>
        <w:tc>
          <w:tcPr>
            <w:tcW w:w="4518" w:type="dxa"/>
            <w:noWrap w:val="0"/>
            <w:vAlign w:val="center"/>
          </w:tcPr>
          <w:p>
            <w:pPr>
              <w:pStyle w:val="11"/>
              <w:spacing w:line="560" w:lineRule="exact"/>
              <w:ind w:left="105" w:leftChars="50"/>
              <w:jc w:val="left"/>
              <w:rPr>
                <w:rFonts w:ascii="宋体" w:hAnsi="宋体"/>
                <w:szCs w:val="21"/>
              </w:rPr>
            </w:pPr>
            <w:r>
              <w:rPr>
                <w:rFonts w:hint="eastAsia" w:ascii="宋体" w:hAnsi="宋体" w:cs="仿宋"/>
                <w:szCs w:val="21"/>
              </w:rPr>
              <w:t>报价不得超过采购上限价，保留小数点后2位，格式见附件三。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9" w:hRule="atLeast"/>
        </w:trPr>
        <w:tc>
          <w:tcPr>
            <w:tcW w:w="1035" w:type="dxa"/>
            <w:noWrap w:val="0"/>
            <w:vAlign w:val="center"/>
          </w:tcPr>
          <w:p>
            <w:pPr>
              <w:pStyle w:val="11"/>
              <w:spacing w:line="560" w:lineRule="exact"/>
              <w:ind w:left="105" w:leftChars="50"/>
              <w:jc w:val="center"/>
              <w:rPr>
                <w:rFonts w:hint="eastAsia" w:ascii="宋体" w:hAnsi="宋体"/>
                <w:szCs w:val="21"/>
              </w:rPr>
            </w:pPr>
            <w:r>
              <w:rPr>
                <w:rFonts w:hint="eastAsia" w:ascii="宋体" w:hAnsi="宋体"/>
                <w:szCs w:val="21"/>
              </w:rPr>
              <w:t>3</w:t>
            </w:r>
          </w:p>
        </w:tc>
        <w:tc>
          <w:tcPr>
            <w:tcW w:w="3478" w:type="dxa"/>
            <w:noWrap w:val="0"/>
            <w:vAlign w:val="center"/>
          </w:tcPr>
          <w:p>
            <w:pPr>
              <w:adjustRightInd w:val="0"/>
              <w:snapToGrid w:val="0"/>
              <w:spacing w:line="560" w:lineRule="exact"/>
              <w:ind w:left="105" w:leftChars="50" w:firstLine="420" w:firstLineChars="200"/>
              <w:jc w:val="left"/>
              <w:rPr>
                <w:rFonts w:hint="eastAsia" w:ascii="宋体" w:hAnsi="宋体"/>
                <w:szCs w:val="21"/>
              </w:rPr>
            </w:pPr>
            <w:r>
              <w:rPr>
                <w:rFonts w:hint="eastAsia" w:ascii="宋体" w:hAnsi="宋体"/>
                <w:szCs w:val="21"/>
              </w:rPr>
              <w:t>评审资料</w:t>
            </w:r>
          </w:p>
        </w:tc>
        <w:tc>
          <w:tcPr>
            <w:tcW w:w="4518" w:type="dxa"/>
            <w:noWrap w:val="0"/>
            <w:vAlign w:val="center"/>
          </w:tcPr>
          <w:p>
            <w:pPr>
              <w:pStyle w:val="11"/>
              <w:spacing w:line="560" w:lineRule="exact"/>
              <w:ind w:left="105" w:leftChars="50"/>
              <w:jc w:val="left"/>
              <w:rPr>
                <w:rFonts w:hint="eastAsia" w:ascii="宋体" w:hAnsi="宋体" w:cs="仿宋"/>
                <w:szCs w:val="21"/>
              </w:rPr>
            </w:pPr>
            <w:r>
              <w:rPr>
                <w:rFonts w:hint="eastAsia" w:ascii="宋体" w:hAnsi="宋体" w:cs="仿宋"/>
                <w:szCs w:val="21"/>
              </w:rPr>
              <w:t>按附件四综合评分表相关内容提供。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9" w:hRule="atLeast"/>
        </w:trPr>
        <w:tc>
          <w:tcPr>
            <w:tcW w:w="1035" w:type="dxa"/>
            <w:noWrap w:val="0"/>
            <w:vAlign w:val="center"/>
          </w:tcPr>
          <w:p>
            <w:pPr>
              <w:pStyle w:val="11"/>
              <w:spacing w:line="560" w:lineRule="exact"/>
              <w:ind w:left="105" w:leftChars="50"/>
              <w:jc w:val="center"/>
              <w:rPr>
                <w:rFonts w:ascii="宋体" w:hAnsi="宋体"/>
                <w:szCs w:val="21"/>
              </w:rPr>
            </w:pPr>
            <w:r>
              <w:rPr>
                <w:rFonts w:hint="eastAsia" w:ascii="宋体" w:hAnsi="宋体"/>
                <w:szCs w:val="21"/>
              </w:rPr>
              <w:t>4</w:t>
            </w:r>
          </w:p>
        </w:tc>
        <w:tc>
          <w:tcPr>
            <w:tcW w:w="3478" w:type="dxa"/>
            <w:noWrap w:val="0"/>
            <w:vAlign w:val="center"/>
          </w:tcPr>
          <w:p>
            <w:pPr>
              <w:pStyle w:val="11"/>
              <w:spacing w:line="560" w:lineRule="exact"/>
              <w:ind w:left="105" w:leftChars="50"/>
              <w:jc w:val="left"/>
              <w:rPr>
                <w:rFonts w:ascii="宋体" w:hAnsi="宋体" w:cs="宋体"/>
                <w:kern w:val="0"/>
                <w:szCs w:val="21"/>
              </w:rPr>
            </w:pPr>
            <w:r>
              <w:rPr>
                <w:rFonts w:hint="eastAsia" w:ascii="宋体" w:hAnsi="宋体" w:cs="宋体"/>
                <w:kern w:val="0"/>
                <w:szCs w:val="21"/>
              </w:rPr>
              <w:t>报价人认为需要加以说明的其他内容</w:t>
            </w:r>
          </w:p>
        </w:tc>
        <w:tc>
          <w:tcPr>
            <w:tcW w:w="4518" w:type="dxa"/>
            <w:noWrap w:val="0"/>
            <w:vAlign w:val="center"/>
          </w:tcPr>
          <w:p>
            <w:pPr>
              <w:pStyle w:val="11"/>
              <w:spacing w:line="560" w:lineRule="exact"/>
              <w:ind w:left="105" w:leftChars="50"/>
              <w:jc w:val="left"/>
              <w:rPr>
                <w:rFonts w:ascii="宋体" w:hAnsi="宋体"/>
                <w:color w:val="000000"/>
                <w:szCs w:val="21"/>
              </w:rPr>
            </w:pPr>
            <w:r>
              <w:rPr>
                <w:rFonts w:hint="eastAsia" w:ascii="宋体" w:hAnsi="宋体"/>
                <w:color w:val="000000"/>
                <w:szCs w:val="21"/>
              </w:rPr>
              <w:t>如有。</w:t>
            </w:r>
          </w:p>
        </w:tc>
      </w:tr>
    </w:tbl>
    <w:p>
      <w:pPr>
        <w:spacing w:line="560" w:lineRule="exact"/>
        <w:ind w:left="105" w:leftChars="50" w:firstLine="480" w:firstLineChars="200"/>
        <w:rPr>
          <w:rFonts w:ascii="仿宋_GB2312" w:eastAsia="仿宋_GB2312"/>
          <w:b/>
          <w:bCs/>
          <w:sz w:val="30"/>
          <w:szCs w:val="30"/>
        </w:rPr>
      </w:pPr>
      <w:r>
        <w:rPr>
          <w:rFonts w:hint="eastAsia" w:ascii="仿宋_GB2312" w:eastAsia="仿宋_GB2312"/>
          <w:sz w:val="24"/>
        </w:rPr>
        <w:t>备注：以上提供资料均须加盖公章，未加盖公章资料视为无效资料。</w:t>
      </w:r>
    </w:p>
    <w:p>
      <w:pPr>
        <w:spacing w:line="520" w:lineRule="exact"/>
        <w:ind w:left="105" w:leftChars="50" w:firstLine="600" w:firstLineChars="200"/>
        <w:rPr>
          <w:rFonts w:ascii="仿宋_GB2312" w:eastAsia="仿宋_GB2312"/>
          <w:b/>
          <w:bCs/>
          <w:sz w:val="30"/>
          <w:szCs w:val="30"/>
        </w:rPr>
      </w:pPr>
      <w:r>
        <w:rPr>
          <w:rFonts w:ascii="仿宋_GB2312" w:eastAsia="仿宋_GB2312"/>
          <w:b/>
          <w:bCs/>
          <w:sz w:val="30"/>
          <w:szCs w:val="30"/>
        </w:rPr>
        <w:br w:type="page"/>
      </w:r>
      <w:r>
        <w:rPr>
          <w:rFonts w:hint="eastAsia" w:ascii="仿宋_GB2312" w:eastAsia="仿宋_GB2312"/>
          <w:b/>
          <w:bCs/>
          <w:sz w:val="30"/>
          <w:szCs w:val="30"/>
        </w:rPr>
        <w:t>附件三：报价承诺函</w:t>
      </w:r>
    </w:p>
    <w:p>
      <w:pPr>
        <w:pStyle w:val="2"/>
        <w:spacing w:line="520" w:lineRule="exact"/>
        <w:ind w:left="105" w:leftChars="50" w:firstLine="720" w:firstLineChars="200"/>
        <w:jc w:val="center"/>
        <w:rPr>
          <w:rFonts w:hAnsi="宋体"/>
          <w:bCs/>
          <w:sz w:val="24"/>
          <w:szCs w:val="24"/>
        </w:rPr>
      </w:pPr>
      <w:r>
        <w:rPr>
          <w:rFonts w:hint="eastAsia" w:hAnsi="宋体"/>
          <w:sz w:val="36"/>
          <w:szCs w:val="36"/>
        </w:rPr>
        <w:t>承诺函</w:t>
      </w:r>
    </w:p>
    <w:p>
      <w:pPr>
        <w:pStyle w:val="2"/>
        <w:spacing w:line="520" w:lineRule="exact"/>
        <w:ind w:left="105" w:leftChars="50" w:firstLine="480" w:firstLineChars="200"/>
        <w:rPr>
          <w:rFonts w:hAnsi="宋体"/>
          <w:bCs/>
          <w:sz w:val="24"/>
          <w:szCs w:val="24"/>
        </w:rPr>
      </w:pPr>
      <w:r>
        <w:rPr>
          <w:rFonts w:hint="eastAsia" w:hAnsi="宋体"/>
          <w:bCs/>
          <w:sz w:val="24"/>
          <w:szCs w:val="24"/>
        </w:rPr>
        <w:t>致采购人:</w:t>
      </w:r>
      <w:r>
        <w:rPr>
          <w:rFonts w:hint="eastAsia" w:hAnsi="宋体"/>
          <w:sz w:val="24"/>
          <w:szCs w:val="24"/>
          <w:u w:val="single"/>
        </w:rPr>
        <w:t xml:space="preserve"> 深圳市龙岗区城市建设投资集团有限公司</w:t>
      </w:r>
    </w:p>
    <w:p>
      <w:pPr>
        <w:pStyle w:val="2"/>
        <w:spacing w:line="520" w:lineRule="exact"/>
        <w:ind w:left="105" w:leftChars="50" w:firstLine="480" w:firstLineChars="200"/>
        <w:rPr>
          <w:rFonts w:hAnsi="宋体"/>
          <w:bCs/>
          <w:sz w:val="24"/>
          <w:szCs w:val="24"/>
        </w:rPr>
      </w:pPr>
      <w:r>
        <w:rPr>
          <w:rFonts w:hint="eastAsia" w:hAnsi="宋体"/>
          <w:bCs/>
          <w:sz w:val="24"/>
          <w:szCs w:val="24"/>
        </w:rPr>
        <w:t>为了确保本项目工作顺利进行，我方将严格执行建设工程招标投标管理的法律法规，并完全接受</w:t>
      </w:r>
      <w:r>
        <w:rPr>
          <w:rFonts w:hint="eastAsia" w:hAnsi="宋体"/>
          <w:b/>
          <w:sz w:val="24"/>
          <w:szCs w:val="24"/>
          <w:u w:val="single"/>
        </w:rPr>
        <w:t>美加达公司资产评估服务采购公告</w:t>
      </w:r>
      <w:r>
        <w:rPr>
          <w:rFonts w:hint="eastAsia" w:hAnsi="宋体"/>
          <w:bCs/>
          <w:sz w:val="24"/>
          <w:szCs w:val="24"/>
        </w:rPr>
        <w:t>的所有内容及要求，为此作出如下承诺：</w:t>
      </w:r>
    </w:p>
    <w:p>
      <w:pPr>
        <w:pStyle w:val="2"/>
        <w:numPr>
          <w:ilvl w:val="0"/>
          <w:numId w:val="1"/>
        </w:numPr>
        <w:spacing w:line="520" w:lineRule="exact"/>
        <w:ind w:left="105" w:leftChars="50" w:firstLine="480" w:firstLineChars="200"/>
        <w:rPr>
          <w:rFonts w:hAnsi="宋体"/>
          <w:b/>
          <w:sz w:val="24"/>
          <w:szCs w:val="24"/>
        </w:rPr>
      </w:pPr>
      <w:r>
        <w:rPr>
          <w:rFonts w:hint="eastAsia" w:hAnsi="宋体"/>
          <w:b/>
          <w:bCs/>
          <w:sz w:val="24"/>
          <w:szCs w:val="24"/>
        </w:rPr>
        <w:t>根</w:t>
      </w:r>
      <w:r>
        <w:rPr>
          <w:rFonts w:hint="eastAsia" w:hAnsi="宋体"/>
          <w:b/>
          <w:sz w:val="24"/>
          <w:szCs w:val="24"/>
        </w:rPr>
        <w:t>据企业自身情况，理性报价，不会以低于成本的报价竞标，并愿以</w:t>
      </w:r>
      <w:r>
        <w:rPr>
          <w:rFonts w:hint="eastAsia" w:hAnsi="宋体"/>
          <w:b/>
          <w:sz w:val="24"/>
          <w:szCs w:val="24"/>
          <w:u w:val="single"/>
        </w:rPr>
        <w:t xml:space="preserve">     </w:t>
      </w:r>
      <w:r>
        <w:rPr>
          <w:rFonts w:hint="eastAsia" w:hAnsi="宋体"/>
          <w:b/>
          <w:sz w:val="24"/>
          <w:szCs w:val="24"/>
        </w:rPr>
        <w:t>元，按照采购人要求承包本项目工作，并签署服务合同。否则，我方愿意承担任何风险。（响应供应商填写）</w:t>
      </w:r>
    </w:p>
    <w:p>
      <w:pPr>
        <w:pStyle w:val="2"/>
        <w:numPr>
          <w:ilvl w:val="0"/>
          <w:numId w:val="1"/>
        </w:numPr>
        <w:spacing w:line="520" w:lineRule="exact"/>
        <w:ind w:left="105" w:leftChars="50" w:firstLine="480" w:firstLineChars="200"/>
        <w:rPr>
          <w:rFonts w:hAnsi="宋体"/>
          <w:bCs/>
          <w:sz w:val="24"/>
          <w:szCs w:val="24"/>
        </w:rPr>
      </w:pPr>
      <w:r>
        <w:rPr>
          <w:rFonts w:hint="eastAsia" w:hAnsi="宋体"/>
          <w:bCs/>
          <w:sz w:val="24"/>
          <w:szCs w:val="24"/>
        </w:rPr>
        <w:t>一旦我方中选，将与委托单位友好合作，并以不低于自身已有同类工作案例中最优的质量标准、进度要求、团队配置执行委托工作任务，自觉接受委托单位的日常监管和履约评价，为委托单位提供优质、高效服务，确保承接工作质量。</w:t>
      </w:r>
    </w:p>
    <w:p>
      <w:pPr>
        <w:pStyle w:val="2"/>
        <w:numPr>
          <w:ilvl w:val="0"/>
          <w:numId w:val="1"/>
        </w:numPr>
        <w:spacing w:line="520" w:lineRule="exact"/>
        <w:ind w:left="105" w:leftChars="50" w:firstLine="480" w:firstLineChars="200"/>
        <w:rPr>
          <w:rFonts w:hAnsi="宋体"/>
          <w:bCs/>
          <w:sz w:val="24"/>
          <w:szCs w:val="24"/>
        </w:rPr>
      </w:pPr>
      <w:r>
        <w:rPr>
          <w:rFonts w:hint="eastAsia" w:hAnsi="宋体"/>
          <w:bCs/>
          <w:sz w:val="24"/>
          <w:szCs w:val="24"/>
        </w:rPr>
        <w:t>我方承诺履行项目管理班子配备义务，不擅自更换遴选时的项目团队（注册执业人员），如不能继续履行职责确需更换的，所更换人员为我单位职工，其从业资格不低于遴选时承诺条件。</w:t>
      </w:r>
    </w:p>
    <w:p>
      <w:pPr>
        <w:pStyle w:val="2"/>
        <w:numPr>
          <w:ilvl w:val="0"/>
          <w:numId w:val="1"/>
        </w:numPr>
        <w:spacing w:line="520" w:lineRule="exact"/>
        <w:ind w:left="105" w:leftChars="50" w:firstLine="480" w:firstLineChars="200"/>
        <w:rPr>
          <w:rFonts w:hAnsi="宋体"/>
          <w:bCs/>
          <w:sz w:val="24"/>
          <w:szCs w:val="24"/>
        </w:rPr>
      </w:pPr>
      <w:r>
        <w:rPr>
          <w:rFonts w:hint="eastAsia" w:hAnsi="宋体"/>
          <w:bCs/>
          <w:sz w:val="24"/>
          <w:szCs w:val="24"/>
        </w:rPr>
        <w:t>如果违反本承诺书中任何条款，我方愿意接受：</w:t>
      </w:r>
    </w:p>
    <w:p>
      <w:pPr>
        <w:pStyle w:val="2"/>
        <w:spacing w:line="520" w:lineRule="exact"/>
        <w:ind w:left="105" w:leftChars="50" w:firstLine="480" w:firstLineChars="200"/>
        <w:rPr>
          <w:rFonts w:hAnsi="宋体"/>
          <w:bCs/>
          <w:sz w:val="24"/>
          <w:szCs w:val="24"/>
        </w:rPr>
      </w:pPr>
      <w:r>
        <w:rPr>
          <w:rFonts w:hint="eastAsia" w:hAnsi="宋体"/>
          <w:bCs/>
          <w:sz w:val="24"/>
          <w:szCs w:val="24"/>
        </w:rPr>
        <w:t>（1）视作我方单方面违约，并按照合同规定向贵方支付违约金或解除合同；</w:t>
      </w:r>
    </w:p>
    <w:p>
      <w:pPr>
        <w:pStyle w:val="2"/>
        <w:spacing w:line="520" w:lineRule="exact"/>
        <w:ind w:left="105" w:leftChars="50" w:firstLine="480" w:firstLineChars="200"/>
        <w:rPr>
          <w:rFonts w:hAnsi="宋体"/>
          <w:bCs/>
          <w:sz w:val="24"/>
          <w:szCs w:val="24"/>
        </w:rPr>
      </w:pPr>
      <w:r>
        <w:rPr>
          <w:rFonts w:hint="eastAsia" w:hAnsi="宋体"/>
          <w:bCs/>
          <w:sz w:val="24"/>
          <w:szCs w:val="24"/>
        </w:rPr>
        <w:t>（2）履约评价评定为合格及以下；</w:t>
      </w:r>
    </w:p>
    <w:p>
      <w:pPr>
        <w:pStyle w:val="2"/>
        <w:spacing w:line="520" w:lineRule="exact"/>
        <w:ind w:left="105" w:leftChars="50" w:firstLine="480" w:firstLineChars="200"/>
        <w:rPr>
          <w:rFonts w:hAnsi="宋体"/>
          <w:bCs/>
          <w:sz w:val="24"/>
          <w:szCs w:val="24"/>
        </w:rPr>
      </w:pPr>
      <w:r>
        <w:rPr>
          <w:rFonts w:hint="eastAsia" w:hAnsi="宋体"/>
          <w:bCs/>
          <w:sz w:val="24"/>
          <w:szCs w:val="24"/>
        </w:rPr>
        <w:t>（3）贵方今后可拒绝我方参与投标；</w:t>
      </w:r>
    </w:p>
    <w:p>
      <w:pPr>
        <w:pStyle w:val="2"/>
        <w:spacing w:line="520" w:lineRule="exact"/>
        <w:ind w:left="105" w:leftChars="50" w:firstLine="480" w:firstLineChars="200"/>
        <w:rPr>
          <w:rFonts w:hAnsi="宋体"/>
          <w:bCs/>
          <w:sz w:val="24"/>
          <w:szCs w:val="24"/>
        </w:rPr>
      </w:pPr>
      <w:r>
        <w:rPr>
          <w:rFonts w:hint="eastAsia" w:hAnsi="宋体"/>
          <w:bCs/>
          <w:sz w:val="24"/>
          <w:szCs w:val="24"/>
        </w:rPr>
        <w:t>（4）建设行政主管部门或相关主管部门的不良行为记录、行政处罚。</w:t>
      </w:r>
    </w:p>
    <w:p>
      <w:pPr>
        <w:pStyle w:val="2"/>
        <w:spacing w:line="520" w:lineRule="exact"/>
        <w:ind w:left="105" w:leftChars="50" w:firstLine="480" w:firstLineChars="200"/>
        <w:rPr>
          <w:rFonts w:hAnsi="宋体"/>
          <w:bCs/>
          <w:sz w:val="24"/>
          <w:szCs w:val="24"/>
        </w:rPr>
      </w:pPr>
    </w:p>
    <w:p>
      <w:pPr>
        <w:spacing w:line="520" w:lineRule="exact"/>
        <w:ind w:left="105" w:leftChars="50" w:firstLine="480" w:firstLineChars="200"/>
        <w:rPr>
          <w:rFonts w:ascii="宋体" w:hAnsi="宋体"/>
          <w:bCs/>
          <w:sz w:val="24"/>
        </w:rPr>
      </w:pPr>
      <w:r>
        <w:rPr>
          <w:rFonts w:hint="eastAsia" w:ascii="宋体" w:hAnsi="宋体"/>
          <w:bCs/>
          <w:sz w:val="24"/>
        </w:rPr>
        <w:t>承诺单位（盖章）：</w:t>
      </w:r>
    </w:p>
    <w:p>
      <w:pPr>
        <w:spacing w:line="520" w:lineRule="exact"/>
        <w:ind w:left="105" w:leftChars="50" w:firstLine="480" w:firstLineChars="200"/>
        <w:rPr>
          <w:rFonts w:ascii="宋体" w:hAnsi="宋体"/>
          <w:bCs/>
          <w:sz w:val="24"/>
        </w:rPr>
      </w:pPr>
      <w:r>
        <w:rPr>
          <w:rFonts w:hint="eastAsia" w:ascii="宋体" w:hAnsi="宋体"/>
          <w:bCs/>
          <w:sz w:val="24"/>
        </w:rPr>
        <w:t>法定代表人或授权委托人（签字或盖私章）：</w:t>
      </w:r>
    </w:p>
    <w:p>
      <w:pPr>
        <w:spacing w:line="520" w:lineRule="exact"/>
        <w:ind w:left="105" w:leftChars="50" w:firstLine="480" w:firstLineChars="200"/>
        <w:rPr>
          <w:rFonts w:ascii="宋体" w:hAnsi="宋体"/>
          <w:bCs/>
          <w:sz w:val="24"/>
        </w:rPr>
      </w:pPr>
      <w:r>
        <w:rPr>
          <w:rFonts w:hint="eastAsia" w:ascii="宋体" w:hAnsi="宋体"/>
          <w:bCs/>
          <w:sz w:val="24"/>
        </w:rPr>
        <w:t>签署日期：    年    月    日</w:t>
      </w:r>
    </w:p>
    <w:p>
      <w:pPr>
        <w:spacing w:line="520" w:lineRule="exact"/>
        <w:ind w:left="105" w:leftChars="50" w:firstLine="420" w:firstLineChars="200"/>
        <w:rPr>
          <w:rFonts w:ascii="仿宋_GB2312" w:eastAsia="仿宋_GB2312"/>
          <w:b/>
          <w:bCs/>
          <w:sz w:val="30"/>
          <w:szCs w:val="30"/>
        </w:rPr>
      </w:pPr>
      <w:r>
        <w:br w:type="page"/>
      </w:r>
      <w:r>
        <w:rPr>
          <w:rFonts w:hint="eastAsia" w:ascii="仿宋_GB2312" w:eastAsia="仿宋_GB2312"/>
          <w:b/>
          <w:bCs/>
          <w:sz w:val="30"/>
          <w:szCs w:val="30"/>
        </w:rPr>
        <w:t>附件四：美加达公司资产评估综合评分表</w:t>
      </w:r>
    </w:p>
    <w:p>
      <w:pPr>
        <w:spacing w:line="520" w:lineRule="exact"/>
        <w:ind w:left="105" w:leftChars="50" w:firstLine="560" w:firstLineChars="200"/>
        <w:rPr>
          <w:rFonts w:ascii="宋体" w:hAnsi="宋体" w:cs="PingFang SC Regular"/>
          <w:sz w:val="28"/>
          <w:szCs w:val="28"/>
        </w:rPr>
      </w:pP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360" w:lineRule="auto"/>
        <w:jc w:val="center"/>
        <w:rPr>
          <w:rFonts w:ascii="PingFang SC Regular" w:hAnsi="PingFang SC Regular" w:eastAsia="PingFang SC Regular" w:cs="PingFang SC Regular"/>
          <w:sz w:val="36"/>
          <w:szCs w:val="36"/>
        </w:rPr>
      </w:pPr>
      <w:r>
        <w:rPr>
          <w:rFonts w:eastAsia="PingFang SC Regular"/>
          <w:sz w:val="36"/>
          <w:szCs w:val="36"/>
        </w:rPr>
        <w:t>综合评分表</w:t>
      </w:r>
    </w:p>
    <w:tbl>
      <w:tblPr>
        <w:tblStyle w:val="7"/>
        <w:tblW w:w="9955"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4F81BD"/>
        <w:tblLayout w:type="fixed"/>
        <w:tblCellMar>
          <w:top w:w="0" w:type="dxa"/>
          <w:left w:w="0" w:type="dxa"/>
          <w:bottom w:w="0" w:type="dxa"/>
          <w:right w:w="0" w:type="dxa"/>
        </w:tblCellMar>
      </w:tblPr>
      <w:tblGrid>
        <w:gridCol w:w="556"/>
        <w:gridCol w:w="737"/>
        <w:gridCol w:w="3809"/>
        <w:gridCol w:w="1420"/>
        <w:gridCol w:w="810"/>
        <w:gridCol w:w="840"/>
        <w:gridCol w:w="956"/>
        <w:gridCol w:w="827"/>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4F81BD"/>
          <w:tblCellMar>
            <w:top w:w="0" w:type="dxa"/>
            <w:left w:w="0" w:type="dxa"/>
            <w:bottom w:w="0" w:type="dxa"/>
            <w:right w:w="0" w:type="dxa"/>
          </w:tblCellMar>
        </w:tblPrEx>
        <w:trPr>
          <w:trHeight w:val="620" w:hRule="atLeast"/>
          <w:tblHeader/>
          <w:jc w:val="center"/>
        </w:trPr>
        <w:tc>
          <w:tcPr>
            <w:tcW w:w="556" w:type="dxa"/>
            <w:tcBorders>
              <w:top w:val="single" w:color="000000" w:sz="12" w:space="0"/>
              <w:left w:val="single" w:color="000000" w:sz="12"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pPr>
              <w:tabs>
                <w:tab w:val="left" w:pos="420"/>
              </w:tabs>
              <w:spacing w:line="20" w:lineRule="atLeast"/>
              <w:jc w:val="center"/>
            </w:pPr>
            <w:r>
              <w:rPr>
                <w:rFonts w:ascii="宋体" w:hAnsi="宋体" w:cs="宋体"/>
                <w:b/>
                <w:bCs/>
                <w:szCs w:val="21"/>
              </w:rPr>
              <w:t>序号</w:t>
            </w:r>
          </w:p>
        </w:tc>
        <w:tc>
          <w:tcPr>
            <w:tcW w:w="737" w:type="dxa"/>
            <w:tcBorders>
              <w:top w:val="single" w:color="000000" w:sz="12"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pPr>
              <w:tabs>
                <w:tab w:val="left" w:pos="420"/>
              </w:tabs>
              <w:spacing w:line="20" w:lineRule="atLeast"/>
              <w:jc w:val="center"/>
              <w:rPr>
                <w:rFonts w:ascii="宋体" w:hAnsi="宋体" w:cs="宋体"/>
                <w:b/>
                <w:bCs/>
                <w:szCs w:val="21"/>
              </w:rPr>
            </w:pPr>
            <w:r>
              <w:rPr>
                <w:rFonts w:ascii="宋体" w:hAnsi="宋体" w:cs="宋体"/>
                <w:b/>
                <w:bCs/>
                <w:szCs w:val="21"/>
              </w:rPr>
              <w:t>评审</w:t>
            </w:r>
          </w:p>
          <w:p>
            <w:pPr>
              <w:tabs>
                <w:tab w:val="left" w:pos="420"/>
              </w:tabs>
              <w:spacing w:line="20" w:lineRule="atLeast"/>
              <w:jc w:val="center"/>
            </w:pPr>
            <w:r>
              <w:rPr>
                <w:rFonts w:ascii="宋体" w:hAnsi="宋体" w:cs="宋体"/>
                <w:b/>
                <w:bCs/>
                <w:szCs w:val="21"/>
              </w:rPr>
              <w:t>项目</w:t>
            </w:r>
          </w:p>
        </w:tc>
        <w:tc>
          <w:tcPr>
            <w:tcW w:w="3809" w:type="dxa"/>
            <w:tcBorders>
              <w:top w:val="single" w:color="000000" w:sz="12"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pPr>
              <w:tabs>
                <w:tab w:val="left" w:pos="420"/>
                <w:tab w:val="left" w:pos="840"/>
                <w:tab w:val="left" w:pos="1260"/>
                <w:tab w:val="left" w:pos="1680"/>
                <w:tab w:val="left" w:pos="2100"/>
                <w:tab w:val="left" w:pos="2520"/>
                <w:tab w:val="left" w:pos="2940"/>
                <w:tab w:val="left" w:pos="3360"/>
              </w:tabs>
              <w:spacing w:line="20" w:lineRule="atLeast"/>
              <w:jc w:val="center"/>
            </w:pPr>
            <w:r>
              <w:rPr>
                <w:rFonts w:ascii="宋体" w:hAnsi="宋体" w:cs="宋体"/>
                <w:b/>
                <w:bCs/>
                <w:szCs w:val="21"/>
              </w:rPr>
              <w:t>评审标准</w:t>
            </w:r>
          </w:p>
        </w:tc>
        <w:tc>
          <w:tcPr>
            <w:tcW w:w="1420" w:type="dxa"/>
            <w:tcBorders>
              <w:top w:val="single" w:color="000000" w:sz="12"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pPr>
              <w:tabs>
                <w:tab w:val="left" w:pos="420"/>
                <w:tab w:val="left" w:pos="840"/>
                <w:tab w:val="left" w:pos="1260"/>
              </w:tabs>
              <w:spacing w:line="20" w:lineRule="atLeast"/>
              <w:jc w:val="center"/>
            </w:pPr>
            <w:r>
              <w:rPr>
                <w:rFonts w:ascii="宋体" w:hAnsi="宋体" w:cs="宋体"/>
                <w:b/>
                <w:bCs/>
                <w:szCs w:val="21"/>
              </w:rPr>
              <w:t>证明材料</w:t>
            </w:r>
          </w:p>
        </w:tc>
        <w:tc>
          <w:tcPr>
            <w:tcW w:w="810" w:type="dxa"/>
            <w:tcBorders>
              <w:top w:val="single" w:color="000000" w:sz="12"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pPr>
              <w:tabs>
                <w:tab w:val="left" w:pos="420"/>
              </w:tabs>
              <w:spacing w:line="20" w:lineRule="atLeast"/>
              <w:jc w:val="center"/>
            </w:pPr>
            <w:r>
              <w:rPr>
                <w:rFonts w:ascii="宋体" w:hAnsi="宋体" w:cs="宋体"/>
                <w:b/>
                <w:bCs/>
                <w:szCs w:val="21"/>
              </w:rPr>
              <w:t>分值</w:t>
            </w:r>
          </w:p>
        </w:tc>
        <w:tc>
          <w:tcPr>
            <w:tcW w:w="840" w:type="dxa"/>
            <w:tcBorders>
              <w:top w:val="single" w:color="000000" w:sz="12"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pPr>
              <w:tabs>
                <w:tab w:val="left" w:pos="420"/>
                <w:tab w:val="left" w:pos="840"/>
              </w:tabs>
              <w:spacing w:line="20" w:lineRule="atLeast"/>
              <w:jc w:val="center"/>
            </w:pPr>
            <w:r>
              <w:rPr>
                <w:rFonts w:ascii="宋体" w:hAnsi="宋体" w:cs="宋体"/>
                <w:b/>
                <w:bCs/>
                <w:szCs w:val="21"/>
              </w:rPr>
              <w:t>单位A</w:t>
            </w:r>
          </w:p>
        </w:tc>
        <w:tc>
          <w:tcPr>
            <w:tcW w:w="956" w:type="dxa"/>
            <w:tcBorders>
              <w:top w:val="single" w:color="000000" w:sz="12"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pPr>
              <w:tabs>
                <w:tab w:val="left" w:pos="420"/>
                <w:tab w:val="left" w:pos="840"/>
              </w:tabs>
              <w:spacing w:line="20" w:lineRule="atLeast"/>
              <w:jc w:val="center"/>
            </w:pPr>
            <w:r>
              <w:rPr>
                <w:rFonts w:ascii="宋体" w:hAnsi="宋体" w:cs="宋体"/>
                <w:b/>
                <w:bCs/>
                <w:szCs w:val="21"/>
              </w:rPr>
              <w:t>单位B</w:t>
            </w:r>
          </w:p>
        </w:tc>
        <w:tc>
          <w:tcPr>
            <w:tcW w:w="827" w:type="dxa"/>
            <w:tcBorders>
              <w:top w:val="single" w:color="000000" w:sz="12" w:space="0"/>
              <w:left w:val="single" w:color="000000" w:sz="4" w:space="0"/>
              <w:bottom w:val="single" w:color="000000" w:sz="4" w:space="0"/>
              <w:right w:val="single" w:color="000000" w:sz="12" w:space="0"/>
            </w:tcBorders>
            <w:shd w:val="clear" w:color="auto" w:fill="auto"/>
            <w:noWrap w:val="0"/>
            <w:tcMar>
              <w:top w:w="80" w:type="dxa"/>
              <w:left w:w="80" w:type="dxa"/>
              <w:bottom w:w="80" w:type="dxa"/>
              <w:right w:w="80" w:type="dxa"/>
            </w:tcMar>
            <w:vAlign w:val="center"/>
          </w:tcPr>
          <w:p>
            <w:pPr>
              <w:tabs>
                <w:tab w:val="left" w:pos="420"/>
              </w:tabs>
              <w:spacing w:line="20" w:lineRule="atLeast"/>
              <w:jc w:val="center"/>
            </w:pPr>
            <w:r>
              <w:rPr>
                <w:rFonts w:ascii="宋体" w:hAnsi="宋体" w:cs="宋体"/>
                <w:b/>
                <w:bCs/>
                <w:szCs w:val="21"/>
              </w:rPr>
              <w:t>单位C</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3533" w:hRule="atLeast"/>
          <w:jc w:val="center"/>
        </w:trPr>
        <w:tc>
          <w:tcPr>
            <w:tcW w:w="556" w:type="dxa"/>
            <w:tcBorders>
              <w:top w:val="single" w:color="000000" w:sz="4" w:space="0"/>
              <w:left w:val="single" w:color="000000" w:sz="12"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pPr>
              <w:tabs>
                <w:tab w:val="left" w:pos="420"/>
              </w:tabs>
              <w:spacing w:line="20" w:lineRule="atLeast"/>
              <w:jc w:val="center"/>
            </w:pPr>
            <w:r>
              <w:rPr>
                <w:rFonts w:ascii="宋体" w:hAnsi="宋体" w:cs="宋体"/>
                <w:szCs w:val="21"/>
              </w:rPr>
              <w:t>1</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pPr>
              <w:tabs>
                <w:tab w:val="left" w:pos="420"/>
              </w:tabs>
              <w:spacing w:line="20" w:lineRule="atLeast"/>
              <w:jc w:val="center"/>
            </w:pPr>
            <w:r>
              <w:rPr>
                <w:rFonts w:ascii="宋体" w:hAnsi="宋体" w:cs="宋体"/>
                <w:szCs w:val="21"/>
              </w:rPr>
              <w:t>团队成员配置评分</w:t>
            </w:r>
          </w:p>
        </w:tc>
        <w:tc>
          <w:tcPr>
            <w:tcW w:w="3809"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pPr>
              <w:tabs>
                <w:tab w:val="left" w:pos="420"/>
                <w:tab w:val="left" w:pos="840"/>
                <w:tab w:val="left" w:pos="1260"/>
                <w:tab w:val="left" w:pos="1680"/>
                <w:tab w:val="left" w:pos="2100"/>
                <w:tab w:val="left" w:pos="2520"/>
                <w:tab w:val="left" w:pos="2940"/>
                <w:tab w:val="left" w:pos="3360"/>
              </w:tabs>
              <w:spacing w:line="360" w:lineRule="auto"/>
              <w:rPr>
                <w:rFonts w:ascii="宋体" w:hAnsi="宋体" w:cs="宋体"/>
                <w:szCs w:val="21"/>
              </w:rPr>
            </w:pPr>
            <w:r>
              <w:rPr>
                <w:rFonts w:ascii="宋体" w:hAnsi="宋体" w:cs="宋体"/>
                <w:szCs w:val="21"/>
              </w:rPr>
              <w:t>根据派遣本项目服务人员人数、岗位、从业经验情况，进行横向比较打分，最高得10分。</w:t>
            </w:r>
          </w:p>
          <w:p>
            <w:pPr>
              <w:tabs>
                <w:tab w:val="left" w:pos="420"/>
                <w:tab w:val="left" w:pos="840"/>
                <w:tab w:val="left" w:pos="1260"/>
                <w:tab w:val="left" w:pos="1680"/>
                <w:tab w:val="left" w:pos="2100"/>
                <w:tab w:val="left" w:pos="2520"/>
                <w:tab w:val="left" w:pos="2940"/>
                <w:tab w:val="left" w:pos="3360"/>
              </w:tabs>
              <w:spacing w:line="360" w:lineRule="auto"/>
            </w:pPr>
            <w:r>
              <w:rPr>
                <w:rFonts w:ascii="宋体" w:hAnsi="宋体" w:cs="宋体"/>
                <w:szCs w:val="21"/>
              </w:rPr>
              <w:t>注：须提供派遣人员近三年半内国有企业的改制重组、股权转让、增资扩股等事项的资产评估业绩合同（需要体现业绩类型、时间、种类以及服务人员名称）原件扫描件。</w:t>
            </w: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pPr>
              <w:tabs>
                <w:tab w:val="left" w:pos="420"/>
                <w:tab w:val="left" w:pos="840"/>
                <w:tab w:val="left" w:pos="1260"/>
              </w:tabs>
              <w:spacing w:line="20" w:lineRule="atLeast"/>
              <w:jc w:val="center"/>
            </w:pPr>
            <w:r>
              <w:rPr>
                <w:rFonts w:ascii="宋体" w:hAnsi="宋体" w:cs="宋体"/>
                <w:szCs w:val="21"/>
              </w:rPr>
              <w:t>提供派遣人员的业绩合同和专业证书复印件加盖公章（如涉保密原因，业绩合同可以仅提供盖章那一页，其它具体内容可不提供）。</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pPr>
              <w:tabs>
                <w:tab w:val="left" w:pos="420"/>
              </w:tabs>
              <w:spacing w:line="20" w:lineRule="atLeast"/>
              <w:jc w:val="center"/>
            </w:pPr>
            <w:r>
              <w:rPr>
                <w:rFonts w:ascii="宋体" w:hAnsi="宋体" w:cs="宋体"/>
                <w:szCs w:val="21"/>
              </w:rPr>
              <w:t>10分</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tc>
        <w:tc>
          <w:tcPr>
            <w:tcW w:w="827" w:type="dxa"/>
            <w:tcBorders>
              <w:top w:val="single" w:color="000000" w:sz="4" w:space="0"/>
              <w:left w:val="single" w:color="000000" w:sz="4" w:space="0"/>
              <w:bottom w:val="single" w:color="000000" w:sz="4" w:space="0"/>
              <w:right w:val="single" w:color="000000" w:sz="12" w:space="0"/>
            </w:tcBorders>
            <w:shd w:val="clear" w:color="auto" w:fill="auto"/>
            <w:noWrap w:val="0"/>
            <w:tcMar>
              <w:top w:w="80" w:type="dxa"/>
              <w:left w:w="80" w:type="dxa"/>
              <w:bottom w:w="80" w:type="dxa"/>
              <w:right w:w="80" w:type="dxa"/>
            </w:tcMar>
            <w:vAlign w:val="center"/>
          </w:tc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4360" w:hRule="atLeast"/>
          <w:jc w:val="center"/>
        </w:trPr>
        <w:tc>
          <w:tcPr>
            <w:tcW w:w="556" w:type="dxa"/>
            <w:tcBorders>
              <w:top w:val="single" w:color="000000" w:sz="4" w:space="0"/>
              <w:left w:val="single" w:color="000000" w:sz="12"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pPr>
              <w:tabs>
                <w:tab w:val="left" w:pos="420"/>
              </w:tabs>
              <w:spacing w:line="20" w:lineRule="atLeast"/>
              <w:jc w:val="center"/>
            </w:pPr>
            <w:r>
              <w:rPr>
                <w:rFonts w:ascii="宋体" w:hAnsi="宋体" w:cs="宋体"/>
                <w:szCs w:val="21"/>
              </w:rPr>
              <w:t>2</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pPr>
              <w:tabs>
                <w:tab w:val="left" w:pos="420"/>
              </w:tabs>
              <w:spacing w:line="20" w:lineRule="atLeast"/>
              <w:jc w:val="center"/>
            </w:pPr>
            <w:r>
              <w:rPr>
                <w:rFonts w:ascii="宋体" w:hAnsi="宋体" w:cs="宋体"/>
                <w:szCs w:val="21"/>
              </w:rPr>
              <w:t>技术服务方案评审</w:t>
            </w:r>
          </w:p>
        </w:tc>
        <w:tc>
          <w:tcPr>
            <w:tcW w:w="3809"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pPr>
              <w:tabs>
                <w:tab w:val="left" w:pos="420"/>
                <w:tab w:val="left" w:pos="840"/>
                <w:tab w:val="left" w:pos="1260"/>
                <w:tab w:val="left" w:pos="1680"/>
                <w:tab w:val="left" w:pos="2100"/>
                <w:tab w:val="left" w:pos="2520"/>
                <w:tab w:val="left" w:pos="2940"/>
                <w:tab w:val="left" w:pos="3360"/>
              </w:tabs>
              <w:spacing w:line="360" w:lineRule="auto"/>
              <w:rPr>
                <w:rFonts w:ascii="宋体" w:hAnsi="宋体" w:cs="宋体"/>
                <w:szCs w:val="21"/>
              </w:rPr>
            </w:pPr>
            <w:r>
              <w:rPr>
                <w:rFonts w:ascii="宋体" w:hAnsi="宋体" w:cs="宋体"/>
                <w:szCs w:val="21"/>
              </w:rPr>
              <w:t>对本项目工作内容的理解是否全面、准确进行横向比较评分：</w:t>
            </w:r>
          </w:p>
          <w:p>
            <w:pPr>
              <w:tabs>
                <w:tab w:val="left" w:pos="420"/>
                <w:tab w:val="left" w:pos="840"/>
                <w:tab w:val="left" w:pos="1260"/>
                <w:tab w:val="left" w:pos="1680"/>
                <w:tab w:val="left" w:pos="2100"/>
                <w:tab w:val="left" w:pos="2520"/>
                <w:tab w:val="left" w:pos="2940"/>
                <w:tab w:val="left" w:pos="3360"/>
              </w:tabs>
              <w:spacing w:line="360" w:lineRule="auto"/>
              <w:rPr>
                <w:rFonts w:ascii="宋体" w:hAnsi="宋体" w:cs="宋体"/>
                <w:szCs w:val="21"/>
              </w:rPr>
            </w:pPr>
            <w:r>
              <w:rPr>
                <w:rFonts w:ascii="宋体" w:hAnsi="宋体" w:cs="宋体"/>
                <w:szCs w:val="21"/>
              </w:rPr>
              <w:t>评优得25～30分，良得20～25分，中得10～20分，差得0～10分。</w:t>
            </w:r>
          </w:p>
          <w:p>
            <w:pPr>
              <w:tabs>
                <w:tab w:val="left" w:pos="420"/>
                <w:tab w:val="left" w:pos="840"/>
                <w:tab w:val="left" w:pos="1260"/>
                <w:tab w:val="left" w:pos="1680"/>
                <w:tab w:val="left" w:pos="2100"/>
                <w:tab w:val="left" w:pos="2520"/>
                <w:tab w:val="left" w:pos="2940"/>
                <w:tab w:val="left" w:pos="3360"/>
              </w:tabs>
              <w:spacing w:line="360" w:lineRule="auto"/>
            </w:pPr>
            <w:r>
              <w:rPr>
                <w:rFonts w:ascii="宋体" w:hAnsi="宋体" w:cs="宋体"/>
                <w:szCs w:val="21"/>
              </w:rPr>
              <w:t>打分参考：服务方案须在签订合同之日起25日内出具正式资产评估报告，对我集团服务需求进行任务时间节点分解情况、技术服务团队工作职责及运作安排情况、各项过程技术服务成果质量把控能力、其他相关事宜。</w:t>
            </w: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pPr>
              <w:tabs>
                <w:tab w:val="left" w:pos="420"/>
                <w:tab w:val="left" w:pos="840"/>
                <w:tab w:val="left" w:pos="1260"/>
              </w:tabs>
              <w:spacing w:line="20" w:lineRule="atLeast"/>
              <w:jc w:val="center"/>
            </w:pPr>
            <w:r>
              <w:rPr>
                <w:rFonts w:ascii="宋体" w:hAnsi="宋体" w:cs="宋体"/>
                <w:szCs w:val="21"/>
              </w:rPr>
              <w:t>提供技术服务方案，并加盖公章。</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pPr>
              <w:tabs>
                <w:tab w:val="left" w:pos="420"/>
              </w:tabs>
              <w:spacing w:line="20" w:lineRule="atLeast"/>
              <w:jc w:val="center"/>
            </w:pPr>
            <w:r>
              <w:rPr>
                <w:rFonts w:ascii="宋体" w:hAnsi="宋体" w:cs="宋体"/>
                <w:szCs w:val="21"/>
              </w:rPr>
              <w:t>30分</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tc>
        <w:tc>
          <w:tcPr>
            <w:tcW w:w="827" w:type="dxa"/>
            <w:tcBorders>
              <w:top w:val="single" w:color="000000" w:sz="4" w:space="0"/>
              <w:left w:val="single" w:color="000000" w:sz="4" w:space="0"/>
              <w:bottom w:val="single" w:color="000000" w:sz="4" w:space="0"/>
              <w:right w:val="single" w:color="000000" w:sz="12" w:space="0"/>
            </w:tcBorders>
            <w:shd w:val="clear" w:color="auto" w:fill="auto"/>
            <w:noWrap w:val="0"/>
            <w:tcMar>
              <w:top w:w="80" w:type="dxa"/>
              <w:left w:w="80" w:type="dxa"/>
              <w:bottom w:w="80" w:type="dxa"/>
              <w:right w:w="80" w:type="dxa"/>
            </w:tcMar>
            <w:vAlign w:val="center"/>
          </w:tc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2110" w:hRule="atLeast"/>
          <w:jc w:val="center"/>
        </w:trPr>
        <w:tc>
          <w:tcPr>
            <w:tcW w:w="556" w:type="dxa"/>
            <w:tcBorders>
              <w:top w:val="single" w:color="000000" w:sz="4" w:space="0"/>
              <w:left w:val="single" w:color="000000" w:sz="12" w:space="0"/>
              <w:bottom w:val="single" w:color="000000" w:sz="4" w:space="0"/>
              <w:right w:val="single" w:color="000000" w:sz="4" w:space="0"/>
            </w:tcBorders>
            <w:shd w:val="clear" w:color="auto" w:fill="FFFFFF"/>
            <w:noWrap w:val="0"/>
            <w:tcMar>
              <w:top w:w="80" w:type="dxa"/>
              <w:left w:w="80" w:type="dxa"/>
              <w:bottom w:w="80" w:type="dxa"/>
              <w:right w:w="80" w:type="dxa"/>
            </w:tcMar>
            <w:vAlign w:val="center"/>
          </w:tcPr>
          <w:p>
            <w:pPr>
              <w:tabs>
                <w:tab w:val="left" w:pos="420"/>
              </w:tabs>
              <w:spacing w:line="20" w:lineRule="atLeast"/>
              <w:jc w:val="center"/>
              <w:rPr>
                <w:rFonts w:ascii="宋体" w:hAnsi="宋体" w:cs="宋体"/>
                <w:szCs w:val="21"/>
              </w:rPr>
            </w:pPr>
            <w:r>
              <w:rPr>
                <w:rFonts w:ascii="宋体" w:hAnsi="宋体" w:cs="宋体"/>
                <w:szCs w:val="21"/>
              </w:rPr>
              <w:t>3</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0"/>
            <w:tcMar>
              <w:top w:w="80" w:type="dxa"/>
              <w:left w:w="80" w:type="dxa"/>
              <w:bottom w:w="80" w:type="dxa"/>
              <w:right w:w="80" w:type="dxa"/>
            </w:tcMar>
            <w:vAlign w:val="center"/>
          </w:tcPr>
          <w:p>
            <w:pPr>
              <w:tabs>
                <w:tab w:val="left" w:pos="420"/>
              </w:tabs>
              <w:spacing w:line="20" w:lineRule="atLeast"/>
              <w:jc w:val="center"/>
              <w:rPr>
                <w:rFonts w:ascii="宋体" w:hAnsi="宋体" w:cs="宋体"/>
                <w:szCs w:val="21"/>
              </w:rPr>
            </w:pPr>
            <w:r>
              <w:rPr>
                <w:rFonts w:ascii="宋体" w:hAnsi="宋体" w:cs="宋体"/>
                <w:szCs w:val="21"/>
              </w:rPr>
              <w:t>报价</w:t>
            </w:r>
          </w:p>
          <w:p>
            <w:pPr>
              <w:tabs>
                <w:tab w:val="left" w:pos="420"/>
              </w:tabs>
              <w:spacing w:line="20" w:lineRule="atLeast"/>
              <w:jc w:val="center"/>
              <w:rPr>
                <w:rFonts w:ascii="宋体" w:hAnsi="宋体" w:cs="宋体"/>
                <w:szCs w:val="21"/>
              </w:rPr>
            </w:pPr>
            <w:r>
              <w:rPr>
                <w:rFonts w:ascii="宋体" w:hAnsi="宋体" w:cs="宋体"/>
                <w:szCs w:val="21"/>
              </w:rPr>
              <w:t>得分</w:t>
            </w:r>
          </w:p>
        </w:tc>
        <w:tc>
          <w:tcPr>
            <w:tcW w:w="3809" w:type="dxa"/>
            <w:tcBorders>
              <w:top w:val="single" w:color="000000" w:sz="4" w:space="0"/>
              <w:left w:val="single" w:color="000000" w:sz="4" w:space="0"/>
              <w:bottom w:val="single" w:color="000000" w:sz="4" w:space="0"/>
              <w:right w:val="single" w:color="000000" w:sz="4" w:space="0"/>
            </w:tcBorders>
            <w:shd w:val="clear" w:color="auto" w:fill="FFFFFF"/>
            <w:noWrap w:val="0"/>
            <w:tcMar>
              <w:top w:w="80" w:type="dxa"/>
              <w:left w:w="80" w:type="dxa"/>
              <w:bottom w:w="80" w:type="dxa"/>
              <w:right w:w="80" w:type="dxa"/>
            </w:tcMar>
            <w:vAlign w:val="center"/>
          </w:tcPr>
          <w:p>
            <w:pPr>
              <w:tabs>
                <w:tab w:val="left" w:pos="420"/>
                <w:tab w:val="left" w:pos="840"/>
                <w:tab w:val="left" w:pos="1260"/>
                <w:tab w:val="left" w:pos="1680"/>
                <w:tab w:val="left" w:pos="2100"/>
                <w:tab w:val="left" w:pos="2520"/>
                <w:tab w:val="left" w:pos="2940"/>
                <w:tab w:val="left" w:pos="3360"/>
              </w:tabs>
              <w:spacing w:line="360" w:lineRule="auto"/>
              <w:rPr>
                <w:rFonts w:ascii="宋体" w:hAnsi="宋体" w:cs="宋体"/>
                <w:szCs w:val="21"/>
              </w:rPr>
            </w:pPr>
            <w:r>
              <w:rPr>
                <w:bCs/>
                <w:szCs w:val="21"/>
              </w:rPr>
              <w:t>价格分计算方法：报价为平均数的为最高分即满分。假设供应商的报价结果分别为B1、B2、B3...Bn，                                             则报价的平均数为C=[B1＋B2＋B3＋……＋Bn]÷n，供应商n的报价得分=30</w:t>
            </w:r>
            <w:r>
              <w:rPr>
                <w:rFonts w:ascii="Arial" w:hAnsi="Arial" w:cs="Arial"/>
                <w:bCs/>
                <w:szCs w:val="21"/>
              </w:rPr>
              <w:t>×</w:t>
            </w:r>
            <w:r>
              <w:rPr>
                <w:bCs/>
                <w:szCs w:val="21"/>
              </w:rPr>
              <w:t>{1-(∣Bn－C∣)÷C}</w:t>
            </w:r>
          </w:p>
        </w:tc>
        <w:tc>
          <w:tcPr>
            <w:tcW w:w="1420" w:type="dxa"/>
            <w:tcBorders>
              <w:top w:val="single" w:color="000000" w:sz="4" w:space="0"/>
              <w:left w:val="single" w:color="000000" w:sz="4" w:space="0"/>
              <w:bottom w:val="single" w:color="000000" w:sz="4" w:space="0"/>
              <w:right w:val="single" w:color="000000" w:sz="4" w:space="0"/>
            </w:tcBorders>
            <w:shd w:val="clear" w:color="auto" w:fill="FFFFFF"/>
            <w:noWrap w:val="0"/>
            <w:tcMar>
              <w:top w:w="80" w:type="dxa"/>
              <w:left w:w="80" w:type="dxa"/>
              <w:bottom w:w="80" w:type="dxa"/>
              <w:right w:w="80" w:type="dxa"/>
            </w:tcMar>
            <w:vAlign w:val="center"/>
          </w:tcPr>
          <w:p>
            <w:pPr>
              <w:tabs>
                <w:tab w:val="left" w:pos="420"/>
                <w:tab w:val="left" w:pos="840"/>
                <w:tab w:val="left" w:pos="1260"/>
              </w:tabs>
              <w:spacing w:line="20" w:lineRule="atLeast"/>
              <w:jc w:val="center"/>
            </w:pPr>
            <w:r>
              <w:rPr>
                <w:rFonts w:ascii="宋体" w:hAnsi="宋体" w:cs="宋体"/>
                <w:szCs w:val="21"/>
              </w:rPr>
              <w:t>提供响应报价，并加盖公章。</w:t>
            </w:r>
          </w:p>
        </w:tc>
        <w:tc>
          <w:tcPr>
            <w:tcW w:w="810" w:type="dxa"/>
            <w:tcBorders>
              <w:top w:val="single" w:color="000000" w:sz="4" w:space="0"/>
              <w:left w:val="single" w:color="000000" w:sz="4" w:space="0"/>
              <w:bottom w:val="single" w:color="000000" w:sz="4" w:space="0"/>
              <w:right w:val="single" w:color="000000" w:sz="4" w:space="0"/>
            </w:tcBorders>
            <w:shd w:val="clear" w:color="auto" w:fill="FFFFFF"/>
            <w:noWrap w:val="0"/>
            <w:tcMar>
              <w:top w:w="80" w:type="dxa"/>
              <w:left w:w="80" w:type="dxa"/>
              <w:bottom w:w="80" w:type="dxa"/>
              <w:right w:w="80" w:type="dxa"/>
            </w:tcMar>
            <w:vAlign w:val="center"/>
          </w:tcPr>
          <w:p>
            <w:pPr>
              <w:tabs>
                <w:tab w:val="left" w:pos="420"/>
              </w:tabs>
              <w:spacing w:line="20" w:lineRule="atLeast"/>
              <w:jc w:val="center"/>
            </w:pPr>
            <w:r>
              <w:rPr>
                <w:rFonts w:ascii="宋体" w:hAnsi="宋体" w:cs="宋体"/>
                <w:szCs w:val="21"/>
              </w:rPr>
              <w:t>30分</w:t>
            </w:r>
          </w:p>
        </w:tc>
        <w:tc>
          <w:tcPr>
            <w:tcW w:w="840" w:type="dxa"/>
            <w:tcBorders>
              <w:top w:val="single" w:color="000000" w:sz="4" w:space="0"/>
              <w:left w:val="single" w:color="000000" w:sz="4" w:space="0"/>
              <w:bottom w:val="single" w:color="000000" w:sz="4" w:space="0"/>
              <w:right w:val="single" w:color="000000" w:sz="4" w:space="0"/>
            </w:tcBorders>
            <w:shd w:val="clear" w:color="auto" w:fill="FFFFFF"/>
            <w:noWrap w:val="0"/>
            <w:tcMar>
              <w:top w:w="80" w:type="dxa"/>
              <w:left w:w="80" w:type="dxa"/>
              <w:bottom w:w="80" w:type="dxa"/>
              <w:right w:w="80" w:type="dxa"/>
            </w:tcMar>
            <w:vAlign w:val="center"/>
          </w:tcPr>
          <w:p/>
        </w:tc>
        <w:tc>
          <w:tcPr>
            <w:tcW w:w="956" w:type="dxa"/>
            <w:tcBorders>
              <w:top w:val="single" w:color="000000" w:sz="4" w:space="0"/>
              <w:left w:val="single" w:color="000000" w:sz="4" w:space="0"/>
              <w:bottom w:val="single" w:color="000000" w:sz="4" w:space="0"/>
              <w:right w:val="single" w:color="000000" w:sz="4" w:space="0"/>
            </w:tcBorders>
            <w:shd w:val="clear" w:color="auto" w:fill="FFFFFF"/>
            <w:noWrap w:val="0"/>
            <w:tcMar>
              <w:top w:w="80" w:type="dxa"/>
              <w:left w:w="80" w:type="dxa"/>
              <w:bottom w:w="80" w:type="dxa"/>
              <w:right w:w="80" w:type="dxa"/>
            </w:tcMar>
            <w:vAlign w:val="center"/>
          </w:tcPr>
          <w:p/>
        </w:tc>
        <w:tc>
          <w:tcPr>
            <w:tcW w:w="827" w:type="dxa"/>
            <w:tcBorders>
              <w:top w:val="single" w:color="000000" w:sz="4" w:space="0"/>
              <w:left w:val="single" w:color="000000" w:sz="4" w:space="0"/>
              <w:bottom w:val="single" w:color="000000" w:sz="4" w:space="0"/>
              <w:right w:val="single" w:color="000000" w:sz="12" w:space="0"/>
            </w:tcBorders>
            <w:shd w:val="clear" w:color="auto" w:fill="FFFFFF"/>
            <w:noWrap w:val="0"/>
            <w:tcMar>
              <w:top w:w="80" w:type="dxa"/>
              <w:left w:w="80" w:type="dxa"/>
              <w:bottom w:w="80" w:type="dxa"/>
              <w:right w:w="80" w:type="dxa"/>
            </w:tcMar>
            <w:vAlign w:val="center"/>
          </w:tc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2110" w:hRule="atLeast"/>
          <w:jc w:val="center"/>
        </w:trPr>
        <w:tc>
          <w:tcPr>
            <w:tcW w:w="556" w:type="dxa"/>
            <w:tcBorders>
              <w:top w:val="single" w:color="000000" w:sz="4" w:space="0"/>
              <w:left w:val="single" w:color="000000" w:sz="12"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pPr>
              <w:tabs>
                <w:tab w:val="left" w:pos="420"/>
              </w:tabs>
              <w:spacing w:line="20" w:lineRule="atLeast"/>
              <w:jc w:val="center"/>
              <w:rPr>
                <w:rFonts w:ascii="宋体" w:hAnsi="宋体" w:cs="宋体"/>
                <w:szCs w:val="21"/>
              </w:rPr>
            </w:pPr>
            <w:r>
              <w:rPr>
                <w:rFonts w:ascii="宋体" w:hAnsi="宋体" w:cs="宋体"/>
                <w:szCs w:val="21"/>
              </w:rPr>
              <w:t>4</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pPr>
              <w:tabs>
                <w:tab w:val="left" w:pos="420"/>
              </w:tabs>
              <w:spacing w:line="20" w:lineRule="atLeast"/>
              <w:jc w:val="center"/>
              <w:rPr>
                <w:rFonts w:ascii="宋体" w:hAnsi="宋体" w:cs="宋体"/>
                <w:szCs w:val="21"/>
              </w:rPr>
            </w:pPr>
          </w:p>
          <w:p>
            <w:pPr>
              <w:tabs>
                <w:tab w:val="left" w:pos="420"/>
              </w:tabs>
              <w:spacing w:line="20" w:lineRule="atLeast"/>
              <w:jc w:val="center"/>
              <w:rPr>
                <w:rFonts w:ascii="宋体" w:hAnsi="宋体" w:cs="宋体"/>
                <w:szCs w:val="21"/>
              </w:rPr>
            </w:pPr>
            <w:r>
              <w:rPr>
                <w:rFonts w:ascii="宋体" w:hAnsi="宋体" w:cs="宋体"/>
                <w:szCs w:val="21"/>
              </w:rPr>
              <w:t>服务案例得分</w:t>
            </w:r>
          </w:p>
        </w:tc>
        <w:tc>
          <w:tcPr>
            <w:tcW w:w="3809"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pPr>
              <w:tabs>
                <w:tab w:val="left" w:pos="420"/>
                <w:tab w:val="left" w:pos="840"/>
                <w:tab w:val="left" w:pos="1260"/>
                <w:tab w:val="left" w:pos="1680"/>
                <w:tab w:val="left" w:pos="2100"/>
                <w:tab w:val="left" w:pos="2520"/>
                <w:tab w:val="left" w:pos="2940"/>
                <w:tab w:val="left" w:pos="3360"/>
              </w:tabs>
              <w:spacing w:line="360" w:lineRule="auto"/>
              <w:rPr>
                <w:rFonts w:ascii="宋体" w:hAnsi="宋体" w:cs="宋体"/>
                <w:szCs w:val="21"/>
              </w:rPr>
            </w:pPr>
            <w:r>
              <w:rPr>
                <w:rFonts w:ascii="宋体" w:hAnsi="宋体" w:cs="宋体"/>
                <w:szCs w:val="21"/>
              </w:rPr>
              <w:t>提供近3年来（2018年1月-2021年8月）国有企业改制重组、股权转让、增资扩股等事项的资产评估服务案例业绩：</w:t>
            </w:r>
          </w:p>
          <w:p>
            <w:pPr>
              <w:tabs>
                <w:tab w:val="left" w:pos="420"/>
                <w:tab w:val="left" w:pos="840"/>
                <w:tab w:val="left" w:pos="1260"/>
                <w:tab w:val="left" w:pos="1680"/>
                <w:tab w:val="left" w:pos="2100"/>
                <w:tab w:val="left" w:pos="2520"/>
                <w:tab w:val="left" w:pos="2940"/>
                <w:tab w:val="left" w:pos="3360"/>
              </w:tabs>
              <w:spacing w:line="360" w:lineRule="auto"/>
              <w:rPr>
                <w:rFonts w:ascii="宋体" w:hAnsi="宋体" w:cs="宋体"/>
                <w:szCs w:val="21"/>
              </w:rPr>
            </w:pPr>
            <w:r>
              <w:rPr>
                <w:rFonts w:ascii="宋体" w:hAnsi="宋体" w:cs="宋体"/>
                <w:szCs w:val="21"/>
              </w:rPr>
              <w:t>1、提供3项及以上业绩，得15分；</w:t>
            </w:r>
          </w:p>
          <w:p>
            <w:pPr>
              <w:tabs>
                <w:tab w:val="left" w:pos="420"/>
                <w:tab w:val="left" w:pos="840"/>
                <w:tab w:val="left" w:pos="1260"/>
                <w:tab w:val="left" w:pos="1680"/>
                <w:tab w:val="left" w:pos="2100"/>
                <w:tab w:val="left" w:pos="2520"/>
                <w:tab w:val="left" w:pos="2940"/>
                <w:tab w:val="left" w:pos="3360"/>
              </w:tabs>
              <w:spacing w:line="360" w:lineRule="auto"/>
              <w:rPr>
                <w:rFonts w:ascii="宋体" w:hAnsi="宋体" w:cs="宋体"/>
                <w:szCs w:val="21"/>
              </w:rPr>
            </w:pPr>
            <w:r>
              <w:rPr>
                <w:rFonts w:ascii="宋体" w:hAnsi="宋体" w:cs="宋体"/>
                <w:szCs w:val="21"/>
              </w:rPr>
              <w:t>2、提供2项业绩，得10分；</w:t>
            </w:r>
          </w:p>
          <w:p>
            <w:pPr>
              <w:tabs>
                <w:tab w:val="left" w:pos="420"/>
                <w:tab w:val="left" w:pos="840"/>
                <w:tab w:val="left" w:pos="1260"/>
                <w:tab w:val="left" w:pos="1680"/>
                <w:tab w:val="left" w:pos="2100"/>
                <w:tab w:val="left" w:pos="2520"/>
                <w:tab w:val="left" w:pos="2940"/>
                <w:tab w:val="left" w:pos="3360"/>
              </w:tabs>
              <w:spacing w:line="360" w:lineRule="auto"/>
              <w:rPr>
                <w:rFonts w:ascii="宋体" w:hAnsi="宋体" w:cs="宋体"/>
                <w:szCs w:val="21"/>
              </w:rPr>
            </w:pPr>
            <w:r>
              <w:rPr>
                <w:rFonts w:ascii="宋体" w:hAnsi="宋体" w:cs="宋体"/>
                <w:szCs w:val="21"/>
              </w:rPr>
              <w:t>3、提供1项业绩，得5分。</w:t>
            </w:r>
          </w:p>
          <w:p>
            <w:pPr>
              <w:tabs>
                <w:tab w:val="left" w:pos="420"/>
                <w:tab w:val="left" w:pos="840"/>
                <w:tab w:val="left" w:pos="1260"/>
                <w:tab w:val="left" w:pos="1680"/>
                <w:tab w:val="left" w:pos="2100"/>
                <w:tab w:val="left" w:pos="2520"/>
                <w:tab w:val="left" w:pos="2940"/>
                <w:tab w:val="left" w:pos="3360"/>
              </w:tabs>
              <w:spacing w:line="360" w:lineRule="auto"/>
              <w:rPr>
                <w:rFonts w:ascii="宋体" w:hAnsi="宋体" w:cs="宋体"/>
                <w:szCs w:val="21"/>
              </w:rPr>
            </w:pPr>
            <w:r>
              <w:rPr>
                <w:rFonts w:ascii="宋体" w:hAnsi="宋体" w:cs="宋体"/>
                <w:szCs w:val="21"/>
              </w:rPr>
              <w:t>重复项目仅作一次统计。</w:t>
            </w: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pPr>
              <w:tabs>
                <w:tab w:val="left" w:pos="420"/>
                <w:tab w:val="left" w:pos="840"/>
                <w:tab w:val="left" w:pos="1260"/>
              </w:tabs>
              <w:spacing w:line="20" w:lineRule="atLeast"/>
              <w:jc w:val="center"/>
              <w:rPr>
                <w:rFonts w:ascii="宋体" w:hAnsi="宋体" w:cs="宋体"/>
                <w:szCs w:val="21"/>
              </w:rPr>
            </w:pPr>
            <w:r>
              <w:rPr>
                <w:rFonts w:ascii="宋体" w:hAnsi="宋体" w:cs="宋体"/>
                <w:szCs w:val="21"/>
              </w:rPr>
              <w:t>提供合同复印件加盖公章（如相关合同涉及商业秘密，响应单位可自行隐去关键内容，体现合同签订时间、合同双方签字盖章即可）。</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pPr>
              <w:tabs>
                <w:tab w:val="left" w:pos="420"/>
              </w:tabs>
              <w:spacing w:line="20" w:lineRule="atLeast"/>
              <w:jc w:val="center"/>
              <w:rPr>
                <w:rFonts w:ascii="宋体" w:hAnsi="宋体" w:cs="宋体"/>
                <w:szCs w:val="21"/>
              </w:rPr>
            </w:pPr>
            <w:r>
              <w:rPr>
                <w:rFonts w:ascii="宋体" w:hAnsi="宋体" w:cs="宋体"/>
                <w:szCs w:val="21"/>
              </w:rPr>
              <w:t>15分</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tc>
        <w:tc>
          <w:tcPr>
            <w:tcW w:w="827" w:type="dxa"/>
            <w:tcBorders>
              <w:top w:val="single" w:color="000000" w:sz="4" w:space="0"/>
              <w:left w:val="single" w:color="000000" w:sz="4" w:space="0"/>
              <w:bottom w:val="single" w:color="000000" w:sz="4" w:space="0"/>
              <w:right w:val="single" w:color="000000" w:sz="12" w:space="0"/>
            </w:tcBorders>
            <w:shd w:val="clear" w:color="auto" w:fill="auto"/>
            <w:noWrap w:val="0"/>
            <w:tcMar>
              <w:top w:w="80" w:type="dxa"/>
              <w:left w:w="80" w:type="dxa"/>
              <w:bottom w:w="80" w:type="dxa"/>
              <w:right w:w="80" w:type="dxa"/>
            </w:tcMar>
            <w:vAlign w:val="center"/>
          </w:tc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535" w:hRule="atLeast"/>
          <w:jc w:val="center"/>
        </w:trPr>
        <w:tc>
          <w:tcPr>
            <w:tcW w:w="556" w:type="dxa"/>
            <w:tcBorders>
              <w:top w:val="single" w:color="000000" w:sz="4" w:space="0"/>
              <w:left w:val="single" w:color="000000" w:sz="12"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pPr>
              <w:tabs>
                <w:tab w:val="left" w:pos="420"/>
              </w:tabs>
              <w:spacing w:line="20" w:lineRule="atLeast"/>
              <w:jc w:val="center"/>
              <w:rPr>
                <w:rFonts w:ascii="宋体" w:hAnsi="宋体" w:cs="宋体"/>
                <w:szCs w:val="21"/>
              </w:rPr>
            </w:pPr>
            <w:r>
              <w:rPr>
                <w:rFonts w:ascii="宋体" w:hAnsi="宋体" w:cs="宋体"/>
                <w:szCs w:val="21"/>
              </w:rPr>
              <w:t>5</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pPr>
              <w:tabs>
                <w:tab w:val="left" w:pos="420"/>
              </w:tabs>
              <w:spacing w:line="20" w:lineRule="atLeast"/>
              <w:jc w:val="center"/>
              <w:rPr>
                <w:rFonts w:ascii="宋体" w:hAnsi="宋体" w:cs="宋体"/>
                <w:szCs w:val="21"/>
              </w:rPr>
            </w:pPr>
            <w:r>
              <w:rPr>
                <w:rFonts w:ascii="宋体" w:hAnsi="宋体" w:cs="宋体"/>
                <w:szCs w:val="21"/>
              </w:rPr>
              <w:t>服务机构综合得分</w:t>
            </w:r>
          </w:p>
        </w:tc>
        <w:tc>
          <w:tcPr>
            <w:tcW w:w="3809"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pPr>
              <w:tabs>
                <w:tab w:val="left" w:pos="420"/>
                <w:tab w:val="left" w:pos="840"/>
                <w:tab w:val="left" w:pos="1260"/>
                <w:tab w:val="left" w:pos="1680"/>
                <w:tab w:val="left" w:pos="2100"/>
                <w:tab w:val="left" w:pos="2520"/>
                <w:tab w:val="left" w:pos="2940"/>
                <w:tab w:val="left" w:pos="3360"/>
              </w:tabs>
              <w:spacing w:line="360" w:lineRule="auto"/>
              <w:rPr>
                <w:rFonts w:ascii="宋体" w:hAnsi="宋体" w:cs="宋体"/>
                <w:szCs w:val="21"/>
              </w:rPr>
            </w:pPr>
            <w:r>
              <w:rPr>
                <w:rFonts w:ascii="宋体" w:hAnsi="宋体" w:cs="宋体"/>
                <w:szCs w:val="21"/>
              </w:rPr>
              <w:t>在中国证监会从事证券服务业务会计师事务所备案名单内的一律加5分，在深圳市资产评估协会发布的“深圳市资产评估机构2020年度业务收入排名”中排名前20位，参与的响应商按从高到低排名得分（不在前20位的该项不得分 ）：</w:t>
            </w:r>
          </w:p>
          <w:p>
            <w:pPr>
              <w:tabs>
                <w:tab w:val="left" w:pos="420"/>
                <w:tab w:val="left" w:pos="840"/>
                <w:tab w:val="left" w:pos="1260"/>
                <w:tab w:val="left" w:pos="1680"/>
                <w:tab w:val="left" w:pos="2100"/>
                <w:tab w:val="left" w:pos="2520"/>
                <w:tab w:val="left" w:pos="2940"/>
                <w:tab w:val="left" w:pos="3360"/>
              </w:tabs>
              <w:spacing w:line="360" w:lineRule="auto"/>
              <w:ind w:firstLine="315"/>
              <w:rPr>
                <w:rFonts w:ascii="宋体" w:hAnsi="宋体" w:cs="宋体"/>
                <w:szCs w:val="21"/>
              </w:rPr>
            </w:pPr>
            <w:r>
              <w:rPr>
                <w:rFonts w:ascii="宋体" w:hAnsi="宋体" w:cs="宋体"/>
                <w:szCs w:val="21"/>
              </w:rPr>
              <w:t>第一名的，得10分；</w:t>
            </w:r>
          </w:p>
          <w:p>
            <w:pPr>
              <w:tabs>
                <w:tab w:val="left" w:pos="420"/>
                <w:tab w:val="left" w:pos="840"/>
                <w:tab w:val="left" w:pos="1260"/>
                <w:tab w:val="left" w:pos="1680"/>
                <w:tab w:val="left" w:pos="2100"/>
                <w:tab w:val="left" w:pos="2520"/>
                <w:tab w:val="left" w:pos="2940"/>
                <w:tab w:val="left" w:pos="3360"/>
              </w:tabs>
              <w:spacing w:line="360" w:lineRule="auto"/>
              <w:ind w:firstLine="315"/>
              <w:rPr>
                <w:rFonts w:ascii="宋体" w:hAnsi="宋体" w:cs="宋体"/>
                <w:szCs w:val="21"/>
              </w:rPr>
            </w:pPr>
            <w:r>
              <w:rPr>
                <w:rFonts w:ascii="宋体" w:hAnsi="宋体" w:cs="宋体"/>
                <w:szCs w:val="21"/>
              </w:rPr>
              <w:t>第二名的，得8分；</w:t>
            </w:r>
          </w:p>
          <w:p>
            <w:pPr>
              <w:tabs>
                <w:tab w:val="left" w:pos="420"/>
                <w:tab w:val="left" w:pos="840"/>
                <w:tab w:val="left" w:pos="1260"/>
                <w:tab w:val="left" w:pos="1680"/>
                <w:tab w:val="left" w:pos="2100"/>
                <w:tab w:val="left" w:pos="2520"/>
                <w:tab w:val="left" w:pos="2940"/>
                <w:tab w:val="left" w:pos="3360"/>
              </w:tabs>
              <w:spacing w:line="360" w:lineRule="auto"/>
              <w:ind w:firstLine="315"/>
              <w:rPr>
                <w:rFonts w:ascii="宋体" w:hAnsi="宋体" w:cs="宋体"/>
                <w:szCs w:val="21"/>
              </w:rPr>
            </w:pPr>
            <w:r>
              <w:rPr>
                <w:rFonts w:ascii="宋体" w:hAnsi="宋体" w:cs="宋体"/>
                <w:szCs w:val="21"/>
              </w:rPr>
              <w:t>第三名的，得6分；</w:t>
            </w:r>
          </w:p>
          <w:p>
            <w:pPr>
              <w:tabs>
                <w:tab w:val="left" w:pos="420"/>
                <w:tab w:val="left" w:pos="840"/>
                <w:tab w:val="left" w:pos="1260"/>
                <w:tab w:val="left" w:pos="1680"/>
                <w:tab w:val="left" w:pos="2100"/>
                <w:tab w:val="left" w:pos="2520"/>
                <w:tab w:val="left" w:pos="2940"/>
                <w:tab w:val="left" w:pos="3360"/>
              </w:tabs>
              <w:spacing w:line="360" w:lineRule="auto"/>
              <w:ind w:firstLine="315"/>
              <w:rPr>
                <w:rFonts w:ascii="宋体" w:hAnsi="宋体" w:cs="宋体"/>
                <w:szCs w:val="21"/>
              </w:rPr>
            </w:pPr>
            <w:r>
              <w:rPr>
                <w:rFonts w:ascii="宋体" w:hAnsi="宋体" w:cs="宋体"/>
                <w:szCs w:val="21"/>
              </w:rPr>
              <w:t>第四名及以后的，得4分。</w:t>
            </w:r>
          </w:p>
          <w:p>
            <w:pPr>
              <w:tabs>
                <w:tab w:val="left" w:pos="420"/>
                <w:tab w:val="left" w:pos="840"/>
                <w:tab w:val="left" w:pos="1260"/>
                <w:tab w:val="left" w:pos="1680"/>
                <w:tab w:val="left" w:pos="2100"/>
                <w:tab w:val="left" w:pos="2520"/>
                <w:tab w:val="left" w:pos="2940"/>
                <w:tab w:val="left" w:pos="3360"/>
              </w:tabs>
              <w:spacing w:line="360" w:lineRule="auto"/>
              <w:rPr>
                <w:rFonts w:ascii="宋体" w:hAnsi="宋体" w:cs="宋体"/>
                <w:szCs w:val="21"/>
              </w:rPr>
            </w:pP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pPr>
              <w:tabs>
                <w:tab w:val="left" w:pos="420"/>
                <w:tab w:val="left" w:pos="840"/>
                <w:tab w:val="left" w:pos="1260"/>
              </w:tabs>
              <w:spacing w:line="20" w:lineRule="atLeast"/>
              <w:jc w:val="center"/>
              <w:rPr>
                <w:rFonts w:ascii="宋体" w:hAnsi="宋体" w:cs="宋体"/>
                <w:szCs w:val="21"/>
              </w:rPr>
            </w:pPr>
            <w:r>
              <w:rPr>
                <w:rFonts w:ascii="宋体" w:hAnsi="宋体" w:cs="宋体"/>
                <w:szCs w:val="21"/>
              </w:rPr>
              <w:t>提供备案及收入排名证明文件并加盖公章。</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pPr>
              <w:tabs>
                <w:tab w:val="left" w:pos="420"/>
              </w:tabs>
              <w:spacing w:line="20" w:lineRule="atLeast"/>
              <w:jc w:val="center"/>
              <w:rPr>
                <w:rFonts w:ascii="宋体" w:hAnsi="宋体" w:cs="宋体"/>
                <w:szCs w:val="21"/>
              </w:rPr>
            </w:pPr>
            <w:r>
              <w:rPr>
                <w:rFonts w:ascii="宋体" w:hAnsi="宋体" w:cs="宋体"/>
                <w:szCs w:val="21"/>
              </w:rPr>
              <w:t>15分</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tc>
        <w:tc>
          <w:tcPr>
            <w:tcW w:w="827" w:type="dxa"/>
            <w:tcBorders>
              <w:top w:val="single" w:color="000000" w:sz="4" w:space="0"/>
              <w:left w:val="single" w:color="000000" w:sz="4" w:space="0"/>
              <w:bottom w:val="single" w:color="000000" w:sz="4" w:space="0"/>
              <w:right w:val="single" w:color="000000" w:sz="12" w:space="0"/>
            </w:tcBorders>
            <w:shd w:val="clear" w:color="auto" w:fill="auto"/>
            <w:noWrap w:val="0"/>
            <w:tcMar>
              <w:top w:w="80" w:type="dxa"/>
              <w:left w:w="80" w:type="dxa"/>
              <w:bottom w:w="80" w:type="dxa"/>
              <w:right w:w="80" w:type="dxa"/>
            </w:tcMar>
            <w:vAlign w:val="center"/>
          </w:tc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347" w:hRule="atLeast"/>
          <w:jc w:val="center"/>
        </w:trPr>
        <w:tc>
          <w:tcPr>
            <w:tcW w:w="6522" w:type="dxa"/>
            <w:gridSpan w:val="4"/>
            <w:tcBorders>
              <w:top w:val="single" w:color="000000" w:sz="4" w:space="0"/>
              <w:left w:val="single" w:color="000000" w:sz="12"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s>
              <w:spacing w:line="20" w:lineRule="atLeast"/>
              <w:jc w:val="center"/>
            </w:pPr>
            <w:r>
              <w:rPr>
                <w:rFonts w:ascii="宋体" w:hAnsi="宋体" w:cs="宋体"/>
                <w:szCs w:val="21"/>
              </w:rPr>
              <w:t>合计</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pPr>
              <w:tabs>
                <w:tab w:val="left" w:pos="420"/>
              </w:tabs>
              <w:spacing w:line="20" w:lineRule="atLeast"/>
              <w:jc w:val="center"/>
            </w:pPr>
            <w:r>
              <w:rPr>
                <w:rFonts w:ascii="宋体" w:hAnsi="宋体" w:cs="宋体"/>
                <w:szCs w:val="21"/>
              </w:rPr>
              <w:t>100分</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tc>
        <w:tc>
          <w:tcPr>
            <w:tcW w:w="827" w:type="dxa"/>
            <w:tcBorders>
              <w:top w:val="single" w:color="000000" w:sz="4" w:space="0"/>
              <w:left w:val="single" w:color="000000" w:sz="4" w:space="0"/>
              <w:bottom w:val="single" w:color="000000" w:sz="4" w:space="0"/>
              <w:right w:val="single" w:color="000000" w:sz="12" w:space="0"/>
            </w:tcBorders>
            <w:shd w:val="clear" w:color="auto" w:fill="auto"/>
            <w:noWrap w:val="0"/>
            <w:tcMar>
              <w:top w:w="80" w:type="dxa"/>
              <w:left w:w="80" w:type="dxa"/>
              <w:bottom w:w="80" w:type="dxa"/>
              <w:right w:w="80" w:type="dxa"/>
            </w:tcMar>
            <w:vAlign w:val="center"/>
          </w:tc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347" w:hRule="atLeast"/>
          <w:jc w:val="center"/>
        </w:trPr>
        <w:tc>
          <w:tcPr>
            <w:tcW w:w="6522" w:type="dxa"/>
            <w:gridSpan w:val="4"/>
            <w:tcBorders>
              <w:top w:val="single" w:color="000000" w:sz="4" w:space="0"/>
              <w:left w:val="single" w:color="000000" w:sz="12" w:space="0"/>
              <w:bottom w:val="single" w:color="000000" w:sz="4" w:space="0"/>
              <w:right w:val="single" w:color="000000" w:sz="4" w:space="0"/>
            </w:tcBorders>
            <w:shd w:val="clear" w:color="auto" w:fill="FFFFFF"/>
            <w:noWrap w:val="0"/>
            <w:tcMar>
              <w:top w:w="80" w:type="dxa"/>
              <w:left w:w="80" w:type="dxa"/>
              <w:bottom w:w="80" w:type="dxa"/>
              <w:right w:w="80" w:type="dxa"/>
            </w:tcMar>
            <w:vAlign w:val="center"/>
          </w:tcPr>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s>
              <w:spacing w:line="20" w:lineRule="atLeast"/>
              <w:jc w:val="center"/>
            </w:pPr>
            <w:r>
              <w:rPr>
                <w:rFonts w:ascii="宋体" w:hAnsi="宋体" w:cs="宋体"/>
                <w:b/>
                <w:bCs/>
                <w:szCs w:val="21"/>
              </w:rPr>
              <w:t>拟推荐成交候选供应商（原则推荐评审综合得分最高的单位）</w:t>
            </w:r>
          </w:p>
        </w:tc>
        <w:tc>
          <w:tcPr>
            <w:tcW w:w="3433" w:type="dxa"/>
            <w:gridSpan w:val="4"/>
            <w:tcBorders>
              <w:top w:val="single" w:color="000000" w:sz="4" w:space="0"/>
              <w:left w:val="single" w:color="000000" w:sz="4" w:space="0"/>
              <w:bottom w:val="single" w:color="000000" w:sz="4" w:space="0"/>
              <w:right w:val="single" w:color="000000" w:sz="12" w:space="0"/>
            </w:tcBorders>
            <w:shd w:val="clear" w:color="auto" w:fill="FFFFFF"/>
            <w:noWrap w:val="0"/>
            <w:tcMar>
              <w:top w:w="80" w:type="dxa"/>
              <w:left w:w="80" w:type="dxa"/>
              <w:bottom w:w="80" w:type="dxa"/>
              <w:right w:w="80" w:type="dxa"/>
            </w:tcMar>
            <w:vAlign w:val="center"/>
          </w:tcPr>
          <w:p/>
        </w:tc>
      </w:tr>
    </w:tbl>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jc w:val="center"/>
        <w:rPr>
          <w:rFonts w:ascii="宋体" w:hAnsi="宋体" w:cs="宋体"/>
          <w:sz w:val="36"/>
          <w:szCs w:val="36"/>
        </w:rPr>
      </w:pP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ind w:firstLine="420"/>
        <w:rPr>
          <w:rFonts w:ascii="黑体" w:hAnsi="黑体" w:eastAsia="黑体" w:cs="黑体"/>
          <w:szCs w:val="21"/>
        </w:rPr>
      </w:pPr>
      <w:r>
        <w:rPr>
          <w:rFonts w:ascii="黑体" w:hAnsi="黑体" w:eastAsia="黑体" w:cs="黑体"/>
          <w:szCs w:val="21"/>
        </w:rPr>
        <w:t>备注：1.各项评审打分按照四舍五入，小数点后保留2位进行计算；</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ind w:left="1050" w:hanging="1050"/>
      </w:pPr>
      <w:r>
        <w:rPr>
          <w:rFonts w:ascii="黑体" w:hAnsi="黑体" w:eastAsia="黑体" w:cs="黑体"/>
          <w:szCs w:val="21"/>
        </w:rPr>
        <w:t xml:space="preserve">          2.若出现拟推荐成交候选供应商票数相同的情况，以未推荐上述单位的评审专家对并列第一的候选供应商既定打分排序作为最终选定依据。</w:t>
      </w:r>
    </w:p>
    <w:p>
      <w:pPr>
        <w:pStyle w:val="2"/>
        <w:ind w:firstLine="420"/>
      </w:pPr>
    </w:p>
    <w:p>
      <w:bookmarkStart w:id="0" w:name="_GoBack"/>
      <w:bookmarkEnd w:id="0"/>
    </w:p>
    <w:sectPr>
      <w:headerReference r:id="rId3" w:type="default"/>
      <w:footerReference r:id="rId4" w:type="default"/>
      <w:footerReference r:id="rId5" w:type="even"/>
      <w:pgSz w:w="11906" w:h="16838"/>
      <w:pgMar w:top="2098" w:right="1474" w:bottom="1985" w:left="1588"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PingFang SC Regular">
    <w:altName w:val="Cambria"/>
    <w:panose1 w:val="00000000000000000000"/>
    <w:charset w:val="00"/>
    <w:family w:val="roman"/>
    <w:pitch w:val="default"/>
    <w:sig w:usb0="00000000" w:usb1="00000000" w:usb2="00000000" w:usb3="00000000" w:csb0="00040001" w:csb1="00000000"/>
  </w:font>
  <w:font w:name="Cambria">
    <w:panose1 w:val="02040503050406030204"/>
    <w:charset w:val="00"/>
    <w:family w:val="auto"/>
    <w:pitch w:val="default"/>
    <w:sig w:usb0="E00002FF" w:usb1="40000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9"/>
      </w:rPr>
    </w:pPr>
    <w:r>
      <w:fldChar w:fldCharType="begin"/>
    </w:r>
    <w:r>
      <w:rPr>
        <w:rStyle w:val="9"/>
      </w:rPr>
      <w:instrText xml:space="preserve">PAGE  </w:instrText>
    </w:r>
    <w:r>
      <w:fldChar w:fldCharType="separate"/>
    </w:r>
    <w:r>
      <w:rPr>
        <w:rStyle w:val="9"/>
      </w:rPr>
      <w:t>9</w:t>
    </w:r>
    <w:r>
      <w:fldChar w:fldCharType="end"/>
    </w:r>
  </w:p>
  <w:p>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9"/>
      </w:rPr>
    </w:pPr>
    <w:r>
      <w:fldChar w:fldCharType="begin"/>
    </w:r>
    <w:r>
      <w:rPr>
        <w:rStyle w:val="9"/>
      </w:rPr>
      <w:instrText xml:space="preserve">PAGE  </w:instrText>
    </w:r>
    <w:r>
      <w:fldChar w:fldCharType="end"/>
    </w:r>
  </w:p>
  <w:p>
    <w:pPr>
      <w:pStyle w:val="5"/>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2A4C42"/>
    <w:multiLevelType w:val="singleLevel"/>
    <w:tmpl w:val="AB2A4C42"/>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2F7A74"/>
    <w:rsid w:val="592F7A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Plain Text"/>
    <w:basedOn w:val="1"/>
    <w:next w:val="3"/>
    <w:qFormat/>
    <w:uiPriority w:val="0"/>
    <w:rPr>
      <w:rFonts w:ascii="宋体" w:hAnsi="Courier New"/>
      <w:szCs w:val="21"/>
    </w:rPr>
  </w:style>
  <w:style w:type="paragraph" w:styleId="3">
    <w:name w:val="index 8"/>
    <w:basedOn w:val="1"/>
    <w:next w:val="1"/>
    <w:qFormat/>
    <w:uiPriority w:val="0"/>
    <w:pPr>
      <w:ind w:left="1400" w:leftChars="1400"/>
    </w:pPr>
  </w:style>
  <w:style w:type="paragraph" w:styleId="4">
    <w:name w:val="Normal Indent"/>
    <w:basedOn w:val="1"/>
    <w:unhideWhenUsed/>
    <w:qFormat/>
    <w:uiPriority w:val="99"/>
    <w:pPr>
      <w:ind w:firstLine="420"/>
    </w:pPr>
    <w:rPr>
      <w:rFonts w:ascii="Calibri" w:hAnsi="Calibri"/>
      <w:szCs w:val="22"/>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9">
    <w:name w:val="page number"/>
    <w:basedOn w:val="8"/>
    <w:uiPriority w:val="0"/>
  </w:style>
  <w:style w:type="paragraph" w:customStyle="1" w:styleId="10">
    <w:name w:val="p3"/>
    <w:basedOn w:val="1"/>
    <w:qFormat/>
    <w:uiPriority w:val="0"/>
    <w:pPr>
      <w:spacing w:line="30" w:lineRule="atLeast"/>
      <w:jc w:val="center"/>
    </w:pPr>
    <w:rPr>
      <w:rFonts w:hint="eastAsia" w:ascii="宋体" w:hAnsi="宋体" w:cs="宋体"/>
      <w:kern w:val="0"/>
      <w:sz w:val="36"/>
      <w:szCs w:val="36"/>
    </w:rPr>
  </w:style>
  <w:style w:type="paragraph" w:styleId="1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2021-10-15T10:32:00Z</dcterms:created>
  <dc:creator>廖蜀黍</dc:creator>
  <cp:lastModifiedBy>廖蜀黍</cp:lastModifiedBy>
  <dcterms:modified xsi:type="dcterms:W3CDTF">2021-10-15T10:32:50Z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30BE60E4621348D8B82A0569A3C719DE</vt:lpwstr>
  </property>
</Properties>
</file>