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bidi w:val="0"/>
        <w:spacing w:line="560" w:lineRule="exact"/>
        <w:jc w:val="center"/>
        <w:outlineLvl w:val="0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bookmarkStart w:id="0" w:name="_Toc40444452"/>
      <w:bookmarkStart w:id="1" w:name="_Toc40429419"/>
      <w:bookmarkStart w:id="2" w:name="_Toc345321927"/>
      <w:bookmarkStart w:id="3" w:name="_Toc355603592"/>
      <w:bookmarkStart w:id="4" w:name="_Toc347002314"/>
      <w:bookmarkStart w:id="5" w:name="_Toc339716621"/>
      <w:bookmarkStart w:id="6" w:name="_Toc505779621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龙岗区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2020年度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环境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信息公开报告</w:t>
      </w:r>
    </w:p>
    <w:bookmarkEnd w:id="0"/>
    <w:bookmarkEnd w:id="1"/>
    <w:p>
      <w:pPr>
        <w:pageBreakBefore w:val="0"/>
        <w:kinsoku/>
        <w:wordWrap/>
        <w:overflowPunct/>
        <w:topLinePunct w:val="0"/>
        <w:bidi w:val="0"/>
        <w:spacing w:line="560" w:lineRule="exact"/>
        <w:ind w:firstLine="640" w:firstLineChars="200"/>
        <w:rPr>
          <w:rFonts w:hint="eastAsia" w:ascii="仿宋_GB2312" w:eastAsia="仿宋_GB2312"/>
          <w:color w:val="000000"/>
          <w:sz w:val="32"/>
          <w:szCs w:val="32"/>
        </w:rPr>
      </w:pPr>
      <w:bookmarkStart w:id="7" w:name="_Toc51233199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2020年，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龙岗</w:t>
      </w:r>
      <w:r>
        <w:rPr>
          <w:rFonts w:hint="eastAsia" w:ascii="仿宋_GB2312" w:eastAsia="仿宋_GB2312"/>
          <w:color w:val="000000"/>
          <w:sz w:val="32"/>
          <w:szCs w:val="32"/>
        </w:rPr>
        <w:t>区生态环境质量总体向好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，环境空气中二氧化硫、二氧化氮、可吸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入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颗粒物(PM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subscript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subscript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) 、细颗粒物(PM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subscript"/>
        </w:rPr>
        <w:t>2.5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baseline"/>
        </w:rPr>
        <w:t xml:space="preserve">)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及一氧化碳年平均浓度均符合国家二级标准;河流水质实现历史性突破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主要饮用水源水质符合饮用水源水质要求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声环境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功能区昼夜噪声实现100%达标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全区生态环境不断改善，成功获评“国家生态文明建设示范区”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  <w:bookmarkStart w:id="8" w:name="_Toc40429420"/>
      <w:bookmarkStart w:id="9" w:name="_Toc4044445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黑体" w:cs="Times New Roman"/>
          <w:b w:val="0"/>
          <w:bCs w:val="0"/>
          <w:color w:val="000000"/>
          <w:kern w:val="44"/>
          <w:sz w:val="32"/>
          <w:szCs w:val="32"/>
          <w:lang w:val="zh-CN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000000"/>
          <w:kern w:val="44"/>
          <w:sz w:val="32"/>
          <w:szCs w:val="32"/>
          <w:lang w:val="zh-CN"/>
        </w:rPr>
        <w:t>一</w:t>
      </w:r>
      <w:r>
        <w:rPr>
          <w:rFonts w:ascii="Times New Roman" w:hAnsi="Times New Roman" w:eastAsia="黑体" w:cs="Times New Roman"/>
          <w:b w:val="0"/>
          <w:bCs w:val="0"/>
          <w:color w:val="000000"/>
          <w:kern w:val="44"/>
          <w:sz w:val="32"/>
          <w:szCs w:val="32"/>
          <w:lang w:val="zh-CN"/>
        </w:rPr>
        <w:t>、环境空气质量</w:t>
      </w:r>
      <w:bookmarkEnd w:id="7"/>
      <w:bookmarkEnd w:id="8"/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/>
          <w:kern w:val="44"/>
          <w:sz w:val="32"/>
          <w:szCs w:val="32"/>
          <w:lang w:val="zh-CN"/>
        </w:rPr>
      </w:pPr>
      <w:bookmarkStart w:id="10" w:name="_Toc355603593"/>
      <w:bookmarkStart w:id="11" w:name="_Toc505779622"/>
      <w:bookmarkStart w:id="12" w:name="_Toc345321930"/>
      <w:bookmarkStart w:id="13" w:name="_Toc347002317"/>
      <w:bookmarkStart w:id="14" w:name="_Toc40444454"/>
      <w:bookmarkStart w:id="15" w:name="_Toc40429421"/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44"/>
          <w:sz w:val="32"/>
          <w:szCs w:val="32"/>
          <w:lang w:val="zh-CN"/>
        </w:rPr>
        <w:t>（一）空气环境</w:t>
      </w:r>
      <w:bookmarkEnd w:id="10"/>
      <w:bookmarkEnd w:id="11"/>
      <w:bookmarkEnd w:id="12"/>
      <w:bookmarkEnd w:id="13"/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44"/>
          <w:sz w:val="32"/>
          <w:szCs w:val="32"/>
          <w:lang w:val="zh-CN"/>
        </w:rPr>
        <w:t>质量现状</w:t>
      </w:r>
      <w:bookmarkEnd w:id="14"/>
      <w:bookmarkEnd w:id="15"/>
    </w:p>
    <w:bookmarkEnd w:id="2"/>
    <w:bookmarkEnd w:id="3"/>
    <w:bookmarkEnd w:id="4"/>
    <w:bookmarkEnd w:id="5"/>
    <w:bookmarkEnd w:id="6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2020年，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区环境空气有效监测天数为366天，环境空气质量达到Ⅰ级（优）的天数为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231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天，达到Ⅱ级（良）的天数为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121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天，空气质量优良率为9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6.2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%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SO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subscript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、NO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subscript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、PM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subscript"/>
        </w:rPr>
        <w:t>10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、PM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subscript"/>
        </w:rPr>
        <w:t>2.5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、CO平均浓度和臭氧评价浓度分别为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微克/立方米、26微克/立方米、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微克/立方米、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19.3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微克/立方米、0.6毫克/立方米和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136.0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微克/立方米。与2019年同期相比，NO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subscript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、PM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subscript"/>
        </w:rPr>
        <w:t>10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、CO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PM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subscript"/>
        </w:rPr>
        <w:t>2.5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平均浓度和臭氧评价浓度分别下降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微克/立方米、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微克/立方米、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0.1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微克/立方米、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4.0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微克/立方米、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15.4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毫克/立方米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，</w:t>
      </w:r>
      <w:r>
        <w:rPr>
          <w:rFonts w:ascii="Times New Roman" w:hAnsi="Times New Roman" w:eastAsia="仿宋_GB2312" w:cs="Times New Roman"/>
          <w:color w:val="000000"/>
          <w:sz w:val="28"/>
          <w:szCs w:val="28"/>
        </w:rPr>
        <w:t>SO</w:t>
      </w:r>
      <w:r>
        <w:rPr>
          <w:rFonts w:ascii="Times New Roman" w:hAnsi="Times New Roman" w:eastAsia="仿宋_GB2312" w:cs="Times New Roman"/>
          <w:color w:val="000000"/>
          <w:sz w:val="28"/>
          <w:szCs w:val="28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</w:rPr>
        <w:t>平均浓度同比持平</w:t>
      </w:r>
      <w:r>
        <w:rPr>
          <w:rFonts w:ascii="Times New Roman" w:hAnsi="Times New Roman" w:eastAsia="仿宋_GB2312" w:cs="Times New Roman"/>
          <w:color w:val="00000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/>
          <w:kern w:val="44"/>
          <w:sz w:val="32"/>
          <w:szCs w:val="32"/>
          <w:lang w:val="zh-CN"/>
        </w:rPr>
      </w:pPr>
      <w:bookmarkStart w:id="16" w:name="_Toc40429422"/>
      <w:bookmarkStart w:id="17" w:name="_Toc40444455"/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44"/>
          <w:sz w:val="32"/>
          <w:szCs w:val="32"/>
          <w:lang w:val="zh-CN"/>
        </w:rPr>
        <w:t>（二）</w:t>
      </w:r>
      <w:bookmarkEnd w:id="16"/>
      <w:bookmarkEnd w:id="17"/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44"/>
          <w:sz w:val="32"/>
          <w:szCs w:val="32"/>
          <w:lang w:val="zh-CN"/>
        </w:rPr>
        <w:t>措施与行动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bookmarkStart w:id="18" w:name="_Toc512332003"/>
      <w:bookmarkStart w:id="19" w:name="_Toc40429424"/>
      <w:bookmarkStart w:id="20" w:name="_Toc40444457"/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以非常状态、非常机制、非常举措深入推进大气污染防治。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一是在工业源减排工程方面。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完成天然气锅炉低氮改造工作；督促企业完成活性炭置换工作；完成重点VOCs监管企业开展销号式综合整治工作。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二机动车尾气检测方面。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完成机动车尾气检测任务，完成重点货运企业的柴油车尾气排放的监管工作。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三是在蓝天保卫战百日冲刺工作方面。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印发《龙岗区2020年蓝天保卫战百日冲刺行动方案》、《龙岗区大气污染防治工作百日冲刺督查工作方案》，全面推进各项大气污染防治工作。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四强化督查督办工作。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成立了大气污染防治工作落实情况督查工作领导小组，设立四个督查组，每周按照不少于10%的抽查比例对全区扬尘防治、泥头车整治等各项工作落实情况进行督查。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黑体" w:cs="Times New Roman"/>
          <w:b w:val="0"/>
          <w:bCs w:val="0"/>
          <w:color w:val="000000"/>
          <w:kern w:val="44"/>
          <w:sz w:val="32"/>
          <w:szCs w:val="32"/>
          <w:lang w:val="zh-CN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000000"/>
          <w:kern w:val="44"/>
          <w:sz w:val="32"/>
          <w:szCs w:val="32"/>
          <w:lang w:val="zh-CN"/>
        </w:rPr>
        <w:t>二、河流水环境质量</w:t>
      </w:r>
      <w:bookmarkEnd w:id="18"/>
      <w:bookmarkEnd w:id="19"/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/>
          <w:kern w:val="44"/>
          <w:sz w:val="32"/>
          <w:szCs w:val="32"/>
          <w:lang w:val="zh-CN"/>
        </w:rPr>
      </w:pPr>
      <w:bookmarkStart w:id="21" w:name="_Toc40444458"/>
      <w:bookmarkStart w:id="22" w:name="_Toc40429425"/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44"/>
          <w:sz w:val="32"/>
          <w:szCs w:val="32"/>
          <w:lang w:val="zh-CN"/>
        </w:rPr>
        <w:t>（一）河流水环境质量现状</w:t>
      </w:r>
      <w:bookmarkEnd w:id="21"/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2020年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长坑水丁山河人工湿地断面符合地表水类水Ⅰ类标准；龙岗河西坑、福田河（龙岗）奔康路、龙西河河口3个断面符合地表水类水Ⅱ类标准；布吉河草埔、鸭麻窝排洪沟河口、岗头河高速桥下等17个断面符合地表水Ⅲ类水标准；君子布河惠华路口、鹅公岭河深莞交界处、木古河良安田等17个断面符合地表水Ⅳ类标准；黄沙河河口、布吉河粤宝路桥、水径水华意旅馆等11个断面符合地表水Ⅴ类标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/>
          <w:kern w:val="44"/>
          <w:sz w:val="32"/>
          <w:szCs w:val="32"/>
          <w:lang w:val="zh-CN"/>
        </w:rPr>
      </w:pPr>
      <w:bookmarkStart w:id="23" w:name="_Toc512332009"/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44"/>
          <w:sz w:val="32"/>
          <w:szCs w:val="32"/>
          <w:lang w:val="zh-CN"/>
        </w:rPr>
        <w:t>（二）措施与行动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一是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开展“水污染治理成效巩固管理提升年”下沉督办工作，落实流域内水质监测、预警、通报、日常巡查问题督促整改、环境执法、污染源管控等工作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；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二是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开展龙岗区涉水面源污染长效治理工作，印发《龙岗区涉水面源污染长效治理工作实施方案的通知》，成立区涉水面源污染整治办公室。对全区涉水面源工作情况开展抽查工作，每日通报工作情况；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三是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加强生态环境执法工作，以“利剑四号”行动为主线，持续开展机动打击、“深莞惠”交叉执法、排污许可证专项检查等各类生态环境执法行动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；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四是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做好水质异常预警以及督促整改工作，对市环境监测中心站、市生态环境局一周一测、一日一测等监测数据进行收集、分析，及时预警通报。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黑体" w:cs="Times New Roman"/>
          <w:b w:val="0"/>
          <w:bCs w:val="0"/>
          <w:color w:val="000000"/>
          <w:kern w:val="44"/>
          <w:sz w:val="32"/>
          <w:szCs w:val="32"/>
          <w:lang w:val="zh-CN"/>
        </w:rPr>
      </w:pPr>
      <w:bookmarkStart w:id="24" w:name="_Toc40429428"/>
      <w:bookmarkStart w:id="25" w:name="_Toc40444461"/>
      <w:r>
        <w:rPr>
          <w:rFonts w:hint="eastAsia" w:ascii="Times New Roman" w:hAnsi="Times New Roman" w:eastAsia="黑体" w:cs="Times New Roman"/>
          <w:b w:val="0"/>
          <w:bCs w:val="0"/>
          <w:color w:val="000000"/>
          <w:kern w:val="44"/>
          <w:sz w:val="32"/>
          <w:szCs w:val="32"/>
          <w:lang w:val="zh-CN"/>
        </w:rPr>
        <w:t>三、饮用水源</w:t>
      </w:r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/>
          <w:kern w:val="44"/>
          <w:sz w:val="32"/>
          <w:szCs w:val="32"/>
          <w:lang w:val="zh-CN"/>
        </w:rPr>
      </w:pPr>
      <w:bookmarkStart w:id="26" w:name="_Toc40444462"/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44"/>
          <w:sz w:val="32"/>
          <w:szCs w:val="32"/>
          <w:lang w:val="zh-CN"/>
        </w:rPr>
        <w:t>（一）饮用水源环境质量现状</w:t>
      </w:r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bookmarkStart w:id="27" w:name="_Toc40444464"/>
      <w:bookmarkStart w:id="28" w:name="_Toc40429429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2020年龙岗区监测的水库有8个，分别为正坑水库（横岗）、清林径水库、铜锣径水库、深圳水库、龙口水库、雁田水库、苗坑水库、甘坑水库。监测数据显示，正坑水库（横岗）、清林径水库、铜锣径水库、深圳水库符合地表水Ⅱ类标准，龙口水库、雁田水库、苗坑水库、甘坑水库符合地表水Ⅲ类标准。从营养状态等级来看，铜锣径水库处于贫营养状态，其余7个水库均处于中营养状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/>
          <w:kern w:val="44"/>
          <w:sz w:val="32"/>
          <w:szCs w:val="32"/>
          <w:lang w:val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44"/>
          <w:sz w:val="32"/>
          <w:szCs w:val="32"/>
          <w:lang w:val="zh-CN"/>
        </w:rPr>
        <w:t>（二）措施与行动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/>
        </w:rPr>
      </w:pPr>
      <w:r>
        <w:rPr>
          <w:rFonts w:hint="eastAsia" w:ascii="仿宋_GB2312" w:hAnsi="楷体_GB2312" w:eastAsia="仿宋_GB2312" w:cs="楷体_GB2312"/>
          <w:b/>
          <w:bCs/>
          <w:sz w:val="32"/>
          <w:szCs w:val="32"/>
          <w:lang w:val="en-US" w:eastAsia="zh-CN"/>
        </w:rPr>
        <w:t>一是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建立长效监管机制，印发《龙岗区饮用水源保护区长效管理工作方案》，建立饮用水源保护区长效管理机制，厘清部门与街道职能权责分工，落实饮用水源安全防护任务，保障饮用水源地的水质安全，提高饮用水源监管水平；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开展“雨季行动”专项工作，保障龙岗区饮用水源保护区雨季水质达标；</w:t>
      </w:r>
      <w:r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  <w:t>三是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开展饮用水源保护区日常巡查工作，及时发现、处理饮用水源保护区内环境风险隐患问题。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四是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做好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中央生态环境部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交办的问题核实整改以及“回头看”工作。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黑体" w:cs="Times New Roman"/>
          <w:b w:val="0"/>
          <w:bCs w:val="0"/>
          <w:color w:val="000000"/>
          <w:kern w:val="44"/>
          <w:sz w:val="32"/>
          <w:szCs w:val="32"/>
          <w:lang w:val="zh-CN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000000"/>
          <w:kern w:val="44"/>
          <w:sz w:val="32"/>
          <w:szCs w:val="32"/>
          <w:lang w:val="zh-CN"/>
        </w:rPr>
        <w:t>四、声环境质量</w:t>
      </w:r>
      <w:bookmarkEnd w:id="23"/>
      <w:bookmarkEnd w:id="27"/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/>
          <w:kern w:val="44"/>
          <w:sz w:val="32"/>
          <w:szCs w:val="32"/>
          <w:lang w:val="zh-CN"/>
        </w:rPr>
      </w:pPr>
      <w:bookmarkStart w:id="29" w:name="_Toc40444465"/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44"/>
          <w:sz w:val="32"/>
          <w:szCs w:val="32"/>
          <w:lang w:val="zh-CN"/>
        </w:rPr>
        <w:t>（一）声环境质量现状</w:t>
      </w:r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bookmarkStart w:id="30" w:name="_Toc512332010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龙岗区2020年声环境质量总体较为稳定。全区共有功能区噪声监测点位3个，分别为龙岗区监测站（2类功能区）、坳二村（3类功能区）和龙翔大道（4类功能区）。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监测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结果统计分析，龙岗区2类功能区、3类功能区、4类功能区昼间夜间达标率均为100%。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/>
          <w:kern w:val="44"/>
          <w:sz w:val="32"/>
          <w:szCs w:val="32"/>
          <w:lang w:val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44"/>
          <w:sz w:val="32"/>
          <w:szCs w:val="32"/>
          <w:lang w:val="zh-CN"/>
        </w:rPr>
        <w:t>（二）措施与行动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为加强建筑施工噪声监管力度：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一是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落实建筑施工工地“</w:t>
      </w:r>
      <w:bookmarkStart w:id="31" w:name="_GoBack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环保</w:t>
      </w:r>
      <w:bookmarkEnd w:id="31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主任”制度，对噪声扰民严重的建筑施工单位采取重点约谈、定期巡查、24小时值守、邀请媒体监管等环境监管措施；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二是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印发《建筑施工噪声防治宣传手册》，指导施工单位依法依规降噪施工；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三是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建立建筑施工工地管理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制度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，督促企业主动开展自查自纠；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四是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梳理夜间投诉热点，安排提前巡查督导，预防超时施工现象发生。</w:t>
      </w:r>
    </w:p>
    <w:bookmarkEnd w:id="30"/>
    <w:p>
      <w:pPr>
        <w:pStyle w:val="2"/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40670FD-2284-42CF-9F21-3DDD3F7B4DC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178857F-BA7B-416B-90CC-8D2D17E111A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24F712D-499E-498C-9B3A-6C37C1129C7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7AC5C11-DD11-4F0E-B8E6-36FC0E35B7A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2883084-9F45-4F54-B65E-BC64835DA40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EC8FBEF-6173-442C-BC8D-B1215127D23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A02C310-56B6-4339-A1B0-8A29837F5BF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F5A96519-2C8F-49B9-8C58-C3152E567E1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8EEEF744-893E-48C3-84F8-2E5808811D77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F55E8A38-9FB8-4BF4-AF24-167DFA91FF07}"/>
  </w:font>
  <w:font w:name="Helvetica">
    <w:panose1 w:val="020B0604020202020204"/>
    <w:charset w:val="00"/>
    <w:family w:val="auto"/>
    <w:pitch w:val="default"/>
    <w:sig w:usb0="00000000" w:usb1="00000000" w:usb2="00000000" w:usb3="00000000" w:csb0="00000000" w:csb1="00000000"/>
    <w:embedRegular r:id="rId11" w:fontKey="{5ABA86B1-2E8F-49E8-BFE4-FFDC51A740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TrueTypeFonts/>
  <w:bordersDoNotSurroundHeader w:val="0"/>
  <w:bordersDoNotSurroundFooter w:val="0"/>
  <w:documentProtection w:edit="readOnly"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GWebUrl" w:val="http://csfile.szoa.sz.gov.cn//file/download?md5Path=fc5844125b7e43fa3cd7372d42870994@22525&amp;webOffice=1&amp;identityId=C7C4207A99648A9629776852E8AC8EE3&amp;token=fe19efc41c6c434e91747469cee962ce&amp;identityId=C7C4207A99648A9629776852E8AC8EE3&amp;wjbh=B202102834&amp;hddyid=LCA010005_HD_01&amp;fileSrcName=2021_03_30_9_45_42_2A6D0881CCFB6E9292C37F2BB0A28623.docx"/>
  </w:docVars>
  <w:rsids>
    <w:rsidRoot w:val="00D836F3"/>
    <w:rsid w:val="000C7BB5"/>
    <w:rsid w:val="00200275"/>
    <w:rsid w:val="007D106E"/>
    <w:rsid w:val="008C4C26"/>
    <w:rsid w:val="008D0B56"/>
    <w:rsid w:val="00BF3050"/>
    <w:rsid w:val="00D71FF4"/>
    <w:rsid w:val="00D836F3"/>
    <w:rsid w:val="015D4116"/>
    <w:rsid w:val="01F12916"/>
    <w:rsid w:val="060C1FBF"/>
    <w:rsid w:val="06E611EC"/>
    <w:rsid w:val="078471CA"/>
    <w:rsid w:val="07FB67A8"/>
    <w:rsid w:val="085634A4"/>
    <w:rsid w:val="085B3322"/>
    <w:rsid w:val="09211592"/>
    <w:rsid w:val="0A99417D"/>
    <w:rsid w:val="0B230A48"/>
    <w:rsid w:val="0B243C08"/>
    <w:rsid w:val="0DBE185C"/>
    <w:rsid w:val="0DC47D23"/>
    <w:rsid w:val="0ED50680"/>
    <w:rsid w:val="0EEF04F2"/>
    <w:rsid w:val="0FDB5F2B"/>
    <w:rsid w:val="155F5AD6"/>
    <w:rsid w:val="1582414B"/>
    <w:rsid w:val="15C462F5"/>
    <w:rsid w:val="163C09A6"/>
    <w:rsid w:val="17311809"/>
    <w:rsid w:val="17F03EF4"/>
    <w:rsid w:val="183430C2"/>
    <w:rsid w:val="18894686"/>
    <w:rsid w:val="18CF4A88"/>
    <w:rsid w:val="192A1933"/>
    <w:rsid w:val="19721D8B"/>
    <w:rsid w:val="19726D3E"/>
    <w:rsid w:val="19A1790E"/>
    <w:rsid w:val="19C11B8D"/>
    <w:rsid w:val="1B2B3354"/>
    <w:rsid w:val="1BE36774"/>
    <w:rsid w:val="1BEC655B"/>
    <w:rsid w:val="1D4E49AC"/>
    <w:rsid w:val="1DE70212"/>
    <w:rsid w:val="1E1D6464"/>
    <w:rsid w:val="1EB85831"/>
    <w:rsid w:val="1FE20F10"/>
    <w:rsid w:val="205425B7"/>
    <w:rsid w:val="20A63142"/>
    <w:rsid w:val="20C0247C"/>
    <w:rsid w:val="20C66734"/>
    <w:rsid w:val="20D72758"/>
    <w:rsid w:val="21350AE8"/>
    <w:rsid w:val="21A3517B"/>
    <w:rsid w:val="22555D5D"/>
    <w:rsid w:val="22FA4729"/>
    <w:rsid w:val="23A071C9"/>
    <w:rsid w:val="24E77D80"/>
    <w:rsid w:val="25375C55"/>
    <w:rsid w:val="25936F08"/>
    <w:rsid w:val="25947BE6"/>
    <w:rsid w:val="267002DA"/>
    <w:rsid w:val="273174EA"/>
    <w:rsid w:val="27F86BC3"/>
    <w:rsid w:val="28A403E1"/>
    <w:rsid w:val="28EC1780"/>
    <w:rsid w:val="2A703ACE"/>
    <w:rsid w:val="2A8B1AE9"/>
    <w:rsid w:val="2B562067"/>
    <w:rsid w:val="2B743C91"/>
    <w:rsid w:val="2BC10263"/>
    <w:rsid w:val="2C5963E3"/>
    <w:rsid w:val="2D8F77D2"/>
    <w:rsid w:val="2DB00CEF"/>
    <w:rsid w:val="2E1077AF"/>
    <w:rsid w:val="2EFA58A1"/>
    <w:rsid w:val="2F312664"/>
    <w:rsid w:val="2F9A0A77"/>
    <w:rsid w:val="30D0365C"/>
    <w:rsid w:val="312946FC"/>
    <w:rsid w:val="319E14BC"/>
    <w:rsid w:val="328F55CE"/>
    <w:rsid w:val="32A406AA"/>
    <w:rsid w:val="32C71CA0"/>
    <w:rsid w:val="33FD1D1C"/>
    <w:rsid w:val="34EB6FA8"/>
    <w:rsid w:val="3536293F"/>
    <w:rsid w:val="35583D88"/>
    <w:rsid w:val="35BA19DA"/>
    <w:rsid w:val="388127D0"/>
    <w:rsid w:val="39605A63"/>
    <w:rsid w:val="39F05B40"/>
    <w:rsid w:val="3B110674"/>
    <w:rsid w:val="3C544637"/>
    <w:rsid w:val="3E8E6FB9"/>
    <w:rsid w:val="3F8D4733"/>
    <w:rsid w:val="40F11CD0"/>
    <w:rsid w:val="417404D2"/>
    <w:rsid w:val="41766936"/>
    <w:rsid w:val="41AC1146"/>
    <w:rsid w:val="426F1035"/>
    <w:rsid w:val="43451C3F"/>
    <w:rsid w:val="44233AA4"/>
    <w:rsid w:val="44581C5C"/>
    <w:rsid w:val="454121A0"/>
    <w:rsid w:val="45431CB1"/>
    <w:rsid w:val="456E6DA3"/>
    <w:rsid w:val="460701BD"/>
    <w:rsid w:val="47733C2D"/>
    <w:rsid w:val="486D0EE6"/>
    <w:rsid w:val="4A0737B3"/>
    <w:rsid w:val="4A2E0579"/>
    <w:rsid w:val="4A8636E7"/>
    <w:rsid w:val="4B247195"/>
    <w:rsid w:val="4B9A1A1B"/>
    <w:rsid w:val="4BCD0790"/>
    <w:rsid w:val="4CA564F7"/>
    <w:rsid w:val="4CF13F3C"/>
    <w:rsid w:val="4D542563"/>
    <w:rsid w:val="507115CD"/>
    <w:rsid w:val="51D30E00"/>
    <w:rsid w:val="51D765B0"/>
    <w:rsid w:val="522B3DD5"/>
    <w:rsid w:val="53C934EA"/>
    <w:rsid w:val="549D72CA"/>
    <w:rsid w:val="54AD0293"/>
    <w:rsid w:val="559B5605"/>
    <w:rsid w:val="55DC70F8"/>
    <w:rsid w:val="56327FEF"/>
    <w:rsid w:val="568E005C"/>
    <w:rsid w:val="56A34967"/>
    <w:rsid w:val="56A962A1"/>
    <w:rsid w:val="58541874"/>
    <w:rsid w:val="58A33132"/>
    <w:rsid w:val="58F2659C"/>
    <w:rsid w:val="593E1399"/>
    <w:rsid w:val="59BE6F4E"/>
    <w:rsid w:val="59CB2704"/>
    <w:rsid w:val="59D14008"/>
    <w:rsid w:val="5B6D321F"/>
    <w:rsid w:val="5C4A5A0A"/>
    <w:rsid w:val="5CE247C2"/>
    <w:rsid w:val="5DDE671B"/>
    <w:rsid w:val="5ED62530"/>
    <w:rsid w:val="5F5A2D3B"/>
    <w:rsid w:val="5FEE04B2"/>
    <w:rsid w:val="60056C23"/>
    <w:rsid w:val="603218B8"/>
    <w:rsid w:val="609E3299"/>
    <w:rsid w:val="61571A5E"/>
    <w:rsid w:val="638A4AFD"/>
    <w:rsid w:val="63DE51A3"/>
    <w:rsid w:val="6427143E"/>
    <w:rsid w:val="64383811"/>
    <w:rsid w:val="64EB7C89"/>
    <w:rsid w:val="65092AFE"/>
    <w:rsid w:val="650F19EA"/>
    <w:rsid w:val="6572300E"/>
    <w:rsid w:val="660775DD"/>
    <w:rsid w:val="661C5EC0"/>
    <w:rsid w:val="6629218E"/>
    <w:rsid w:val="678B7778"/>
    <w:rsid w:val="67D3564B"/>
    <w:rsid w:val="680943B9"/>
    <w:rsid w:val="68B8478D"/>
    <w:rsid w:val="69AC1DD6"/>
    <w:rsid w:val="6AA33DE2"/>
    <w:rsid w:val="6AF4565F"/>
    <w:rsid w:val="6AFB7734"/>
    <w:rsid w:val="6AFD12DE"/>
    <w:rsid w:val="6B7D31F6"/>
    <w:rsid w:val="6BA85B72"/>
    <w:rsid w:val="6CB52308"/>
    <w:rsid w:val="6CE330D6"/>
    <w:rsid w:val="6D4C738E"/>
    <w:rsid w:val="6D6F2AE2"/>
    <w:rsid w:val="6E3E0F1A"/>
    <w:rsid w:val="6EB6428E"/>
    <w:rsid w:val="6FA415BA"/>
    <w:rsid w:val="70741B08"/>
    <w:rsid w:val="719A0BBA"/>
    <w:rsid w:val="72374BC8"/>
    <w:rsid w:val="73866131"/>
    <w:rsid w:val="744C3CEA"/>
    <w:rsid w:val="74812AEF"/>
    <w:rsid w:val="74D743D1"/>
    <w:rsid w:val="757C12D6"/>
    <w:rsid w:val="775720BE"/>
    <w:rsid w:val="77C20DFD"/>
    <w:rsid w:val="77EC77CA"/>
    <w:rsid w:val="78991025"/>
    <w:rsid w:val="78C42786"/>
    <w:rsid w:val="78DE0016"/>
    <w:rsid w:val="7A691400"/>
    <w:rsid w:val="7AA93683"/>
    <w:rsid w:val="7AB3684E"/>
    <w:rsid w:val="7B1179AC"/>
    <w:rsid w:val="7B160F5A"/>
    <w:rsid w:val="7BA72646"/>
    <w:rsid w:val="7BE448BC"/>
    <w:rsid w:val="7CAB1113"/>
    <w:rsid w:val="7CD252B6"/>
    <w:rsid w:val="7E4B4B07"/>
    <w:rsid w:val="7EB67B7A"/>
    <w:rsid w:val="7F300F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qFormat/>
    <w:uiPriority w:val="0"/>
    <w:pPr>
      <w:ind w:firstLine="420" w:firstLineChars="200"/>
    </w:pPr>
    <w:rPr>
      <w:szCs w:val="24"/>
    </w:r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styleId="4">
    <w:name w:val="index 8"/>
    <w:basedOn w:val="1"/>
    <w:next w:val="1"/>
    <w:qFormat/>
    <w:uiPriority w:val="0"/>
    <w:pPr>
      <w:ind w:left="1400" w:leftChars="1400"/>
    </w:pPr>
    <w:rPr>
      <w:rFonts w:ascii="Times New Roman" w:hAnsi="Times New Roman" w:eastAsia="宋体" w:cs="Times New Roman"/>
    </w:rPr>
  </w:style>
  <w:style w:type="paragraph" w:styleId="5">
    <w:name w:val="Plain Text"/>
    <w:basedOn w:val="1"/>
    <w:next w:val="4"/>
    <w:qFormat/>
    <w:uiPriority w:val="0"/>
    <w:rPr>
      <w:rFonts w:hint="eastAsia" w:ascii="宋体" w:hAnsi="Courier New" w:eastAsia="宋体" w:cs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41</Words>
  <Characters>240</Characters>
  <Lines>2</Lines>
  <Paragraphs>1</Paragraphs>
  <TotalTime>10</TotalTime>
  <ScaleCrop>false</ScaleCrop>
  <LinksUpToDate>false</LinksUpToDate>
  <CharactersWithSpaces>280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2019-07-04T02:47:00Z</dcterms:created>
  <dc:creator>20180604a</dc:creator>
  <cp:lastModifiedBy>嘉</cp:lastModifiedBy>
  <cp:lastPrinted>2021-03-29T03:26:00Z</cp:lastPrinted>
  <dcterms:modified xsi:type="dcterms:W3CDTF">2021-09-26T09:33:02Z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KSOSaveFontToCloudKey">
    <vt:lpwstr>620490971_embed</vt:lpwstr>
  </property>
  <property fmtid="{D5CDD505-2E9C-101B-9397-08002B2CF9AE}" pid="4" name="ICV">
    <vt:lpwstr>B57B5DEB13E5482E901FBED537E3058F</vt:lpwstr>
  </property>
</Properties>
</file>