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评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>分标准</w:t>
      </w:r>
    </w:p>
    <w:tbl>
      <w:tblPr>
        <w:tblStyle w:val="2"/>
        <w:tblpPr w:leftFromText="180" w:rightFromText="180" w:vertAnchor="text" w:horzAnchor="page" w:tblpX="1951" w:tblpY="371"/>
        <w:tblOverlap w:val="never"/>
        <w:tblW w:w="131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848"/>
        <w:gridCol w:w="2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评分项</w:t>
            </w:r>
          </w:p>
        </w:tc>
        <w:tc>
          <w:tcPr>
            <w:tcW w:w="8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评分标准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报价</w:t>
            </w:r>
          </w:p>
        </w:tc>
        <w:tc>
          <w:tcPr>
            <w:tcW w:w="8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1.价格清单详细且报价合理，满分；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2.价格清单不详或报价不合理，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1-3分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项目实施方案</w:t>
            </w:r>
          </w:p>
        </w:tc>
        <w:tc>
          <w:tcPr>
            <w:tcW w:w="8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1.实施方案编制得详实、可执行度强，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2.实施方案编制得较为详细、可执行度一般，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0-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49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3.实施方案编制得较粗略，可执行度较差，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1-19分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相关项目经验</w:t>
            </w:r>
          </w:p>
        </w:tc>
        <w:tc>
          <w:tcPr>
            <w:tcW w:w="8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</w:rPr>
              <w:t>具有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策划传统节日活动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经验2项（含）及以上，10-20分；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</w:rPr>
              <w:t>具有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传统节日活动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经验1项，6-9分；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32"/>
                <w:szCs w:val="32"/>
              </w:rPr>
              <w:t>没有同类项目经验，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不得分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履约评价</w:t>
            </w:r>
          </w:p>
        </w:tc>
        <w:tc>
          <w:tcPr>
            <w:tcW w:w="8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履约评价为优，8-10分；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履约评价为良，4-7分；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履约评价为合格，1-3分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A2FB7"/>
    <w:rsid w:val="03B17B58"/>
    <w:rsid w:val="234A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2021-09-06T05:08:00Z</dcterms:created>
  <dc:creator>曾伟龙</dc:creator>
  <cp:lastModifiedBy>曾伟龙</cp:lastModifiedBy>
  <dcterms:modified xsi:type="dcterms:W3CDTF">2021-09-06T05:11:44Z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