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附件二：承诺函</w:t>
      </w:r>
    </w:p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深圳市龙岗区城市建设投资集团有限公司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河岸轩、远洋新天地、融悦山居、中科亿方、京基御景等5个社康项目工程监理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根据企业自身情况，理性报价，不会以低于成本的报价竞争，并愿下浮率</w:t>
      </w:r>
      <w:r>
        <w:rPr>
          <w:rFonts w:hint="eastAsia" w:hAnsi="宋体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%按采购人要求承包本项目工作。否则，我方愿意承担任何风险。（响应供应商填写）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E4104"/>
    <w:rsid w:val="7EE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2021-07-12T06:42:00Z</dcterms:created>
  <dc:creator>廖广化</dc:creator>
  <cp:lastModifiedBy>廖广化</cp:lastModifiedBy>
  <dcterms:modified xsi:type="dcterms:W3CDTF">2021-07-12T06:43:08Z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95F94D1B39A8482C8458DF4936D6BE67</vt:lpwstr>
  </property>
</Properties>
</file>