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rPr>
          <w:rFonts w:ascii="仿宋" w:hAnsi="仿宋"/>
          <w:sz w:val="24"/>
          <w:szCs w:val="24"/>
        </w:rPr>
      </w:pPr>
    </w:p>
    <w:p>
      <w:pPr>
        <w:pStyle w:val="3"/>
        <w:jc w:val="center"/>
        <w:rPr>
          <w:rFonts w:ascii="仿宋" w:hAnsi="仿宋" w:eastAsia="仿宋"/>
          <w:b w:val="0"/>
          <w:sz w:val="44"/>
          <w:szCs w:val="44"/>
        </w:rPr>
      </w:pPr>
      <w:bookmarkStart w:id="0" w:name="_Toc338248146"/>
      <w:bookmarkStart w:id="1" w:name="_Toc454628109"/>
      <w:r>
        <w:rPr>
          <w:rFonts w:hint="eastAsia" w:ascii="仿宋" w:hAnsi="仿宋" w:eastAsia="仿宋"/>
          <w:sz w:val="44"/>
          <w:szCs w:val="44"/>
        </w:rPr>
        <w:t>深圳市龙岗中心医院</w:t>
      </w:r>
    </w:p>
    <w:p>
      <w:pPr>
        <w:pStyle w:val="3"/>
        <w:jc w:val="center"/>
        <w:rPr>
          <w:rFonts w:ascii="仿宋" w:hAnsi="仿宋" w:eastAsia="仿宋"/>
          <w:b w:val="0"/>
          <w:sz w:val="44"/>
          <w:szCs w:val="44"/>
        </w:rPr>
      </w:pPr>
      <w:r>
        <w:rPr>
          <w:rFonts w:hint="eastAsia" w:ascii="仿宋" w:hAnsi="仿宋" w:eastAsia="仿宋"/>
          <w:sz w:val="44"/>
          <w:szCs w:val="44"/>
        </w:rPr>
        <w:t>后勤物资管理系统招标参数</w:t>
      </w:r>
    </w:p>
    <w:bookmarkEnd w:id="0"/>
    <w:bookmarkEnd w:id="1"/>
    <w:p>
      <w:pPr>
        <w:pStyle w:val="18"/>
        <w:rPr>
          <w:rFonts w:ascii="仿宋" w:hAnsi="仿宋"/>
        </w:rPr>
      </w:pPr>
      <w:bookmarkStart w:id="2" w:name="_Toc454628113"/>
      <w:bookmarkStart w:id="3" w:name="_Toc144808008"/>
      <w:bookmarkStart w:id="4" w:name="_Toc165651507"/>
      <w:bookmarkStart w:id="5" w:name="_Toc165265817"/>
      <w:bookmarkStart w:id="6" w:name="_Toc173672826"/>
      <w:bookmarkStart w:id="7" w:name="_Toc171696543"/>
      <w:r>
        <w:rPr>
          <w:rFonts w:ascii="仿宋" w:hAnsi="仿宋"/>
        </w:rPr>
        <w:t>1</w:t>
      </w:r>
      <w:r>
        <w:rPr>
          <w:rFonts w:hint="eastAsia" w:ascii="仿宋" w:hAnsi="仿宋"/>
        </w:rPr>
        <w:t>产品清单</w:t>
      </w:r>
    </w:p>
    <w:p>
      <w:pPr>
        <w:pStyle w:val="18"/>
        <w:outlineLvl w:val="1"/>
        <w:rPr>
          <w:rFonts w:ascii="仿宋" w:hAnsi="仿宋"/>
          <w:sz w:val="24"/>
        </w:rPr>
      </w:pPr>
      <w:r>
        <w:rPr>
          <w:rFonts w:hint="eastAsia" w:ascii="仿宋" w:hAnsi="仿宋"/>
          <w:sz w:val="24"/>
        </w:rPr>
        <w:t>采购清单</w:t>
      </w:r>
    </w:p>
    <w:tbl>
      <w:tblPr>
        <w:tblStyle w:val="12"/>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689"/>
        <w:gridCol w:w="993"/>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2" w:type="dxa"/>
            <w:vAlign w:val="center"/>
          </w:tcPr>
          <w:p>
            <w:pPr>
              <w:widowControl/>
              <w:spacing w:before="120" w:line="360" w:lineRule="auto"/>
              <w:jc w:val="center"/>
              <w:rPr>
                <w:rFonts w:ascii="仿宋" w:hAnsi="仿宋"/>
                <w:b/>
                <w:color w:val="000000"/>
                <w:kern w:val="0"/>
                <w:szCs w:val="21"/>
              </w:rPr>
            </w:pPr>
            <w:r>
              <w:rPr>
                <w:rFonts w:hint="eastAsia" w:ascii="仿宋" w:hAnsi="仿宋"/>
                <w:b/>
                <w:color w:val="000000"/>
                <w:kern w:val="0"/>
                <w:szCs w:val="21"/>
              </w:rPr>
              <w:t>序号</w:t>
            </w:r>
          </w:p>
        </w:tc>
        <w:tc>
          <w:tcPr>
            <w:tcW w:w="3689" w:type="dxa"/>
            <w:vAlign w:val="center"/>
          </w:tcPr>
          <w:p>
            <w:pPr>
              <w:widowControl/>
              <w:spacing w:before="120" w:line="360" w:lineRule="auto"/>
              <w:jc w:val="center"/>
              <w:rPr>
                <w:rFonts w:ascii="仿宋" w:hAnsi="仿宋"/>
                <w:b/>
                <w:color w:val="000000"/>
                <w:kern w:val="0"/>
                <w:szCs w:val="21"/>
              </w:rPr>
            </w:pPr>
            <w:r>
              <w:rPr>
                <w:rFonts w:hint="eastAsia" w:ascii="仿宋" w:hAnsi="仿宋"/>
                <w:b/>
                <w:color w:val="000000"/>
                <w:kern w:val="0"/>
                <w:szCs w:val="21"/>
              </w:rPr>
              <w:t>名称</w:t>
            </w:r>
          </w:p>
        </w:tc>
        <w:tc>
          <w:tcPr>
            <w:tcW w:w="993" w:type="dxa"/>
            <w:vAlign w:val="center"/>
          </w:tcPr>
          <w:p>
            <w:pPr>
              <w:widowControl/>
              <w:spacing w:before="120" w:line="360" w:lineRule="auto"/>
              <w:jc w:val="center"/>
              <w:rPr>
                <w:rFonts w:ascii="仿宋" w:hAnsi="仿宋"/>
                <w:b/>
                <w:color w:val="000000"/>
                <w:kern w:val="0"/>
                <w:szCs w:val="21"/>
              </w:rPr>
            </w:pPr>
            <w:r>
              <w:rPr>
                <w:rFonts w:hint="eastAsia" w:ascii="仿宋" w:hAnsi="仿宋"/>
                <w:b/>
                <w:color w:val="000000"/>
                <w:kern w:val="0"/>
                <w:szCs w:val="21"/>
              </w:rPr>
              <w:t>数量</w:t>
            </w:r>
          </w:p>
        </w:tc>
        <w:tc>
          <w:tcPr>
            <w:tcW w:w="2126" w:type="dxa"/>
            <w:vAlign w:val="center"/>
          </w:tcPr>
          <w:p>
            <w:pPr>
              <w:widowControl/>
              <w:spacing w:before="120" w:line="360" w:lineRule="auto"/>
              <w:jc w:val="center"/>
              <w:rPr>
                <w:rFonts w:ascii="仿宋" w:hAnsi="仿宋"/>
                <w:b/>
                <w:color w:val="000000"/>
                <w:kern w:val="0"/>
                <w:szCs w:val="21"/>
              </w:rPr>
            </w:pPr>
            <w:r>
              <w:rPr>
                <w:rFonts w:hint="eastAsia" w:ascii="仿宋" w:hAnsi="仿宋"/>
                <w:b/>
                <w:color w:val="000000"/>
                <w:kern w:val="0"/>
                <w:szCs w:val="21"/>
              </w:rPr>
              <w:t>采购预算总金额</w:t>
            </w:r>
          </w:p>
        </w:tc>
        <w:tc>
          <w:tcPr>
            <w:tcW w:w="850" w:type="dxa"/>
            <w:vAlign w:val="center"/>
          </w:tcPr>
          <w:p>
            <w:pPr>
              <w:widowControl/>
              <w:spacing w:before="120" w:line="360" w:lineRule="auto"/>
              <w:jc w:val="center"/>
              <w:rPr>
                <w:rFonts w:ascii="仿宋" w:hAnsi="仿宋"/>
                <w:b/>
                <w:color w:val="000000"/>
                <w:kern w:val="0"/>
                <w:szCs w:val="21"/>
              </w:rPr>
            </w:pPr>
            <w:r>
              <w:rPr>
                <w:rFonts w:hint="eastAsia" w:ascii="仿宋" w:hAnsi="仿宋"/>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42" w:type="dxa"/>
            <w:vAlign w:val="center"/>
          </w:tcPr>
          <w:p>
            <w:pPr>
              <w:widowControl/>
              <w:spacing w:before="120" w:line="360" w:lineRule="auto"/>
              <w:jc w:val="center"/>
              <w:rPr>
                <w:rFonts w:ascii="仿宋" w:hAnsi="仿宋"/>
                <w:color w:val="000000"/>
                <w:kern w:val="0"/>
                <w:szCs w:val="21"/>
              </w:rPr>
            </w:pPr>
            <w:r>
              <w:rPr>
                <w:rFonts w:hint="eastAsia" w:ascii="仿宋" w:hAnsi="仿宋"/>
                <w:color w:val="000000"/>
                <w:kern w:val="0"/>
                <w:szCs w:val="21"/>
              </w:rPr>
              <w:t>1</w:t>
            </w:r>
          </w:p>
        </w:tc>
        <w:tc>
          <w:tcPr>
            <w:tcW w:w="3689" w:type="dxa"/>
            <w:vAlign w:val="center"/>
          </w:tcPr>
          <w:p>
            <w:pPr>
              <w:widowControl/>
              <w:spacing w:before="120" w:line="360" w:lineRule="auto"/>
              <w:jc w:val="center"/>
              <w:rPr>
                <w:rFonts w:ascii="仿宋" w:hAnsi="仿宋"/>
                <w:color w:val="000000"/>
                <w:kern w:val="0"/>
                <w:szCs w:val="21"/>
              </w:rPr>
            </w:pPr>
            <w:r>
              <w:rPr>
                <w:rFonts w:hint="eastAsia" w:ascii="仿宋" w:hAnsi="仿宋"/>
                <w:color w:val="000000"/>
                <w:kern w:val="0"/>
                <w:szCs w:val="21"/>
              </w:rPr>
              <w:t>后勤物资管理系统</w:t>
            </w:r>
          </w:p>
        </w:tc>
        <w:tc>
          <w:tcPr>
            <w:tcW w:w="993" w:type="dxa"/>
            <w:vAlign w:val="center"/>
          </w:tcPr>
          <w:p>
            <w:pPr>
              <w:widowControl/>
              <w:spacing w:before="120" w:line="360" w:lineRule="auto"/>
              <w:jc w:val="center"/>
              <w:rPr>
                <w:rFonts w:ascii="仿宋" w:hAnsi="仿宋"/>
                <w:color w:val="000000"/>
                <w:kern w:val="0"/>
                <w:szCs w:val="21"/>
              </w:rPr>
            </w:pPr>
            <w:r>
              <w:rPr>
                <w:rFonts w:hint="eastAsia" w:ascii="仿宋" w:hAnsi="仿宋"/>
                <w:color w:val="000000"/>
                <w:kern w:val="0"/>
                <w:szCs w:val="21"/>
              </w:rPr>
              <w:t>1套</w:t>
            </w:r>
          </w:p>
        </w:tc>
        <w:tc>
          <w:tcPr>
            <w:tcW w:w="2126" w:type="dxa"/>
            <w:vAlign w:val="center"/>
          </w:tcPr>
          <w:p>
            <w:pPr>
              <w:widowControl/>
              <w:spacing w:before="120" w:line="360" w:lineRule="auto"/>
              <w:jc w:val="center"/>
              <w:rPr>
                <w:rFonts w:ascii="仿宋" w:hAnsi="仿宋"/>
                <w:color w:val="000000"/>
                <w:kern w:val="0"/>
                <w:szCs w:val="21"/>
              </w:rPr>
            </w:pPr>
            <w:r>
              <w:rPr>
                <w:rFonts w:ascii="仿宋" w:hAnsi="仿宋"/>
                <w:sz w:val="20"/>
              </w:rPr>
              <w:t>280</w:t>
            </w:r>
            <w:r>
              <w:rPr>
                <w:rFonts w:ascii="仿宋" w:hAnsi="仿宋" w:cs="宋体"/>
                <w:sz w:val="20"/>
              </w:rPr>
              <w:t>,</w:t>
            </w:r>
            <w:r>
              <w:rPr>
                <w:rFonts w:ascii="仿宋" w:hAnsi="仿宋"/>
                <w:sz w:val="20"/>
              </w:rPr>
              <w:t>000.00</w:t>
            </w:r>
          </w:p>
        </w:tc>
        <w:tc>
          <w:tcPr>
            <w:tcW w:w="850" w:type="dxa"/>
            <w:vAlign w:val="center"/>
          </w:tcPr>
          <w:p>
            <w:pPr>
              <w:widowControl/>
              <w:spacing w:before="120" w:line="276" w:lineRule="auto"/>
              <w:jc w:val="center"/>
              <w:rPr>
                <w:rFonts w:ascii="仿宋" w:hAnsi="仿宋"/>
                <w:color w:val="000000"/>
                <w:kern w:val="0"/>
                <w:szCs w:val="21"/>
              </w:rPr>
            </w:pPr>
            <w:r>
              <w:rPr>
                <w:rFonts w:hint="eastAsia" w:ascii="仿宋" w:hAnsi="仿宋"/>
                <w:color w:val="000000"/>
                <w:kern w:val="0"/>
                <w:szCs w:val="21"/>
              </w:rPr>
              <w:t>拒绝进口</w:t>
            </w:r>
          </w:p>
        </w:tc>
      </w:tr>
    </w:tbl>
    <w:p>
      <w:pPr>
        <w:pStyle w:val="18"/>
        <w:rPr>
          <w:rFonts w:ascii="仿宋" w:hAnsi="仿宋"/>
        </w:rPr>
      </w:pPr>
      <w:r>
        <w:rPr>
          <w:rFonts w:ascii="仿宋" w:hAnsi="仿宋"/>
        </w:rPr>
        <w:t>2</w:t>
      </w:r>
      <w:r>
        <w:rPr>
          <w:rFonts w:hint="eastAsia" w:ascii="仿宋" w:hAnsi="仿宋"/>
        </w:rPr>
        <w:t>技术参数要求</w:t>
      </w:r>
    </w:p>
    <w:tbl>
      <w:tblPr>
        <w:tblStyle w:val="12"/>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20"/>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359" w:type="dxa"/>
            <w:gridSpan w:val="3"/>
            <w:shd w:val="clear" w:color="auto" w:fill="auto"/>
            <w:noWrap/>
            <w:vAlign w:val="center"/>
          </w:tcPr>
          <w:p>
            <w:pPr>
              <w:widowControl/>
              <w:spacing w:line="240" w:lineRule="auto"/>
              <w:jc w:val="center"/>
              <w:rPr>
                <w:rFonts w:ascii="仿宋" w:hAnsi="仿宋" w:cs="宋体"/>
                <w:color w:val="000000"/>
                <w:kern w:val="0"/>
                <w:sz w:val="21"/>
                <w:szCs w:val="21"/>
              </w:rPr>
            </w:pPr>
            <w:bookmarkStart w:id="8" w:name="_GoBack"/>
            <w:r>
              <w:rPr>
                <w:rFonts w:hint="eastAsia" w:ascii="仿宋" w:hAnsi="仿宋" w:cs="宋体"/>
                <w:color w:val="000000"/>
                <w:kern w:val="0"/>
                <w:sz w:val="21"/>
                <w:szCs w:val="21"/>
              </w:rPr>
              <w:t>后勤物资管理系统功能参数清单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000000" w:fill="BFBFBF"/>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序号</w:t>
            </w:r>
          </w:p>
        </w:tc>
        <w:tc>
          <w:tcPr>
            <w:tcW w:w="1120" w:type="dxa"/>
            <w:shd w:val="clear" w:color="000000" w:fill="BFBFBF"/>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模块</w:t>
            </w:r>
          </w:p>
        </w:tc>
        <w:tc>
          <w:tcPr>
            <w:tcW w:w="6539" w:type="dxa"/>
            <w:shd w:val="clear" w:color="000000" w:fill="BFBFBF"/>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准入管理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通过创建物资的准入事件，对物资的准入目录、准入方式进行管控，每个物资品种都关联其洽谈、招标文档，包括审批文件、采购合同，并关联执行细节。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物资目录准入管理，添加物资目录基本信息，维护物资目录基本信息，主要信息包括：物资类别、物资名称、注册证号、型号、品牌、单位、规格、进货价、合同总金额、合同效期、合同编号、供应商、生产商。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对物资产品资质、供应商资质进行管理，物资的准入一旦发生变化系统执行更新并记录变更历史。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物资目录合同有效期预警管理。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▲对物资目录信息要能实现目录更新、复制并添加新目录、批量更改供应商、失效、重新启用功能，支持多条件过滤搜索查询，同时系统支持导出物资目录excel表。须提供功能截图。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6</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支持批量导出功能，支持excel格式导出表格。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7</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▲新送货目录管理：对供应商平台推送过来的供应商新送货目录进行查看、审核、退回操作。须提供功能截图。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8</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科室仓库设置：根据医院的仓库、科室设置，在系统设置不同级别的仓库，并对仓库进行管理。须提供功能截图。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9</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供应商库管理</w:t>
            </w: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▲供应商字典库：对供应商的基本信息进行管理，同时可以查看供应商的资质证件资料、合同，并进行审核。须提供功能截图。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生产厂家字典库：对生产厂家的基本信息进行维护管理并关联对应的供应商。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11</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新证件提醒：对供应商更新的证件资料，进行效期管理，并自动提醒到期时间，可设置到期预警时间。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12</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供应商证件预警：对供应商所有的资质证件进行管理，可查看证件类型、证件名称、证件编号，证件效期，证件状态，并可查看证件档案附件。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13</w:t>
            </w:r>
          </w:p>
        </w:tc>
        <w:tc>
          <w:tcPr>
            <w:tcW w:w="1120" w:type="dxa"/>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多级审批管理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帮助医院梳理业务管理流程，在系统设置不同的审批节点，实现在线无纸化审批流，可与医院现有的OA系统进行整合。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14</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计划管理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总务科仓库可创建每月申购计划，包括但不限于：每月固定计划、临时计划，并且可通过系统查询以往计划记录，仓库可自行设置模板，方便快速便捷提交计划。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15</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支持二级库-临床科室创建申领计划，申购计划，提交计划。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16</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创建计划方式：可自定义添加物资、引用记录、模板、库存值预警。可查看历史计划记录。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17</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总务科仓库应能对科室提交的通用物资的申领，以及专科专用的月计划进行审核及审核。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18</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科室计划权限设置：支持设置可提交计划的科室名单，以及计划的提交时间，系统自动统计未提交月计划的科室。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19</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采购管理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支持申购计划按照科室汇总，并导出excel表格。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申购计划可按供应商进行汇总并下采购订单，系统可分批向供应商提供采购订单，支持导出excel表格，系统可查看供应商订单汇总记录。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21</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▲总务科仓库应可查看所有下订单记录、送货单记录，还能根据供应商表现对此次采购行为进行评价。须提供功能截图。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22</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支持物资采购进度跟踪管理，从科室计划提交、汇总、审批、供应商下单、供应商接单、发货、仓库验收、订单完成，整个采购过程的时间节点以及详情可实时跟踪并进行回溯查看；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23</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验收管理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验收管理：结合供应商平台，可在线接收供应商送货单，根据送货单信息一键验收操作。</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支持查询送货单记录以及订单记录。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24</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入库管理，系统支持来货在线入库操作，选择供应商信息，根据录入物品编码，快速检索目录信息，录入物资来货数量、生产批号、效期，完成快速入库；支持在线预览、打印入库单；查看入库记录。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25</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扫码入库，通过扫描送货单二维码或直接输入送货单号进行入库。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26</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退货管理，支持在线退货操作，并打印退货单据，查看退货记录。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27</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对科室的领用计划进行出库操作、打印出库单、发货，记录出库情况。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28</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损耗报废管理，根据实际物资损耗情况，进行在线损耗报废登记，并可在线预览打印报废单，查询损耗报废记录。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29</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供应商根据医院发送的订单，通过供应商平台录入有效期、预计送货日期后生成具有二维码的送货单，验收时通过扫描二维码可以查看对应的订单情况。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30</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▲可以根据送货单快速生成入库单和出库单，不需要反复输入信息；须提供功能截图。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送货单上可记录发票信息，当仓管验收后以恰当形式向供应商反馈发票是否收到，形成电子记录，及时发现发票丢失问题；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32</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送货单可以在系统中关联发起申请科室，审核通过后可以自动分配给申请科室生成出库单。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33</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　</w:t>
            </w:r>
          </w:p>
        </w:tc>
        <w:tc>
          <w:tcPr>
            <w:tcW w:w="6539" w:type="dxa"/>
            <w:shd w:val="clear" w:color="000000" w:fill="FFFFFF"/>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▲预警管理：</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物资有效期预警；</w:t>
            </w:r>
          </w:p>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物资合同有效期预警</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物资库存预警管理；</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可自定义设置物资库存预警值；</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系统能对供应商合同总金额进行预警。</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34</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对物资库存进行管理，支持库存查询、库存查看；</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支持查看物资仓库的明细；</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多级库存管理，对各科室物资仓库的库存情况进行监管。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35</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物资仓库报表：包含但不限于以供应商名称作为查询条件、盘点表查询、月汇总表查询、出入库报表查询、月末结账查询、库存查询、库存帐（实时）查询、库存帐（实时）明细查询、库存类别、库存财务类别、出入库情况分析、库存存量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36</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科室（二级库）物资库管理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 xml:space="preserve">入库管理：临床科室通过系统直接获取物资仓库出库记录，在线进行物资入库审核确认，查看本科室入库记录。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37</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退库管理：临床科室能对领用的物资进行在线退库操作，物资仓库仓管员对物质审核无误后，总务会计在线预览打印退库单据，并能查看退库记录。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38</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出库管理：各科室可对本科室消耗物资情况进行在线出库操作，并查看出库记录。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39</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科室物资报表：库存查询、库存帐（实时）查询、库存帐（实时）明细查询。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40</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预警管理：</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物资有效期预警；</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物资库存预警管理；</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可自定义设置物资库存预警值。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41</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供应商平台管理</w:t>
            </w: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总务科可对医院全部的供应商实现在线管理，包括供应商的企业资质、经营许可证、经营产品信息；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42</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实现对供应商证件效期预警；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43</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▲物资产品目录由供应商在线进行维护，院内采购人员做审核工作；须提供功能截图。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44</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供应商可在线接收院方订单，完成备货、发货操作；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45</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供应商可在线查看订单进度，管理送货单以及退货记录。供应商应可查看所有订单记录，送货记录及退货记录管理；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46</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000000" w:fill="FFFFFF"/>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▲院内仓库人员可根据供应商的送货单实现快速入库操作；须提供功能截图。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47</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支持送货单打印二维码。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48</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供应商通过适当形式上传授权书、注册证资料，并与送货单进行链接，采购员和仓管员可以通过系统点击超链接。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49</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具有授权书、注册证到期的提醒功能，提醒院方操作人员；具有供应商超过一定时限不对送货进行相应或响应后一定时限内未收到货对采购员进行提醒功能；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50</w:t>
            </w:r>
          </w:p>
        </w:tc>
        <w:tc>
          <w:tcPr>
            <w:tcW w:w="1120" w:type="dxa"/>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条码化管理</w:t>
            </w:r>
          </w:p>
        </w:tc>
        <w:tc>
          <w:tcPr>
            <w:tcW w:w="6539" w:type="dxa"/>
            <w:shd w:val="clear" w:color="auto" w:fill="auto"/>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系统可支持一维码、二维码管理，实现入库、出库快速操作、较少人工工作量；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51</w:t>
            </w:r>
          </w:p>
        </w:tc>
        <w:tc>
          <w:tcPr>
            <w:tcW w:w="1120" w:type="dxa"/>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盘点结转</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系统可对后期物资进行</w:t>
            </w:r>
            <w:r>
              <w:rPr>
                <w:rFonts w:hint="eastAsia" w:ascii="仿宋" w:hAnsi="仿宋" w:cs="宋体"/>
                <w:color w:val="000000"/>
                <w:kern w:val="0"/>
                <w:sz w:val="21"/>
                <w:szCs w:val="21"/>
              </w:rPr>
              <w:t>年中、年末盘点、结转，生成对应的盘点、结转表提供给财务；</w:t>
            </w:r>
            <w:r>
              <w:rPr>
                <w:rFonts w:hint="eastAsia" w:ascii="仿宋" w:hAnsi="仿宋" w:cs="宋体"/>
                <w:color w:val="000000"/>
                <w:kern w:val="0"/>
                <w:sz w:val="21"/>
                <w:szCs w:val="21"/>
              </w:rPr>
              <w:t>对损耗物资进行报废</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物资仓库可查看各科室结转明细。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52</w:t>
            </w:r>
          </w:p>
        </w:tc>
        <w:tc>
          <w:tcPr>
            <w:tcW w:w="1120" w:type="dxa"/>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报表管理</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库存查询、库存帐（实时）查询、库存帐（实时）明细查询、库存类别、库存财务类别、出入库情况分析、库存存量查询。</w:t>
            </w:r>
            <w:r>
              <w:rPr>
                <w:rFonts w:hint="eastAsia" w:ascii="仿宋" w:hAnsi="仿宋" w:cs="宋体"/>
                <w:color w:val="000000"/>
                <w:kern w:val="0"/>
                <w:sz w:val="21"/>
                <w:szCs w:val="21"/>
              </w:rPr>
              <w:br w:type="textWrapping"/>
            </w:r>
            <w:r>
              <w:rPr>
                <w:rFonts w:hint="eastAsia" w:ascii="仿宋" w:hAnsi="仿宋" w:cs="宋体"/>
                <w:color w:val="000000"/>
                <w:kern w:val="0"/>
                <w:sz w:val="21"/>
                <w:szCs w:val="21"/>
              </w:rPr>
              <w:t>可以生成并打印科室出库分类汇总表、出入库分类汇总表、出入库分类明细表，物资仓库科室出库汇总表、科室出库分类合并表。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53</w:t>
            </w:r>
          </w:p>
        </w:tc>
        <w:tc>
          <w:tcPr>
            <w:tcW w:w="1120" w:type="dxa"/>
            <w:vMerge w:val="restart"/>
            <w:shd w:val="clear" w:color="auto" w:fill="auto"/>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系统基础设置</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软件架构采用BS架构.以浏览器形式访问。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54</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基础数据导入：可通过EXCEL将医院现有的科室信息、物资目录数据、现有库存情况、用户信息到软件系统中，避免重复录入，减轻系统管理员工作量。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55</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审批设置：针对采购计划、出入库操作可进行多层级审批流设置。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56</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数据字典设置：可将相同配置项，配置到系统的数据字典中，方便系统维护，由超级管理员统一在后台进行数据字典维护。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57</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工作台提醒设置：可以对不同权限操作人员设置对应的工作提醒；待办事项提醒包括但不限于：待审核目录、待入库送货单、待审核计划。图形报表：科室领用饼图、出入库同期对比条形示意图。须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59</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工作权限设置：给操作系统的相关工作人员进行账号登录信息的维护和权限维护，支持角色权限组设置，新增账号可直接复制角色组下的功能权限。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60</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系统操作日志记录：对系统中关键操作进行记录(包含操作类型、操作人、操作时间、操作IP关键信息)。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0" w:type="dxa"/>
            <w:shd w:val="clear" w:color="auto" w:fill="auto"/>
            <w:noWrap/>
            <w:vAlign w:val="center"/>
          </w:tcPr>
          <w:p>
            <w:pPr>
              <w:widowControl/>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61</w:t>
            </w:r>
          </w:p>
        </w:tc>
        <w:tc>
          <w:tcPr>
            <w:tcW w:w="1120" w:type="dxa"/>
            <w:vMerge w:val="continue"/>
            <w:vAlign w:val="center"/>
          </w:tcPr>
          <w:p>
            <w:pPr>
              <w:widowControl/>
              <w:spacing w:line="240" w:lineRule="auto"/>
              <w:jc w:val="left"/>
              <w:rPr>
                <w:rFonts w:ascii="仿宋" w:hAnsi="仿宋" w:cs="宋体"/>
                <w:color w:val="000000"/>
                <w:kern w:val="0"/>
                <w:sz w:val="21"/>
                <w:szCs w:val="21"/>
              </w:rPr>
            </w:pPr>
          </w:p>
        </w:tc>
        <w:tc>
          <w:tcPr>
            <w:tcW w:w="6539" w:type="dxa"/>
            <w:shd w:val="clear" w:color="auto" w:fill="auto"/>
            <w:noWrap/>
            <w:vAlign w:val="center"/>
          </w:tcPr>
          <w:p>
            <w:pPr>
              <w:widowControl/>
              <w:spacing w:line="240" w:lineRule="auto"/>
              <w:jc w:val="left"/>
              <w:rPr>
                <w:rFonts w:ascii="仿宋" w:hAnsi="仿宋" w:cs="宋体"/>
                <w:color w:val="000000"/>
                <w:kern w:val="0"/>
                <w:sz w:val="21"/>
                <w:szCs w:val="21"/>
              </w:rPr>
            </w:pPr>
            <w:r>
              <w:rPr>
                <w:rFonts w:hint="eastAsia" w:ascii="仿宋" w:hAnsi="仿宋" w:cs="宋体"/>
                <w:color w:val="000000"/>
                <w:kern w:val="0"/>
                <w:sz w:val="21"/>
                <w:szCs w:val="21"/>
              </w:rPr>
              <w:t>负责将现有数据字典、科室设置和库存数据导入新系统中；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00"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62</w:t>
            </w:r>
          </w:p>
        </w:tc>
        <w:tc>
          <w:tcPr>
            <w:tcW w:w="1120"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其他</w:t>
            </w:r>
          </w:p>
        </w:tc>
        <w:tc>
          <w:tcPr>
            <w:tcW w:w="6539" w:type="dxa"/>
            <w:shd w:val="clear" w:color="auto" w:fill="auto"/>
            <w:vAlign w:val="center"/>
          </w:tcPr>
          <w:p>
            <w:pPr>
              <w:widowControl/>
              <w:spacing w:line="240" w:lineRule="auto"/>
              <w:rPr>
                <w:rFonts w:ascii="仿宋" w:hAnsi="仿宋" w:cs="宋体"/>
                <w:color w:val="000000"/>
                <w:kern w:val="0"/>
                <w:sz w:val="21"/>
                <w:szCs w:val="21"/>
              </w:rPr>
            </w:pPr>
            <w:r>
              <w:rPr>
                <w:rFonts w:hint="eastAsia" w:ascii="仿宋" w:hAnsi="仿宋" w:cs="宋体"/>
                <w:color w:val="000000"/>
                <w:kern w:val="0"/>
                <w:sz w:val="21"/>
                <w:szCs w:val="21"/>
              </w:rPr>
              <w:t>★支持身份认证登录，系统须兼容医院现有电子认证建设体系，集成医院USBKEY与云签认证登录功能。投标人须提供与医院现有电子认证体系原厂商有效联调证明。</w:t>
            </w:r>
          </w:p>
        </w:tc>
      </w:tr>
      <w:bookmarkEnd w:id="8"/>
    </w:tbl>
    <w:p>
      <w:pPr>
        <w:spacing w:line="600" w:lineRule="exact"/>
        <w:rPr>
          <w:rFonts w:ascii="仿宋" w:hAnsi="仿宋"/>
          <w:b/>
        </w:rPr>
      </w:pPr>
    </w:p>
    <w:bookmarkEnd w:id="2"/>
    <w:bookmarkEnd w:id="3"/>
    <w:bookmarkEnd w:id="4"/>
    <w:bookmarkEnd w:id="5"/>
    <w:bookmarkEnd w:id="6"/>
    <w:bookmarkEnd w:id="7"/>
    <w:p>
      <w:pPr>
        <w:pStyle w:val="18"/>
        <w:rPr>
          <w:rFonts w:ascii="仿宋" w:hAnsi="仿宋"/>
        </w:rPr>
      </w:pPr>
      <w:r>
        <w:rPr>
          <w:rFonts w:hint="eastAsia" w:ascii="仿宋" w:hAnsi="仿宋"/>
        </w:rPr>
        <w:t>3商务要求</w:t>
      </w:r>
    </w:p>
    <w:tbl>
      <w:tblPr>
        <w:tblStyle w:val="12"/>
        <w:tblW w:w="8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694"/>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17" w:type="dxa"/>
            <w:vAlign w:val="center"/>
          </w:tcPr>
          <w:p>
            <w:pPr>
              <w:jc w:val="center"/>
              <w:rPr>
                <w:rFonts w:ascii="仿宋" w:hAnsi="仿宋"/>
                <w:b/>
                <w:sz w:val="21"/>
                <w:szCs w:val="21"/>
              </w:rPr>
            </w:pPr>
            <w:r>
              <w:rPr>
                <w:rFonts w:hint="eastAsia" w:ascii="仿宋" w:hAnsi="仿宋"/>
                <w:b/>
                <w:sz w:val="21"/>
                <w:szCs w:val="21"/>
              </w:rPr>
              <w:t>序号</w:t>
            </w:r>
          </w:p>
        </w:tc>
        <w:tc>
          <w:tcPr>
            <w:tcW w:w="1694" w:type="dxa"/>
            <w:vAlign w:val="center"/>
          </w:tcPr>
          <w:p>
            <w:pPr>
              <w:jc w:val="center"/>
              <w:rPr>
                <w:rFonts w:ascii="仿宋" w:hAnsi="仿宋"/>
                <w:b/>
                <w:sz w:val="21"/>
                <w:szCs w:val="21"/>
              </w:rPr>
            </w:pPr>
            <w:r>
              <w:rPr>
                <w:rFonts w:hint="eastAsia" w:ascii="仿宋" w:hAnsi="仿宋"/>
                <w:b/>
                <w:sz w:val="21"/>
                <w:szCs w:val="21"/>
              </w:rPr>
              <w:t>目录</w:t>
            </w:r>
          </w:p>
        </w:tc>
        <w:tc>
          <w:tcPr>
            <w:tcW w:w="5240" w:type="dxa"/>
            <w:vAlign w:val="center"/>
          </w:tcPr>
          <w:p>
            <w:pPr>
              <w:jc w:val="center"/>
              <w:rPr>
                <w:rFonts w:ascii="仿宋" w:hAnsi="仿宋"/>
                <w:b/>
                <w:sz w:val="21"/>
                <w:szCs w:val="21"/>
              </w:rPr>
            </w:pPr>
            <w:r>
              <w:rPr>
                <w:rFonts w:hint="eastAsia" w:ascii="仿宋" w:hAnsi="仿宋"/>
                <w:b/>
                <w:sz w:val="21"/>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251" w:type="dxa"/>
            <w:gridSpan w:val="3"/>
          </w:tcPr>
          <w:p>
            <w:pPr>
              <w:rPr>
                <w:rFonts w:ascii="仿宋" w:hAnsi="仿宋"/>
                <w:b/>
                <w:sz w:val="21"/>
                <w:szCs w:val="21"/>
              </w:rPr>
            </w:pPr>
            <w:r>
              <w:rPr>
                <w:rFonts w:hint="eastAsia" w:ascii="仿宋" w:hAnsi="仿宋"/>
                <w:b/>
                <w:sz w:val="21"/>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317"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694" w:type="dxa"/>
          </w:tcPr>
          <w:p>
            <w:pPr>
              <w:rPr>
                <w:rFonts w:ascii="仿宋" w:hAnsi="仿宋" w:cs="仿宋_GB2312"/>
                <w:sz w:val="21"/>
                <w:szCs w:val="21"/>
              </w:rPr>
            </w:pPr>
            <w:r>
              <w:rPr>
                <w:rFonts w:hint="eastAsia" w:ascii="仿宋" w:hAnsi="仿宋" w:cs="仿宋_GB2312"/>
                <w:sz w:val="21"/>
                <w:szCs w:val="21"/>
              </w:rPr>
              <w:t>维修响应及故障解决时间</w:t>
            </w:r>
          </w:p>
        </w:tc>
        <w:tc>
          <w:tcPr>
            <w:tcW w:w="5240" w:type="dxa"/>
          </w:tcPr>
          <w:p>
            <w:pPr>
              <w:pStyle w:val="19"/>
              <w:spacing w:after="0" w:line="240" w:lineRule="auto"/>
              <w:ind w:firstLine="0"/>
              <w:rPr>
                <w:rFonts w:ascii="仿宋" w:hAnsi="仿宋" w:eastAsia="仿宋" w:cs="仿宋_GB2312"/>
                <w:sz w:val="21"/>
                <w:szCs w:val="21"/>
                <w:lang w:eastAsia="zh-CN"/>
              </w:rPr>
            </w:pPr>
            <w:r>
              <w:rPr>
                <w:rFonts w:hint="eastAsia" w:ascii="仿宋" w:hAnsi="仿宋" w:eastAsia="仿宋" w:cs="仿宋_GB2312"/>
                <w:kern w:val="2"/>
                <w:sz w:val="21"/>
                <w:szCs w:val="21"/>
                <w:lang w:eastAsia="zh-CN" w:bidi="ar-SA"/>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317" w:type="dxa"/>
            <w:vMerge w:val="restart"/>
            <w:vAlign w:val="center"/>
          </w:tcPr>
          <w:p>
            <w:pPr>
              <w:jc w:val="center"/>
              <w:rPr>
                <w:rFonts w:ascii="仿宋" w:hAnsi="仿宋" w:cs="仿宋_GB2312"/>
                <w:sz w:val="21"/>
                <w:szCs w:val="21"/>
              </w:rPr>
            </w:pPr>
            <w:r>
              <w:rPr>
                <w:rFonts w:hint="eastAsia" w:ascii="仿宋" w:hAnsi="仿宋" w:cs="仿宋_GB2312"/>
                <w:sz w:val="21"/>
                <w:szCs w:val="21"/>
              </w:rPr>
              <w:t>2</w:t>
            </w:r>
          </w:p>
        </w:tc>
        <w:tc>
          <w:tcPr>
            <w:tcW w:w="1694" w:type="dxa"/>
            <w:vMerge w:val="restart"/>
            <w:vAlign w:val="center"/>
          </w:tcPr>
          <w:p>
            <w:pPr>
              <w:rPr>
                <w:rFonts w:ascii="仿宋" w:hAnsi="仿宋" w:cs="仿宋_GB2312"/>
                <w:sz w:val="21"/>
                <w:szCs w:val="21"/>
              </w:rPr>
            </w:pPr>
            <w:r>
              <w:rPr>
                <w:rFonts w:hint="eastAsia" w:ascii="仿宋" w:hAnsi="仿宋" w:cs="仿宋_GB2312"/>
                <w:sz w:val="21"/>
                <w:szCs w:val="21"/>
              </w:rPr>
              <w:t>关于免费保修期</w:t>
            </w:r>
          </w:p>
        </w:tc>
        <w:tc>
          <w:tcPr>
            <w:tcW w:w="5240" w:type="dxa"/>
          </w:tcPr>
          <w:p>
            <w:pPr>
              <w:pStyle w:val="19"/>
              <w:spacing w:after="0" w:line="240" w:lineRule="auto"/>
              <w:ind w:firstLine="0"/>
              <w:rPr>
                <w:rFonts w:ascii="仿宋" w:hAnsi="仿宋" w:eastAsia="仿宋" w:cs="仿宋_GB2312"/>
                <w:kern w:val="2"/>
                <w:sz w:val="21"/>
                <w:szCs w:val="21"/>
                <w:lang w:eastAsia="zh-CN" w:bidi="ar-SA"/>
              </w:rPr>
            </w:pPr>
            <w:r>
              <w:rPr>
                <w:rFonts w:ascii="仿宋" w:hAnsi="仿宋" w:eastAsia="仿宋" w:cs="仿宋_GB2312"/>
                <w:kern w:val="2"/>
                <w:sz w:val="21"/>
                <w:szCs w:val="21"/>
                <w:lang w:eastAsia="zh-CN" w:bidi="ar-SA"/>
              </w:rPr>
              <w:t>1.1</w:t>
            </w:r>
            <w:r>
              <w:rPr>
                <w:rFonts w:hint="eastAsia" w:ascii="仿宋" w:hAnsi="仿宋" w:eastAsia="仿宋" w:cs="仿宋_GB2312"/>
                <w:kern w:val="2"/>
                <w:sz w:val="21"/>
                <w:szCs w:val="21"/>
                <w:lang w:eastAsia="zh-CN" w:bidi="ar-SA"/>
              </w:rPr>
              <w:t>项目自验收之日起，中标人为采购人提供至少一年的软件免费维护服务，三年硬件免费维护服务，免费维护包括系统维护性能提升、故障检测，并保证供应商所提供的系统正常运行。所有售后服务由中标人负责。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rPr>
                <w:rFonts w:ascii="仿宋" w:hAnsi="仿宋" w:cs="仿宋_GB2312"/>
                <w:sz w:val="21"/>
                <w:szCs w:val="21"/>
              </w:rPr>
            </w:pPr>
          </w:p>
        </w:tc>
        <w:tc>
          <w:tcPr>
            <w:tcW w:w="5240" w:type="dxa"/>
            <w:vAlign w:val="center"/>
          </w:tcPr>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2</w:t>
            </w:r>
            <w:r>
              <w:rPr>
                <w:rFonts w:hint="eastAsia" w:ascii="仿宋" w:hAnsi="仿宋" w:cs="仿宋_GB2312"/>
                <w:sz w:val="21"/>
                <w:szCs w:val="21"/>
              </w:rPr>
              <w:t>保修服务方式为中标人上门保修和远程保修相结合。中标人派技术人员到采购人使用现场维护，由此产生的一切费用均由中标人承担。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rPr>
                <w:rFonts w:ascii="仿宋" w:hAnsi="仿宋" w:cs="仿宋_GB2312"/>
                <w:sz w:val="21"/>
                <w:szCs w:val="21"/>
              </w:rPr>
            </w:pPr>
          </w:p>
        </w:tc>
        <w:tc>
          <w:tcPr>
            <w:tcW w:w="5240" w:type="dxa"/>
            <w:vAlign w:val="center"/>
          </w:tcPr>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项目自投入正式运行和在免费服务期内，系统出现故障时，供应商7×24小时服务响应，维护工程师应在接到报障后4个小时内到现场处理应用系统出现的故障；及时做出故障原因报告并提出有效措施加以解决。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rPr>
                <w:rFonts w:ascii="仿宋" w:hAnsi="仿宋" w:cs="仿宋_GB2312"/>
                <w:sz w:val="21"/>
                <w:szCs w:val="21"/>
              </w:rPr>
            </w:pPr>
          </w:p>
        </w:tc>
        <w:tc>
          <w:tcPr>
            <w:tcW w:w="5240" w:type="dxa"/>
            <w:vAlign w:val="center"/>
          </w:tcPr>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4</w:t>
            </w:r>
            <w:r>
              <w:rPr>
                <w:rFonts w:hint="eastAsia" w:ascii="仿宋" w:hAnsi="仿宋" w:cs="仿宋_GB2312"/>
                <w:sz w:val="21"/>
                <w:szCs w:val="21"/>
              </w:rPr>
              <w:t>中标人须提出保修期内的维护内容和范围（产品、技术、模块）。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rPr>
                <w:rFonts w:ascii="仿宋" w:hAnsi="仿宋" w:cs="仿宋_GB2312"/>
                <w:sz w:val="21"/>
                <w:szCs w:val="21"/>
              </w:rPr>
            </w:pPr>
          </w:p>
        </w:tc>
        <w:tc>
          <w:tcPr>
            <w:tcW w:w="5240" w:type="dxa"/>
            <w:vAlign w:val="center"/>
          </w:tcPr>
          <w:p>
            <w:pPr>
              <w:pStyle w:val="19"/>
              <w:spacing w:after="0" w:line="240" w:lineRule="auto"/>
              <w:ind w:firstLine="0"/>
              <w:rPr>
                <w:rFonts w:ascii="仿宋" w:hAnsi="仿宋" w:eastAsia="仿宋" w:cs="仿宋_GB2312"/>
                <w:kern w:val="2"/>
                <w:sz w:val="21"/>
                <w:szCs w:val="21"/>
                <w:lang w:eastAsia="zh-CN" w:bidi="ar-SA"/>
              </w:rPr>
            </w:pPr>
            <w:r>
              <w:rPr>
                <w:rFonts w:hint="eastAsia" w:ascii="仿宋" w:hAnsi="仿宋" w:eastAsia="仿宋" w:cs="仿宋_GB2312"/>
                <w:kern w:val="2"/>
                <w:sz w:val="21"/>
                <w:szCs w:val="21"/>
                <w:lang w:eastAsia="zh-CN" w:bidi="ar-SA"/>
              </w:rPr>
              <w:t>1.</w:t>
            </w:r>
            <w:r>
              <w:rPr>
                <w:rFonts w:ascii="仿宋" w:hAnsi="仿宋" w:eastAsia="仿宋" w:cs="仿宋_GB2312"/>
                <w:kern w:val="2"/>
                <w:sz w:val="21"/>
                <w:szCs w:val="21"/>
                <w:lang w:eastAsia="zh-CN" w:bidi="ar-SA"/>
              </w:rPr>
              <w:t>5</w:t>
            </w:r>
            <w:r>
              <w:rPr>
                <w:rFonts w:hint="eastAsia" w:ascii="仿宋" w:hAnsi="仿宋" w:eastAsia="仿宋" w:cs="仿宋_GB2312"/>
                <w:kern w:val="2"/>
                <w:sz w:val="21"/>
                <w:szCs w:val="21"/>
                <w:lang w:eastAsia="zh-CN" w:bidi="ar-SA"/>
              </w:rPr>
              <w:t>在项目验收后的免费服务期内，如因需要增加系统功能而产生的费用，双方另议；如果是软件设计漏洞或偏差，供应商须免费修正。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rPr>
                <w:rFonts w:ascii="仿宋" w:hAnsi="仿宋" w:cs="仿宋_GB2312"/>
                <w:sz w:val="21"/>
                <w:szCs w:val="21"/>
              </w:rPr>
            </w:pPr>
          </w:p>
        </w:tc>
        <w:tc>
          <w:tcPr>
            <w:tcW w:w="5240" w:type="dxa"/>
            <w:vAlign w:val="center"/>
          </w:tcPr>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6</w:t>
            </w:r>
            <w:r>
              <w:rPr>
                <w:rFonts w:hint="eastAsia" w:ascii="仿宋" w:hAnsi="仿宋" w:cs="仿宋_GB2312"/>
                <w:sz w:val="21"/>
                <w:szCs w:val="21"/>
              </w:rPr>
              <w:t>项目免费服务期满后，供应商须承诺在法定工作时间内，可以提供免费的技术指导和咨询，如需其他技术支持服务，则费用由双方另议（提供有效的承诺函加盖公章）。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251" w:type="dxa"/>
            <w:gridSpan w:val="3"/>
          </w:tcPr>
          <w:p>
            <w:pPr>
              <w:rPr>
                <w:rFonts w:ascii="仿宋" w:hAnsi="仿宋"/>
                <w:b/>
                <w:sz w:val="21"/>
                <w:szCs w:val="21"/>
              </w:rPr>
            </w:pPr>
            <w:r>
              <w:rPr>
                <w:rFonts w:hint="eastAsia" w:ascii="仿宋" w:hAnsi="仿宋"/>
                <w:b/>
                <w:sz w:val="21"/>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317" w:type="dxa"/>
            <w:vMerge w:val="restart"/>
            <w:vAlign w:val="center"/>
          </w:tcPr>
          <w:p>
            <w:pPr>
              <w:jc w:val="center"/>
              <w:rPr>
                <w:rFonts w:ascii="仿宋" w:hAnsi="仿宋" w:cs="仿宋_GB2312"/>
                <w:sz w:val="21"/>
                <w:szCs w:val="21"/>
              </w:rPr>
            </w:pPr>
            <w:r>
              <w:rPr>
                <w:rFonts w:hint="eastAsia" w:ascii="仿宋" w:hAnsi="仿宋" w:cs="仿宋_GB2312"/>
                <w:sz w:val="21"/>
                <w:szCs w:val="21"/>
              </w:rPr>
              <w:t>1</w:t>
            </w:r>
          </w:p>
        </w:tc>
        <w:tc>
          <w:tcPr>
            <w:tcW w:w="1694" w:type="dxa"/>
            <w:vMerge w:val="restart"/>
            <w:vAlign w:val="center"/>
          </w:tcPr>
          <w:p>
            <w:pPr>
              <w:jc w:val="center"/>
              <w:rPr>
                <w:rFonts w:ascii="仿宋" w:hAnsi="仿宋" w:cs="仿宋_GB2312"/>
                <w:sz w:val="21"/>
                <w:szCs w:val="21"/>
              </w:rPr>
            </w:pPr>
            <w:r>
              <w:rPr>
                <w:rFonts w:hint="eastAsia" w:ascii="仿宋" w:hAnsi="仿宋" w:cs="仿宋_GB2312"/>
                <w:sz w:val="21"/>
                <w:szCs w:val="21"/>
              </w:rPr>
              <w:t>关于交货</w:t>
            </w:r>
          </w:p>
        </w:tc>
        <w:tc>
          <w:tcPr>
            <w:tcW w:w="5240" w:type="dxa"/>
          </w:tcPr>
          <w:p>
            <w:pPr>
              <w:rPr>
                <w:rFonts w:ascii="仿宋" w:hAnsi="仿宋" w:cs="仿宋_GB2312"/>
                <w:sz w:val="21"/>
                <w:szCs w:val="21"/>
              </w:rPr>
            </w:pPr>
            <w:r>
              <w:rPr>
                <w:rFonts w:hint="eastAsia" w:ascii="仿宋" w:hAnsi="仿宋" w:cs="仿宋_GB2312"/>
                <w:sz w:val="21"/>
                <w:szCs w:val="21"/>
              </w:rPr>
              <w:t>1.1交货地点：采购人指定交货地点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jc w:val="center"/>
              <w:rPr>
                <w:rFonts w:ascii="仿宋" w:hAnsi="仿宋" w:cs="仿宋_GB2312"/>
                <w:sz w:val="21"/>
                <w:szCs w:val="21"/>
              </w:rPr>
            </w:pPr>
          </w:p>
        </w:tc>
        <w:tc>
          <w:tcPr>
            <w:tcW w:w="5240" w:type="dxa"/>
          </w:tcPr>
          <w:p>
            <w:pPr>
              <w:rPr>
                <w:rFonts w:ascii="仿宋" w:hAnsi="仿宋" w:cs="仿宋_GB2312"/>
                <w:sz w:val="21"/>
                <w:szCs w:val="21"/>
              </w:rPr>
            </w:pPr>
            <w:r>
              <w:rPr>
                <w:rFonts w:hint="eastAsia" w:ascii="仿宋" w:hAnsi="仿宋" w:cs="仿宋_GB2312"/>
                <w:sz w:val="21"/>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vAlign w:val="center"/>
          </w:tcPr>
          <w:p>
            <w:pPr>
              <w:jc w:val="center"/>
              <w:rPr>
                <w:rFonts w:ascii="仿宋" w:hAnsi="仿宋" w:cs="仿宋_GB2312"/>
                <w:sz w:val="21"/>
                <w:szCs w:val="21"/>
              </w:rPr>
            </w:pPr>
          </w:p>
        </w:tc>
        <w:tc>
          <w:tcPr>
            <w:tcW w:w="5240" w:type="dxa"/>
          </w:tcPr>
          <w:p>
            <w:pPr>
              <w:rPr>
                <w:rFonts w:ascii="仿宋" w:hAnsi="仿宋" w:cs="仿宋_GB2312"/>
                <w:sz w:val="21"/>
                <w:szCs w:val="21"/>
              </w:rPr>
            </w:pPr>
            <w:r>
              <w:rPr>
                <w:rFonts w:hint="eastAsia" w:ascii="仿宋" w:hAnsi="仿宋" w:cs="仿宋_GB2312"/>
                <w:sz w:val="21"/>
                <w:szCs w:val="21"/>
              </w:rPr>
              <w:t xml:space="preserve">1.3签订合同后 </w:t>
            </w:r>
            <w:r>
              <w:rPr>
                <w:rFonts w:hint="default" w:ascii="仿宋" w:hAnsi="仿宋" w:cs="仿宋_GB2312"/>
                <w:sz w:val="21"/>
                <w:szCs w:val="21"/>
                <w:woUserID w:val="1"/>
              </w:rPr>
              <w:t>6</w:t>
            </w:r>
            <w:r>
              <w:rPr>
                <w:rFonts w:ascii="仿宋" w:hAnsi="仿宋" w:cs="仿宋_GB2312"/>
                <w:sz w:val="21"/>
                <w:szCs w:val="21"/>
              </w:rPr>
              <w:t>0</w:t>
            </w:r>
            <w:r>
              <w:rPr>
                <w:rFonts w:hint="eastAsia" w:ascii="仿宋" w:hAnsi="仿宋" w:cs="仿宋_GB2312"/>
                <w:sz w:val="21"/>
                <w:szCs w:val="21"/>
              </w:rPr>
              <w:t xml:space="preserve"> 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317" w:type="dxa"/>
            <w:vMerge w:val="restart"/>
            <w:vAlign w:val="center"/>
          </w:tcPr>
          <w:p>
            <w:pPr>
              <w:jc w:val="center"/>
              <w:rPr>
                <w:rFonts w:ascii="仿宋" w:hAnsi="仿宋" w:cs="仿宋_GB2312"/>
                <w:sz w:val="21"/>
                <w:szCs w:val="21"/>
              </w:rPr>
            </w:pPr>
            <w:r>
              <w:rPr>
                <w:rFonts w:hint="eastAsia" w:ascii="仿宋" w:hAnsi="仿宋" w:cs="仿宋_GB2312"/>
                <w:sz w:val="21"/>
                <w:szCs w:val="21"/>
              </w:rPr>
              <w:t>2</w:t>
            </w:r>
          </w:p>
        </w:tc>
        <w:tc>
          <w:tcPr>
            <w:tcW w:w="1694" w:type="dxa"/>
            <w:vMerge w:val="restart"/>
            <w:vAlign w:val="center"/>
          </w:tcPr>
          <w:p>
            <w:pPr>
              <w:jc w:val="center"/>
              <w:rPr>
                <w:rFonts w:ascii="仿宋" w:hAnsi="仿宋" w:cs="仿宋_GB2312"/>
                <w:sz w:val="21"/>
                <w:szCs w:val="21"/>
              </w:rPr>
            </w:pPr>
            <w:r>
              <w:rPr>
                <w:rFonts w:hint="eastAsia" w:ascii="仿宋" w:hAnsi="仿宋" w:cs="仿宋_GB2312"/>
                <w:sz w:val="21"/>
                <w:szCs w:val="21"/>
              </w:rPr>
              <w:t>关于验收</w:t>
            </w:r>
          </w:p>
        </w:tc>
        <w:tc>
          <w:tcPr>
            <w:tcW w:w="5240" w:type="dxa"/>
          </w:tcPr>
          <w:p>
            <w:pPr>
              <w:spacing w:line="340" w:lineRule="exact"/>
              <w:rPr>
                <w:rFonts w:ascii="仿宋" w:hAnsi="仿宋" w:cs="仿宋_GB2312"/>
                <w:sz w:val="21"/>
                <w:szCs w:val="21"/>
              </w:rPr>
            </w:pPr>
            <w:r>
              <w:rPr>
                <w:rFonts w:hint="eastAsia" w:ascii="仿宋" w:hAnsi="仿宋" w:cs="仿宋_GB2312"/>
                <w:sz w:val="21"/>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317" w:type="dxa"/>
            <w:vMerge w:val="continue"/>
            <w:vAlign w:val="center"/>
          </w:tcPr>
          <w:p>
            <w:pPr>
              <w:jc w:val="center"/>
              <w:rPr>
                <w:rFonts w:ascii="仿宋" w:hAnsi="仿宋" w:cs="仿宋_GB2312"/>
                <w:sz w:val="21"/>
                <w:szCs w:val="21"/>
              </w:rPr>
            </w:pPr>
          </w:p>
        </w:tc>
        <w:tc>
          <w:tcPr>
            <w:tcW w:w="1694" w:type="dxa"/>
            <w:vMerge w:val="continue"/>
          </w:tcPr>
          <w:p>
            <w:pPr>
              <w:rPr>
                <w:rFonts w:ascii="仿宋" w:hAnsi="仿宋" w:cs="仿宋_GB2312"/>
                <w:sz w:val="21"/>
                <w:szCs w:val="21"/>
              </w:rPr>
            </w:pPr>
          </w:p>
        </w:tc>
        <w:tc>
          <w:tcPr>
            <w:tcW w:w="5240" w:type="dxa"/>
          </w:tcPr>
          <w:p>
            <w:pPr>
              <w:spacing w:line="340" w:lineRule="exact"/>
              <w:rPr>
                <w:rFonts w:ascii="仿宋" w:hAnsi="仿宋" w:cs="仿宋_GB2312"/>
                <w:sz w:val="21"/>
                <w:szCs w:val="21"/>
              </w:rPr>
            </w:pPr>
            <w:r>
              <w:rPr>
                <w:rFonts w:hint="eastAsia" w:ascii="仿宋" w:hAnsi="仿宋" w:cs="仿宋_GB2312"/>
                <w:sz w:val="21"/>
                <w:szCs w:val="21"/>
              </w:rPr>
              <w:t>2.2当满足以下条件时，采购人才向中标人签发货物验收报告：</w:t>
            </w:r>
          </w:p>
          <w:p>
            <w:pPr>
              <w:tabs>
                <w:tab w:val="left" w:pos="1260"/>
              </w:tabs>
              <w:spacing w:line="340" w:lineRule="exact"/>
              <w:rPr>
                <w:rFonts w:ascii="仿宋" w:hAnsi="仿宋" w:cs="仿宋_GB2312"/>
                <w:sz w:val="21"/>
                <w:szCs w:val="21"/>
              </w:rPr>
            </w:pPr>
            <w:r>
              <w:rPr>
                <w:rFonts w:ascii="仿宋" w:hAnsi="仿宋" w:cs="仿宋_GB2312"/>
                <w:sz w:val="21"/>
                <w:szCs w:val="21"/>
              </w:rPr>
              <w:t>a</w:t>
            </w:r>
            <w:r>
              <w:rPr>
                <w:rFonts w:hint="eastAsia" w:ascii="仿宋" w:hAnsi="仿宋" w:cs="仿宋_GB2312"/>
                <w:sz w:val="21"/>
                <w:szCs w:val="21"/>
              </w:rPr>
              <w:t>、中标人已按照合同规定提供了全部产品及完整的技术资料。</w:t>
            </w:r>
          </w:p>
          <w:p>
            <w:pPr>
              <w:tabs>
                <w:tab w:val="left" w:pos="1260"/>
              </w:tabs>
              <w:spacing w:line="340" w:lineRule="exact"/>
              <w:rPr>
                <w:rFonts w:ascii="仿宋" w:hAnsi="仿宋" w:cs="仿宋_GB2312"/>
                <w:sz w:val="21"/>
                <w:szCs w:val="21"/>
              </w:rPr>
            </w:pPr>
            <w:r>
              <w:rPr>
                <w:rFonts w:ascii="仿宋" w:hAnsi="仿宋" w:cs="仿宋_GB2312"/>
                <w:sz w:val="21"/>
                <w:szCs w:val="21"/>
              </w:rPr>
              <w:t>b</w:t>
            </w:r>
            <w:r>
              <w:rPr>
                <w:rFonts w:hint="eastAsia" w:ascii="仿宋" w:hAnsi="仿宋" w:cs="仿宋_GB2312"/>
                <w:sz w:val="21"/>
                <w:szCs w:val="21"/>
              </w:rPr>
              <w:t>、货物符合招标文件技术规格书的要求，性能满足要求。</w:t>
            </w:r>
          </w:p>
          <w:p>
            <w:pPr>
              <w:tabs>
                <w:tab w:val="left" w:pos="1260"/>
              </w:tabs>
              <w:spacing w:line="340" w:lineRule="exact"/>
              <w:rPr>
                <w:rFonts w:ascii="仿宋" w:hAnsi="仿宋" w:cs="仿宋_GB2312"/>
                <w:sz w:val="21"/>
                <w:szCs w:val="21"/>
              </w:rPr>
            </w:pPr>
            <w:r>
              <w:rPr>
                <w:rFonts w:ascii="仿宋" w:hAnsi="仿宋" w:cs="仿宋_GB2312"/>
                <w:sz w:val="21"/>
                <w:szCs w:val="21"/>
              </w:rPr>
              <w:t>c</w:t>
            </w:r>
            <w:r>
              <w:rPr>
                <w:rFonts w:hint="eastAsia" w:ascii="仿宋" w:hAnsi="仿宋" w:cs="仿宋_GB2312"/>
                <w:sz w:val="21"/>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317" w:type="dxa"/>
            <w:vAlign w:val="center"/>
          </w:tcPr>
          <w:p>
            <w:pPr>
              <w:jc w:val="center"/>
              <w:rPr>
                <w:rFonts w:ascii="仿宋" w:hAnsi="仿宋" w:cs="仿宋_GB2312"/>
                <w:sz w:val="21"/>
                <w:szCs w:val="21"/>
              </w:rPr>
            </w:pPr>
            <w:r>
              <w:rPr>
                <w:rFonts w:ascii="仿宋" w:hAnsi="仿宋" w:cs="仿宋_GB2312"/>
                <w:sz w:val="21"/>
                <w:szCs w:val="21"/>
              </w:rPr>
              <w:t>3</w:t>
            </w:r>
          </w:p>
        </w:tc>
        <w:tc>
          <w:tcPr>
            <w:tcW w:w="1694" w:type="dxa"/>
            <w:vAlign w:val="center"/>
          </w:tcPr>
          <w:p>
            <w:pPr>
              <w:rPr>
                <w:rFonts w:ascii="仿宋" w:hAnsi="仿宋" w:cs="仿宋_GB2312"/>
                <w:sz w:val="21"/>
                <w:szCs w:val="21"/>
              </w:rPr>
            </w:pPr>
            <w:r>
              <w:rPr>
                <w:rFonts w:hint="eastAsia" w:ascii="仿宋" w:hAnsi="仿宋" w:cs="仿宋_GB2312"/>
                <w:sz w:val="21"/>
                <w:szCs w:val="21"/>
              </w:rPr>
              <w:t>关于付款</w:t>
            </w:r>
          </w:p>
        </w:tc>
        <w:tc>
          <w:tcPr>
            <w:tcW w:w="5240" w:type="dxa"/>
          </w:tcPr>
          <w:p>
            <w:pPr>
              <w:keepNext w:val="0"/>
              <w:keepLines w:val="0"/>
              <w:widowControl w:val="0"/>
              <w:suppressLineNumbers w:val="0"/>
              <w:spacing w:before="0" w:beforeAutospacing="0" w:after="0" w:afterAutospacing="0"/>
              <w:ind w:left="0" w:right="0"/>
              <w:jc w:val="both"/>
              <w:rPr>
                <w:rFonts w:ascii="仿宋" w:hAnsi="仿宋" w:cs="仿宋_GB2312"/>
                <w:sz w:val="21"/>
                <w:szCs w:val="21"/>
              </w:rPr>
            </w:pPr>
            <w:r>
              <w:rPr>
                <w:rFonts w:hint="eastAsia" w:ascii="仿宋" w:hAnsi="仿宋" w:cs="仿宋_GB2312"/>
                <w:sz w:val="21"/>
                <w:szCs w:val="21"/>
              </w:rPr>
              <w:t>a、合同签订后</w:t>
            </w:r>
            <w:r>
              <w:rPr>
                <w:rFonts w:hint="default" w:ascii="仿宋" w:hAnsi="仿宋" w:cs="仿宋_GB2312"/>
                <w:sz w:val="21"/>
                <w:szCs w:val="21"/>
                <w:woUserID w:val="1"/>
              </w:rPr>
              <w:t>并收到乙方发票</w:t>
            </w:r>
            <w:r>
              <w:rPr>
                <w:rFonts w:hint="eastAsia" w:ascii="仿宋" w:hAnsi="仿宋" w:cs="仿宋_GB2312"/>
                <w:sz w:val="21"/>
                <w:szCs w:val="21"/>
              </w:rPr>
              <w:t>，</w:t>
            </w:r>
            <w:r>
              <w:rPr>
                <w:rFonts w:hint="default" w:ascii="仿宋" w:hAnsi="仿宋" w:cs="仿宋_GB2312"/>
                <w:sz w:val="21"/>
                <w:szCs w:val="21"/>
                <w:woUserID w:val="1"/>
              </w:rPr>
              <w:t>6</w:t>
            </w:r>
            <w:r>
              <w:rPr>
                <w:rFonts w:ascii="仿宋" w:hAnsi="仿宋" w:cs="仿宋_GB2312"/>
                <w:sz w:val="21"/>
                <w:szCs w:val="21"/>
              </w:rPr>
              <w:t>0</w:t>
            </w:r>
            <w:r>
              <w:rPr>
                <w:rFonts w:hint="eastAsia" w:ascii="仿宋" w:hAnsi="仿宋" w:cs="仿宋_GB2312"/>
                <w:sz w:val="21"/>
                <w:szCs w:val="21"/>
              </w:rPr>
              <w:t>个日历日，支付项目</w:t>
            </w:r>
            <w:r>
              <w:rPr>
                <w:rFonts w:hint="default" w:ascii="仿宋" w:hAnsi="仿宋" w:cs="仿宋_GB2312"/>
                <w:sz w:val="21"/>
                <w:szCs w:val="21"/>
                <w:woUserID w:val="1"/>
              </w:rPr>
              <w:t>3</w:t>
            </w:r>
            <w:r>
              <w:rPr>
                <w:rFonts w:hint="eastAsia" w:ascii="仿宋" w:hAnsi="仿宋" w:cs="仿宋_GB2312"/>
                <w:sz w:val="21"/>
                <w:szCs w:val="21"/>
              </w:rPr>
              <w:t>0%预付款；</w:t>
            </w:r>
          </w:p>
          <w:p>
            <w:pPr>
              <w:rPr>
                <w:rFonts w:hint="eastAsia" w:ascii="仿宋" w:hAnsi="仿宋" w:cs="仿宋_GB2312"/>
                <w:sz w:val="21"/>
                <w:szCs w:val="21"/>
              </w:rPr>
            </w:pPr>
            <w:r>
              <w:rPr>
                <w:rFonts w:hint="eastAsia" w:ascii="仿宋" w:hAnsi="仿宋" w:cs="仿宋_GB2312"/>
                <w:sz w:val="21"/>
                <w:szCs w:val="21"/>
              </w:rPr>
              <w:t>b、本项目所有设备完成调试并通过建设单位组织初验</w:t>
            </w:r>
            <w:r>
              <w:rPr>
                <w:rFonts w:hint="default" w:ascii="仿宋" w:hAnsi="仿宋" w:cs="仿宋_GB2312"/>
                <w:sz w:val="21"/>
                <w:szCs w:val="21"/>
                <w:woUserID w:val="1"/>
              </w:rPr>
              <w:t>并收到乙方发票</w:t>
            </w:r>
            <w:r>
              <w:rPr>
                <w:rFonts w:hint="eastAsia" w:ascii="仿宋" w:hAnsi="仿宋" w:cs="仿宋_GB2312"/>
                <w:sz w:val="21"/>
                <w:szCs w:val="21"/>
              </w:rPr>
              <w:t>后，</w:t>
            </w:r>
            <w:r>
              <w:rPr>
                <w:rFonts w:hint="default" w:ascii="仿宋" w:hAnsi="仿宋" w:cs="仿宋_GB2312"/>
                <w:sz w:val="21"/>
                <w:szCs w:val="21"/>
                <w:woUserID w:val="1"/>
              </w:rPr>
              <w:t>6</w:t>
            </w:r>
            <w:r>
              <w:rPr>
                <w:rFonts w:ascii="仿宋" w:hAnsi="仿宋" w:cs="仿宋_GB2312"/>
                <w:sz w:val="21"/>
                <w:szCs w:val="21"/>
              </w:rPr>
              <w:t>0</w:t>
            </w:r>
            <w:r>
              <w:rPr>
                <w:rFonts w:hint="eastAsia" w:ascii="仿宋" w:hAnsi="仿宋" w:cs="仿宋_GB2312"/>
                <w:sz w:val="21"/>
                <w:szCs w:val="21"/>
              </w:rPr>
              <w:t>个日历日内支付</w:t>
            </w:r>
            <w:r>
              <w:rPr>
                <w:rFonts w:hint="default" w:ascii="仿宋" w:hAnsi="仿宋" w:cs="仿宋_GB2312"/>
                <w:sz w:val="21"/>
                <w:szCs w:val="21"/>
                <w:woUserID w:val="1"/>
              </w:rPr>
              <w:t>6</w:t>
            </w:r>
            <w:r>
              <w:rPr>
                <w:rFonts w:ascii="仿宋" w:hAnsi="仿宋" w:cs="仿宋_GB2312"/>
                <w:sz w:val="21"/>
                <w:szCs w:val="21"/>
              </w:rPr>
              <w:t>0</w:t>
            </w:r>
            <w:r>
              <w:rPr>
                <w:rFonts w:hint="eastAsia" w:ascii="仿宋" w:hAnsi="仿宋" w:cs="仿宋_GB2312"/>
                <w:sz w:val="21"/>
                <w:szCs w:val="21"/>
              </w:rPr>
              <w:t>%项目合同款；</w:t>
            </w:r>
          </w:p>
          <w:p>
            <w:pPr>
              <w:keepNext w:val="0"/>
              <w:keepLines w:val="0"/>
              <w:widowControl w:val="0"/>
              <w:suppressLineNumbers w:val="0"/>
              <w:spacing w:before="0" w:beforeAutospacing="0" w:after="0" w:afterAutospacing="0"/>
              <w:ind w:left="0" w:right="0"/>
              <w:jc w:val="both"/>
              <w:rPr>
                <w:rFonts w:hint="eastAsia" w:ascii="仿宋" w:hAnsi="仿宋" w:cs="仿宋_GB2312"/>
                <w:sz w:val="21"/>
                <w:szCs w:val="21"/>
              </w:rPr>
            </w:pPr>
            <w:r>
              <w:rPr>
                <w:rFonts w:hint="default" w:ascii="仿宋" w:hAnsi="仿宋" w:cs="仿宋_GB2312"/>
                <w:sz w:val="21"/>
                <w:szCs w:val="21"/>
                <w:woUserID w:val="1"/>
              </w:rPr>
              <w:t>c</w:t>
            </w:r>
            <w:r>
              <w:rPr>
                <w:rFonts w:hint="eastAsia" w:ascii="仿宋" w:hAnsi="仿宋" w:cs="仿宋_GB2312"/>
                <w:sz w:val="21"/>
                <w:szCs w:val="21"/>
                <w:woUserID w:val="1"/>
              </w:rPr>
              <w:t>、</w:t>
            </w:r>
            <w:r>
              <w:rPr>
                <w:rFonts w:hint="default" w:ascii="仿宋" w:hAnsi="仿宋" w:cs="仿宋_GB2312"/>
                <w:sz w:val="21"/>
                <w:szCs w:val="21"/>
                <w:woUserID w:val="1"/>
              </w:rPr>
              <w:t>质保期满</w:t>
            </w:r>
            <w:r>
              <w:rPr>
                <w:rFonts w:hint="default" w:ascii="仿宋" w:hAnsi="仿宋" w:cs="仿宋_GB2312"/>
                <w:sz w:val="21"/>
                <w:szCs w:val="21"/>
                <w:woUserID w:val="1"/>
              </w:rPr>
              <w:t>并收到乙方发票</w:t>
            </w:r>
            <w:r>
              <w:rPr>
                <w:rFonts w:hint="eastAsia" w:ascii="仿宋" w:hAnsi="仿宋" w:cs="仿宋_GB2312"/>
                <w:sz w:val="21"/>
                <w:szCs w:val="21"/>
                <w:woUserID w:val="1"/>
              </w:rPr>
              <w:t>后，</w:t>
            </w:r>
            <w:r>
              <w:rPr>
                <w:rFonts w:hint="default" w:ascii="仿宋" w:hAnsi="仿宋" w:cs="仿宋_GB2312"/>
                <w:sz w:val="21"/>
                <w:szCs w:val="21"/>
                <w:woUserID w:val="1"/>
              </w:rPr>
              <w:t>6</w:t>
            </w:r>
            <w:r>
              <w:rPr>
                <w:rFonts w:ascii="仿宋" w:hAnsi="仿宋" w:cs="仿宋_GB2312"/>
                <w:sz w:val="21"/>
                <w:szCs w:val="21"/>
                <w:woUserID w:val="1"/>
              </w:rPr>
              <w:t>0</w:t>
            </w:r>
            <w:r>
              <w:rPr>
                <w:rFonts w:hint="eastAsia" w:ascii="仿宋" w:hAnsi="仿宋" w:cs="仿宋_GB2312"/>
                <w:sz w:val="21"/>
                <w:szCs w:val="21"/>
                <w:woUserID w:val="1"/>
              </w:rPr>
              <w:t>个日历日内支付</w:t>
            </w:r>
            <w:r>
              <w:rPr>
                <w:rFonts w:hint="default" w:ascii="仿宋" w:hAnsi="仿宋" w:cs="仿宋_GB2312"/>
                <w:sz w:val="21"/>
                <w:szCs w:val="21"/>
                <w:woUserID w:val="1"/>
              </w:rPr>
              <w:t>1</w:t>
            </w:r>
            <w:r>
              <w:rPr>
                <w:rFonts w:ascii="仿宋" w:hAnsi="仿宋" w:cs="仿宋_GB2312"/>
                <w:sz w:val="21"/>
                <w:szCs w:val="21"/>
                <w:woUserID w:val="1"/>
              </w:rPr>
              <w:t>0</w:t>
            </w:r>
            <w:r>
              <w:rPr>
                <w:rFonts w:hint="eastAsia" w:ascii="仿宋" w:hAnsi="仿宋" w:cs="仿宋_GB2312"/>
                <w:sz w:val="21"/>
                <w:szCs w:val="21"/>
                <w:woUserID w:val="1"/>
              </w:rPr>
              <w:t>%项目合同款；</w:t>
            </w:r>
          </w:p>
        </w:tc>
      </w:tr>
    </w:tbl>
    <w:p>
      <w:pPr>
        <w:spacing w:line="600" w:lineRule="exact"/>
        <w:rPr>
          <w:rFonts w:ascii="仿宋" w:hAnsi="仿宋" w:cs="宋体"/>
          <w:b/>
        </w:rPr>
      </w:pPr>
    </w:p>
    <w:p>
      <w:pPr>
        <w:pStyle w:val="18"/>
        <w:rPr>
          <w:rFonts w:ascii="仿宋" w:hAnsi="仿宋"/>
        </w:rPr>
      </w:pPr>
      <w:r>
        <w:rPr>
          <w:rFonts w:hint="eastAsia" w:ascii="仿宋" w:hAnsi="仿宋"/>
        </w:rPr>
        <w:t>4评分标准</w:t>
      </w:r>
    </w:p>
    <w:tbl>
      <w:tblPr>
        <w:tblStyle w:val="1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95"/>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242" w:type="dxa"/>
            <w:tcBorders>
              <w:top w:val="double" w:color="auto" w:sz="4" w:space="0"/>
              <w:left w:val="double" w:color="auto" w:sz="4" w:space="0"/>
              <w:bottom w:val="single" w:color="auto" w:sz="4" w:space="0"/>
            </w:tcBorders>
            <w:vAlign w:val="center"/>
          </w:tcPr>
          <w:p>
            <w:pPr>
              <w:adjustRightInd w:val="0"/>
              <w:snapToGrid w:val="0"/>
              <w:spacing w:line="300" w:lineRule="auto"/>
              <w:jc w:val="center"/>
              <w:rPr>
                <w:rFonts w:ascii="仿宋" w:hAnsi="仿宋"/>
                <w:b/>
                <w:bCs/>
                <w:snapToGrid w:val="0"/>
                <w:kern w:val="0"/>
                <w:szCs w:val="21"/>
              </w:rPr>
            </w:pPr>
            <w:r>
              <w:rPr>
                <w:rFonts w:hint="eastAsia" w:ascii="仿宋" w:hAnsi="仿宋"/>
                <w:b/>
                <w:bCs/>
                <w:snapToGrid w:val="0"/>
                <w:kern w:val="0"/>
                <w:szCs w:val="21"/>
              </w:rPr>
              <w:t>类别</w:t>
            </w:r>
          </w:p>
        </w:tc>
        <w:tc>
          <w:tcPr>
            <w:tcW w:w="1276" w:type="dxa"/>
            <w:tcBorders>
              <w:top w:val="double" w:color="auto" w:sz="4" w:space="0"/>
            </w:tcBorders>
            <w:vAlign w:val="center"/>
          </w:tcPr>
          <w:p>
            <w:pPr>
              <w:adjustRightInd w:val="0"/>
              <w:snapToGrid w:val="0"/>
              <w:spacing w:line="300" w:lineRule="auto"/>
              <w:jc w:val="center"/>
              <w:rPr>
                <w:rFonts w:ascii="仿宋" w:hAnsi="仿宋"/>
                <w:b/>
                <w:bCs/>
                <w:snapToGrid w:val="0"/>
                <w:kern w:val="0"/>
                <w:szCs w:val="21"/>
              </w:rPr>
            </w:pPr>
            <w:r>
              <w:rPr>
                <w:rFonts w:hint="eastAsia" w:ascii="仿宋" w:hAnsi="仿宋"/>
                <w:b/>
                <w:bCs/>
                <w:snapToGrid w:val="0"/>
                <w:kern w:val="0"/>
                <w:szCs w:val="21"/>
              </w:rPr>
              <w:t>评分项目</w:t>
            </w:r>
          </w:p>
        </w:tc>
        <w:tc>
          <w:tcPr>
            <w:tcW w:w="1295" w:type="dxa"/>
            <w:tcBorders>
              <w:top w:val="double" w:color="auto" w:sz="4" w:space="0"/>
            </w:tcBorders>
            <w:vAlign w:val="center"/>
          </w:tcPr>
          <w:p>
            <w:pPr>
              <w:widowControl/>
              <w:adjustRightInd w:val="0"/>
              <w:snapToGrid w:val="0"/>
              <w:spacing w:after="60"/>
              <w:jc w:val="center"/>
              <w:rPr>
                <w:rFonts w:ascii="仿宋" w:hAnsi="仿宋"/>
                <w:b/>
                <w:bCs/>
                <w:snapToGrid w:val="0"/>
                <w:kern w:val="0"/>
                <w:szCs w:val="21"/>
              </w:rPr>
            </w:pPr>
            <w:r>
              <w:rPr>
                <w:rFonts w:hint="eastAsia" w:ascii="仿宋" w:hAnsi="仿宋"/>
                <w:b/>
                <w:bCs/>
                <w:snapToGrid w:val="0"/>
                <w:kern w:val="0"/>
                <w:szCs w:val="21"/>
              </w:rPr>
              <w:t>最高分值</w:t>
            </w:r>
          </w:p>
        </w:tc>
        <w:tc>
          <w:tcPr>
            <w:tcW w:w="5655" w:type="dxa"/>
            <w:tcBorders>
              <w:top w:val="double" w:color="auto" w:sz="4" w:space="0"/>
              <w:right w:val="double" w:color="auto" w:sz="4" w:space="0"/>
            </w:tcBorders>
            <w:vAlign w:val="center"/>
          </w:tcPr>
          <w:p>
            <w:pPr>
              <w:adjustRightInd w:val="0"/>
              <w:snapToGrid w:val="0"/>
              <w:spacing w:line="300" w:lineRule="auto"/>
              <w:jc w:val="center"/>
              <w:rPr>
                <w:rFonts w:ascii="仿宋" w:hAnsi="仿宋"/>
                <w:b/>
                <w:bCs/>
                <w:snapToGrid w:val="0"/>
                <w:kern w:val="0"/>
                <w:szCs w:val="21"/>
              </w:rPr>
            </w:pPr>
            <w:r>
              <w:rPr>
                <w:rFonts w:hint="eastAsia" w:ascii="仿宋" w:hAnsi="仿宋"/>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42" w:type="dxa"/>
            <w:tcBorders>
              <w:left w:val="double" w:color="auto" w:sz="4" w:space="0"/>
            </w:tcBorders>
            <w:vAlign w:val="center"/>
          </w:tcPr>
          <w:p>
            <w:pPr>
              <w:adjustRightInd w:val="0"/>
              <w:spacing w:line="300" w:lineRule="auto"/>
              <w:jc w:val="center"/>
              <w:rPr>
                <w:rFonts w:ascii="仿宋" w:hAnsi="仿宋"/>
                <w:b/>
                <w:bCs/>
                <w:snapToGrid w:val="0"/>
                <w:kern w:val="0"/>
                <w:szCs w:val="21"/>
              </w:rPr>
            </w:pPr>
            <w:r>
              <w:rPr>
                <w:rFonts w:hint="eastAsia" w:ascii="仿宋" w:hAnsi="仿宋"/>
                <w:b/>
                <w:bCs/>
                <w:snapToGrid w:val="0"/>
                <w:kern w:val="0"/>
                <w:szCs w:val="21"/>
              </w:rPr>
              <w:t>价格标（G）</w:t>
            </w:r>
          </w:p>
          <w:p>
            <w:pPr>
              <w:adjustRightInd w:val="0"/>
              <w:spacing w:line="300" w:lineRule="auto"/>
              <w:jc w:val="center"/>
              <w:rPr>
                <w:rFonts w:ascii="仿宋" w:hAnsi="仿宋"/>
                <w:b/>
                <w:bCs/>
                <w:snapToGrid w:val="0"/>
                <w:kern w:val="0"/>
                <w:szCs w:val="21"/>
              </w:rPr>
            </w:pPr>
            <w:r>
              <w:rPr>
                <w:rFonts w:hint="eastAsia" w:ascii="仿宋" w:hAnsi="仿宋"/>
                <w:b/>
                <w:bCs/>
                <w:snapToGrid w:val="0"/>
                <w:kern w:val="0"/>
                <w:szCs w:val="21"/>
              </w:rPr>
              <w:t>（总分</w:t>
            </w:r>
            <w:r>
              <w:rPr>
                <w:rFonts w:ascii="仿宋" w:hAnsi="仿宋"/>
                <w:b/>
                <w:bCs/>
                <w:snapToGrid w:val="0"/>
                <w:kern w:val="0"/>
                <w:szCs w:val="21"/>
              </w:rPr>
              <w:t>30</w:t>
            </w:r>
            <w:r>
              <w:rPr>
                <w:rFonts w:hint="eastAsia" w:ascii="仿宋" w:hAnsi="仿宋"/>
                <w:b/>
                <w:bCs/>
                <w:snapToGrid w:val="0"/>
                <w:kern w:val="0"/>
                <w:szCs w:val="21"/>
              </w:rPr>
              <w:t>分）</w:t>
            </w:r>
          </w:p>
        </w:tc>
        <w:tc>
          <w:tcPr>
            <w:tcW w:w="1276" w:type="dxa"/>
            <w:vAlign w:val="center"/>
          </w:tcPr>
          <w:p>
            <w:pPr>
              <w:adjustRightInd w:val="0"/>
              <w:spacing w:line="300" w:lineRule="auto"/>
              <w:jc w:val="center"/>
              <w:rPr>
                <w:rFonts w:ascii="仿宋" w:hAnsi="仿宋" w:cs="宋体"/>
                <w:kern w:val="0"/>
                <w:szCs w:val="21"/>
              </w:rPr>
            </w:pPr>
            <w:r>
              <w:rPr>
                <w:rFonts w:hint="eastAsia" w:ascii="仿宋" w:hAnsi="仿宋" w:cs="宋体"/>
                <w:kern w:val="0"/>
                <w:szCs w:val="21"/>
              </w:rPr>
              <w:t>投标总价</w:t>
            </w:r>
          </w:p>
        </w:tc>
        <w:tc>
          <w:tcPr>
            <w:tcW w:w="1295" w:type="dxa"/>
            <w:tcBorders>
              <w:bottom w:val="single" w:color="auto" w:sz="4" w:space="0"/>
            </w:tcBorders>
            <w:vAlign w:val="center"/>
          </w:tcPr>
          <w:p>
            <w:pPr>
              <w:adjustRightInd w:val="0"/>
              <w:spacing w:line="300" w:lineRule="auto"/>
              <w:jc w:val="center"/>
              <w:rPr>
                <w:rFonts w:ascii="仿宋" w:hAnsi="仿宋" w:cs="宋体"/>
                <w:kern w:val="0"/>
              </w:rPr>
            </w:pPr>
            <w:r>
              <w:rPr>
                <w:rFonts w:ascii="仿宋" w:hAnsi="仿宋" w:cs="宋体"/>
                <w:kern w:val="0"/>
              </w:rPr>
              <w:t>30</w:t>
            </w:r>
          </w:p>
        </w:tc>
        <w:tc>
          <w:tcPr>
            <w:tcW w:w="5655" w:type="dxa"/>
            <w:tcBorders>
              <w:bottom w:val="single" w:color="auto" w:sz="4" w:space="0"/>
              <w:right w:val="double" w:color="auto" w:sz="4" w:space="0"/>
            </w:tcBorders>
            <w:vAlign w:val="center"/>
          </w:tcPr>
          <w:p>
            <w:pPr>
              <w:adjustRightInd w:val="0"/>
              <w:spacing w:line="25" w:lineRule="atLeast"/>
              <w:jc w:val="left"/>
              <w:rPr>
                <w:rFonts w:ascii="仿宋" w:hAnsi="仿宋" w:cs="宋体"/>
                <w:kern w:val="0"/>
              </w:rPr>
            </w:pPr>
            <w:r>
              <w:rPr>
                <w:rFonts w:hint="eastAsia" w:ascii="仿宋" w:hAnsi="仿宋" w:cs="宋体"/>
                <w:kern w:val="0"/>
              </w:rPr>
              <w:t>价格分按以下方案计算：</w:t>
            </w:r>
          </w:p>
          <w:p>
            <w:pPr>
              <w:adjustRightInd w:val="0"/>
              <w:spacing w:line="25" w:lineRule="atLeast"/>
              <w:jc w:val="left"/>
              <w:rPr>
                <w:rFonts w:ascii="仿宋" w:hAnsi="仿宋" w:cs="宋体"/>
                <w:kern w:val="0"/>
              </w:rPr>
            </w:pPr>
            <w:r>
              <w:rPr>
                <w:rFonts w:hint="eastAsia" w:ascii="仿宋" w:hAnsi="仿宋" w:cs="宋体"/>
                <w:kern w:val="0"/>
              </w:rPr>
              <w:t>投标报价得分= Z/Sn×30</w:t>
            </w:r>
          </w:p>
          <w:p>
            <w:pPr>
              <w:adjustRightInd w:val="0"/>
              <w:spacing w:line="25" w:lineRule="atLeast"/>
              <w:jc w:val="left"/>
              <w:rPr>
                <w:rFonts w:ascii="仿宋" w:hAnsi="仿宋" w:cs="宋体"/>
                <w:kern w:val="0"/>
              </w:rPr>
            </w:pPr>
            <w:r>
              <w:rPr>
                <w:rFonts w:hint="eastAsia" w:ascii="仿宋" w:hAnsi="仿宋" w:cs="宋体"/>
                <w:kern w:val="0"/>
              </w:rPr>
              <w:t>其中： Z --评标基准价，即通过资格性审查和符合性审查且投标价格最低的投标报价</w:t>
            </w:r>
          </w:p>
          <w:p>
            <w:pPr>
              <w:adjustRightInd w:val="0"/>
              <w:spacing w:line="25" w:lineRule="atLeast"/>
              <w:rPr>
                <w:rFonts w:ascii="仿宋" w:hAnsi="仿宋" w:cs="宋体"/>
                <w:kern w:val="0"/>
              </w:rPr>
            </w:pPr>
            <w:r>
              <w:rPr>
                <w:rFonts w:hint="eastAsia" w:ascii="仿宋" w:hAnsi="仿宋" w:cs="宋体"/>
                <w:kern w:val="0"/>
              </w:rPr>
              <w:tab/>
            </w:r>
            <w:r>
              <w:rPr>
                <w:rFonts w:hint="eastAsia" w:ascii="仿宋" w:hAnsi="仿宋" w:cs="宋体"/>
                <w:kern w:val="0"/>
              </w:rPr>
              <w:t xml:space="preserve">  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6" w:hRule="atLeast"/>
        </w:trPr>
        <w:tc>
          <w:tcPr>
            <w:tcW w:w="1242" w:type="dxa"/>
            <w:vMerge w:val="restart"/>
            <w:tcBorders>
              <w:left w:val="double" w:color="auto" w:sz="4" w:space="0"/>
            </w:tcBorders>
            <w:vAlign w:val="center"/>
          </w:tcPr>
          <w:p>
            <w:pPr>
              <w:adjustRightInd w:val="0"/>
              <w:spacing w:line="300" w:lineRule="auto"/>
              <w:jc w:val="center"/>
              <w:rPr>
                <w:rFonts w:ascii="仿宋" w:hAnsi="仿宋"/>
                <w:b/>
                <w:bCs/>
                <w:snapToGrid w:val="0"/>
                <w:kern w:val="0"/>
                <w:szCs w:val="21"/>
              </w:rPr>
            </w:pPr>
            <w:r>
              <w:rPr>
                <w:rFonts w:hint="eastAsia" w:ascii="仿宋" w:hAnsi="仿宋"/>
                <w:b/>
                <w:bCs/>
                <w:snapToGrid w:val="0"/>
                <w:kern w:val="0"/>
                <w:szCs w:val="21"/>
              </w:rPr>
              <w:t>技术标（J）</w:t>
            </w:r>
          </w:p>
          <w:p>
            <w:pPr>
              <w:adjustRightInd w:val="0"/>
              <w:spacing w:line="300" w:lineRule="auto"/>
              <w:jc w:val="center"/>
              <w:rPr>
                <w:rFonts w:ascii="仿宋" w:hAnsi="仿宋"/>
                <w:b/>
                <w:bCs/>
                <w:snapToGrid w:val="0"/>
                <w:kern w:val="0"/>
                <w:szCs w:val="21"/>
              </w:rPr>
            </w:pPr>
            <w:r>
              <w:rPr>
                <w:rFonts w:hint="eastAsia" w:ascii="仿宋" w:hAnsi="仿宋"/>
                <w:b/>
                <w:bCs/>
                <w:snapToGrid w:val="0"/>
                <w:kern w:val="0"/>
                <w:szCs w:val="21"/>
              </w:rPr>
              <w:t>（总分</w:t>
            </w:r>
            <w:r>
              <w:rPr>
                <w:rFonts w:ascii="仿宋" w:hAnsi="仿宋"/>
                <w:b/>
                <w:bCs/>
                <w:snapToGrid w:val="0"/>
                <w:kern w:val="0"/>
                <w:szCs w:val="21"/>
              </w:rPr>
              <w:t>54</w:t>
            </w:r>
            <w:r>
              <w:rPr>
                <w:rFonts w:hint="eastAsia" w:ascii="仿宋" w:hAnsi="仿宋"/>
                <w:b/>
                <w:bCs/>
                <w:snapToGrid w:val="0"/>
                <w:kern w:val="0"/>
                <w:szCs w:val="21"/>
              </w:rPr>
              <w:t>分）</w:t>
            </w:r>
          </w:p>
        </w:tc>
        <w:tc>
          <w:tcPr>
            <w:tcW w:w="1276" w:type="dxa"/>
            <w:vAlign w:val="center"/>
          </w:tcPr>
          <w:p>
            <w:pPr>
              <w:adjustRightInd w:val="0"/>
              <w:spacing w:line="300" w:lineRule="auto"/>
              <w:jc w:val="center"/>
              <w:rPr>
                <w:rFonts w:ascii="仿宋" w:hAnsi="仿宋" w:cs="宋体"/>
                <w:kern w:val="0"/>
              </w:rPr>
            </w:pPr>
            <w:r>
              <w:rPr>
                <w:rFonts w:hint="eastAsia" w:ascii="宋体" w:hAnsi="宋体"/>
                <w:szCs w:val="21"/>
              </w:rPr>
              <w:t>技术保障措施</w:t>
            </w:r>
          </w:p>
        </w:tc>
        <w:tc>
          <w:tcPr>
            <w:tcW w:w="1295" w:type="dxa"/>
            <w:vAlign w:val="center"/>
          </w:tcPr>
          <w:p>
            <w:pPr>
              <w:adjustRightInd w:val="0"/>
              <w:spacing w:line="300" w:lineRule="auto"/>
              <w:jc w:val="center"/>
              <w:rPr>
                <w:rFonts w:ascii="仿宋" w:hAnsi="仿宋" w:cs="宋体"/>
                <w:kern w:val="0"/>
              </w:rPr>
            </w:pPr>
            <w:r>
              <w:rPr>
                <w:rFonts w:hint="eastAsia" w:ascii="仿宋" w:hAnsi="仿宋" w:cs="宋体"/>
                <w:kern w:val="0"/>
              </w:rPr>
              <w:t>3</w:t>
            </w:r>
          </w:p>
        </w:tc>
        <w:tc>
          <w:tcPr>
            <w:tcW w:w="5655" w:type="dxa"/>
            <w:tcBorders>
              <w:right w:val="double" w:color="auto" w:sz="4" w:space="0"/>
            </w:tcBorders>
            <w:vAlign w:val="center"/>
          </w:tcPr>
          <w:p>
            <w:pPr>
              <w:adjustRightInd w:val="0"/>
              <w:spacing w:line="300" w:lineRule="auto"/>
              <w:rPr>
                <w:rFonts w:ascii="仿宋" w:hAnsi="仿宋" w:cs="宋体"/>
                <w:kern w:val="0"/>
              </w:rPr>
            </w:pPr>
            <w:r>
              <w:rPr>
                <w:rFonts w:hint="eastAsia" w:ascii="仿宋" w:hAnsi="仿宋" w:cs="宋体"/>
                <w:kern w:val="0"/>
              </w:rPr>
              <w:t>投标人在投标文件中详细说明设备制造商的保障措施（包括技术团队和技术方案等），评审委员会根据对招标文件的响应情况进行打分：</w:t>
            </w:r>
          </w:p>
          <w:p>
            <w:pPr>
              <w:adjustRightInd w:val="0"/>
              <w:spacing w:line="300" w:lineRule="auto"/>
              <w:rPr>
                <w:rFonts w:ascii="仿宋" w:hAnsi="仿宋" w:cs="宋体"/>
                <w:kern w:val="0"/>
              </w:rPr>
            </w:pPr>
            <w:r>
              <w:rPr>
                <w:rFonts w:hint="eastAsia" w:ascii="仿宋" w:hAnsi="仿宋" w:cs="宋体"/>
                <w:kern w:val="0"/>
              </w:rPr>
              <w:t>保障措施满足招标要求且详细可行为优得3分；</w:t>
            </w:r>
          </w:p>
          <w:p>
            <w:pPr>
              <w:adjustRightInd w:val="0"/>
              <w:spacing w:line="300" w:lineRule="auto"/>
              <w:rPr>
                <w:rFonts w:ascii="仿宋" w:hAnsi="仿宋" w:cs="宋体"/>
                <w:kern w:val="0"/>
              </w:rPr>
            </w:pPr>
            <w:r>
              <w:rPr>
                <w:rFonts w:hint="eastAsia" w:ascii="仿宋" w:hAnsi="仿宋" w:cs="宋体"/>
                <w:kern w:val="0"/>
              </w:rPr>
              <w:t>保障措施满足招标要求且比较完善为良得2分；</w:t>
            </w:r>
          </w:p>
          <w:p>
            <w:pPr>
              <w:adjustRightInd w:val="0"/>
              <w:spacing w:line="300" w:lineRule="auto"/>
              <w:rPr>
                <w:rFonts w:ascii="仿宋" w:hAnsi="仿宋" w:cs="宋体"/>
                <w:kern w:val="0"/>
              </w:rPr>
            </w:pPr>
            <w:r>
              <w:rPr>
                <w:rFonts w:hint="eastAsia" w:ascii="仿宋" w:hAnsi="仿宋" w:cs="宋体"/>
                <w:kern w:val="0"/>
              </w:rPr>
              <w:t>保障措施基本满足招标要求为中得1分；</w:t>
            </w:r>
          </w:p>
          <w:p>
            <w:pPr>
              <w:adjustRightInd w:val="0"/>
              <w:spacing w:line="300" w:lineRule="auto"/>
              <w:rPr>
                <w:rFonts w:ascii="仿宋" w:hAnsi="仿宋" w:cs="宋体"/>
                <w:kern w:val="0"/>
              </w:rPr>
            </w:pPr>
            <w:r>
              <w:rPr>
                <w:rFonts w:hint="eastAsia" w:ascii="仿宋" w:hAnsi="仿宋" w:cs="宋体"/>
                <w:kern w:val="0"/>
              </w:rPr>
              <w:t>不提供或不可行为差得0分。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trPr>
        <w:tc>
          <w:tcPr>
            <w:tcW w:w="1242" w:type="dxa"/>
            <w:vMerge w:val="continue"/>
            <w:tcBorders>
              <w:left w:val="double" w:color="auto" w:sz="4" w:space="0"/>
            </w:tcBorders>
            <w:vAlign w:val="center"/>
          </w:tcPr>
          <w:p>
            <w:pPr>
              <w:adjustRightInd w:val="0"/>
              <w:spacing w:line="300" w:lineRule="auto"/>
              <w:jc w:val="center"/>
              <w:rPr>
                <w:rFonts w:ascii="仿宋" w:hAnsi="仿宋"/>
                <w:b/>
                <w:bCs/>
                <w:snapToGrid w:val="0"/>
                <w:kern w:val="0"/>
                <w:szCs w:val="21"/>
              </w:rPr>
            </w:pPr>
          </w:p>
        </w:tc>
        <w:tc>
          <w:tcPr>
            <w:tcW w:w="1276" w:type="dxa"/>
            <w:vAlign w:val="center"/>
          </w:tcPr>
          <w:p>
            <w:pPr>
              <w:adjustRightInd w:val="0"/>
              <w:spacing w:line="300" w:lineRule="auto"/>
              <w:jc w:val="center"/>
              <w:rPr>
                <w:rFonts w:ascii="仿宋" w:hAnsi="仿宋" w:cs="宋体"/>
                <w:kern w:val="0"/>
              </w:rPr>
            </w:pPr>
            <w:r>
              <w:rPr>
                <w:rFonts w:hint="eastAsia" w:ascii="宋体" w:hAnsi="宋体" w:cs="宋体"/>
                <w:kern w:val="0"/>
                <w:szCs w:val="21"/>
              </w:rPr>
              <w:t>技术规格偏离情况</w:t>
            </w:r>
          </w:p>
        </w:tc>
        <w:tc>
          <w:tcPr>
            <w:tcW w:w="1295" w:type="dxa"/>
            <w:vAlign w:val="center"/>
          </w:tcPr>
          <w:p>
            <w:pPr>
              <w:spacing w:line="300" w:lineRule="auto"/>
              <w:jc w:val="center"/>
              <w:rPr>
                <w:rFonts w:ascii="仿宋" w:hAnsi="仿宋" w:cs="宋体"/>
                <w:kern w:val="0"/>
              </w:rPr>
            </w:pPr>
            <w:r>
              <w:rPr>
                <w:rFonts w:hint="eastAsia" w:ascii="仿宋" w:hAnsi="仿宋" w:cs="宋体"/>
                <w:kern w:val="0"/>
              </w:rPr>
              <w:t>5</w:t>
            </w:r>
            <w:r>
              <w:rPr>
                <w:rFonts w:ascii="仿宋" w:hAnsi="仿宋" w:cs="宋体"/>
                <w:kern w:val="0"/>
              </w:rPr>
              <w:t>1</w:t>
            </w:r>
          </w:p>
        </w:tc>
        <w:tc>
          <w:tcPr>
            <w:tcW w:w="5655" w:type="dxa"/>
            <w:tcBorders>
              <w:right w:val="double" w:color="auto" w:sz="4" w:space="0"/>
            </w:tcBorders>
            <w:vAlign w:val="center"/>
          </w:tcPr>
          <w:p>
            <w:pPr>
              <w:widowControl/>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投标人应如实填写《技术规格偏离表》，评审委员会根据技术参数响应情况进行打分，各项技术参数指标及要求全部满足的得满分</w:t>
            </w:r>
            <w:r>
              <w:rPr>
                <w:rFonts w:hAnsi="宋体"/>
                <w:color w:val="000000" w:themeColor="text1"/>
                <w:szCs w:val="21"/>
                <w14:textFill>
                  <w14:solidFill>
                    <w14:schemeClr w14:val="tx1"/>
                  </w14:solidFill>
                </w14:textFill>
              </w:rPr>
              <w:t>51</w:t>
            </w:r>
            <w:r>
              <w:rPr>
                <w:rFonts w:hint="eastAsia" w:hAnsi="宋体"/>
                <w:color w:val="000000" w:themeColor="text1"/>
                <w:szCs w:val="21"/>
                <w14:textFill>
                  <w14:solidFill>
                    <w14:schemeClr w14:val="tx1"/>
                  </w14:solidFill>
                </w14:textFill>
              </w:rPr>
              <w:t>分，未响应的参数按负偏离扣分。</w:t>
            </w:r>
          </w:p>
          <w:p>
            <w:pPr>
              <w:widowControl/>
              <w:rPr>
                <w:rFonts w:ascii="仿宋" w:hAnsi="仿宋" w:cs="仿宋_GB2312"/>
                <w:color w:val="000000" w:themeColor="text1"/>
                <w:szCs w:val="21"/>
                <w14:textFill>
                  <w14:solidFill>
                    <w14:schemeClr w14:val="tx1"/>
                  </w14:solidFill>
                </w14:textFill>
              </w:rPr>
            </w:pPr>
            <w:r>
              <w:rPr>
                <w:rFonts w:hint="eastAsia" w:ascii="仿宋" w:hAnsi="仿宋" w:cs="仿宋_GB2312"/>
                <w:color w:val="000000" w:themeColor="text1"/>
                <w:szCs w:val="21"/>
                <w14:textFill>
                  <w14:solidFill>
                    <w14:schemeClr w14:val="tx1"/>
                  </w14:solidFill>
                </w14:textFill>
              </w:rPr>
              <w:t>带“★”指标项为实质性条款，如出现负偏离，将被视为未实质性满足招标文件要求作投标无效处理。</w:t>
            </w:r>
          </w:p>
          <w:p>
            <w:pPr>
              <w:widowControl/>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带▲的重要参数每负偏离一项扣1</w:t>
            </w:r>
            <w:r>
              <w:rPr>
                <w:rFonts w:hAnsi="宋体"/>
                <w:color w:val="000000" w:themeColor="text1"/>
                <w:szCs w:val="21"/>
                <w14:textFill>
                  <w14:solidFill>
                    <w14:schemeClr w14:val="tx1"/>
                  </w14:solidFill>
                </w14:textFill>
              </w:rPr>
              <w:t>0</w:t>
            </w:r>
            <w:r>
              <w:rPr>
                <w:rFonts w:hint="eastAsia" w:hAnsi="宋体"/>
                <w:color w:val="000000" w:themeColor="text1"/>
                <w:szCs w:val="21"/>
                <w14:textFill>
                  <w14:solidFill>
                    <w14:schemeClr w14:val="tx1"/>
                  </w14:solidFill>
                </w14:textFill>
              </w:rPr>
              <w:t>分，其他一般参数每负偏离一项扣</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分，正偏离不加分。扣完为止，最低得0分。</w:t>
            </w:r>
          </w:p>
          <w:p>
            <w:pPr>
              <w:adjustRightInd w:val="0"/>
              <w:snapToGrid w:val="0"/>
              <w:spacing w:line="360" w:lineRule="exact"/>
              <w:rPr>
                <w:rFonts w:ascii="仿宋" w:hAnsi="仿宋" w:cs="宋体"/>
                <w:b/>
                <w:kern w:val="0"/>
              </w:rPr>
            </w:pPr>
            <w:r>
              <w:rPr>
                <w:rFonts w:hint="eastAsia" w:hAnsi="宋体"/>
                <w:color w:val="000000" w:themeColor="text1"/>
                <w:szCs w:val="21"/>
                <w14:textFill>
                  <w14:solidFill>
                    <w14:schemeClr w14:val="tx1"/>
                  </w14:solidFill>
                </w14:textFill>
              </w:rPr>
              <w:t>【对于《技术规格偏离表》中投标技术响应与偏离情况填写不一致的，评委会按负偏离处理。】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42" w:type="dxa"/>
            <w:vMerge w:val="restart"/>
            <w:tcBorders>
              <w:left w:val="double" w:color="auto" w:sz="4" w:space="0"/>
            </w:tcBorders>
            <w:vAlign w:val="center"/>
          </w:tcPr>
          <w:p>
            <w:pPr>
              <w:adjustRightInd w:val="0"/>
              <w:spacing w:line="300" w:lineRule="auto"/>
              <w:jc w:val="center"/>
              <w:rPr>
                <w:rFonts w:ascii="仿宋" w:hAnsi="仿宋"/>
                <w:b/>
                <w:bCs/>
                <w:snapToGrid w:val="0"/>
                <w:kern w:val="0"/>
                <w:szCs w:val="21"/>
              </w:rPr>
            </w:pPr>
            <w:r>
              <w:rPr>
                <w:rFonts w:hint="eastAsia" w:ascii="仿宋" w:hAnsi="仿宋"/>
                <w:b/>
                <w:bCs/>
                <w:snapToGrid w:val="0"/>
                <w:kern w:val="0"/>
                <w:szCs w:val="21"/>
              </w:rPr>
              <w:t>商务标（S）</w:t>
            </w:r>
          </w:p>
          <w:p>
            <w:pPr>
              <w:adjustRightInd w:val="0"/>
              <w:spacing w:line="300" w:lineRule="auto"/>
              <w:jc w:val="center"/>
              <w:rPr>
                <w:rFonts w:ascii="仿宋" w:hAnsi="仿宋"/>
                <w:b/>
                <w:bCs/>
                <w:snapToGrid w:val="0"/>
                <w:kern w:val="0"/>
                <w:szCs w:val="21"/>
              </w:rPr>
            </w:pPr>
            <w:r>
              <w:rPr>
                <w:rFonts w:hint="eastAsia" w:ascii="仿宋" w:hAnsi="仿宋"/>
                <w:b/>
                <w:bCs/>
                <w:snapToGrid w:val="0"/>
                <w:kern w:val="0"/>
                <w:szCs w:val="21"/>
              </w:rPr>
              <w:t>（总分</w:t>
            </w:r>
            <w:r>
              <w:rPr>
                <w:rFonts w:ascii="仿宋" w:hAnsi="仿宋"/>
                <w:b/>
                <w:bCs/>
                <w:snapToGrid w:val="0"/>
                <w:kern w:val="0"/>
                <w:szCs w:val="21"/>
              </w:rPr>
              <w:t>16</w:t>
            </w:r>
            <w:r>
              <w:rPr>
                <w:rFonts w:hint="eastAsia" w:ascii="仿宋" w:hAnsi="仿宋"/>
                <w:b/>
                <w:bCs/>
                <w:snapToGrid w:val="0"/>
                <w:kern w:val="0"/>
                <w:szCs w:val="21"/>
              </w:rPr>
              <w:t>分）</w:t>
            </w:r>
          </w:p>
        </w:tc>
        <w:tc>
          <w:tcPr>
            <w:tcW w:w="1276" w:type="dxa"/>
            <w:vAlign w:val="center"/>
          </w:tcPr>
          <w:p>
            <w:pPr>
              <w:jc w:val="center"/>
              <w:rPr>
                <w:rFonts w:ascii="仿宋" w:hAnsi="仿宋"/>
                <w:szCs w:val="21"/>
              </w:rPr>
            </w:pPr>
            <w:r>
              <w:rPr>
                <w:rFonts w:hint="eastAsia" w:ascii="宋体" w:hAnsi="宋体"/>
                <w:szCs w:val="21"/>
              </w:rPr>
              <w:t>免费保修期内售后服务条款偏离情况</w:t>
            </w:r>
          </w:p>
        </w:tc>
        <w:tc>
          <w:tcPr>
            <w:tcW w:w="1295" w:type="dxa"/>
            <w:tcBorders>
              <w:right w:val="single" w:color="auto" w:sz="4" w:space="0"/>
            </w:tcBorders>
            <w:vAlign w:val="center"/>
          </w:tcPr>
          <w:p>
            <w:pPr>
              <w:widowControl/>
              <w:adjustRightInd w:val="0"/>
              <w:spacing w:line="300" w:lineRule="auto"/>
              <w:jc w:val="center"/>
              <w:rPr>
                <w:rFonts w:ascii="仿宋" w:hAnsi="仿宋"/>
                <w:szCs w:val="21"/>
              </w:rPr>
            </w:pPr>
            <w:r>
              <w:rPr>
                <w:rFonts w:hint="eastAsia" w:ascii="宋体" w:hAnsi="宋体" w:cs="宋体"/>
                <w:szCs w:val="21"/>
              </w:rPr>
              <w:t>4</w:t>
            </w:r>
          </w:p>
        </w:tc>
        <w:tc>
          <w:tcPr>
            <w:tcW w:w="5655" w:type="dxa"/>
            <w:tcBorders>
              <w:left w:val="single" w:color="auto" w:sz="4" w:space="0"/>
              <w:right w:val="double" w:color="auto" w:sz="4" w:space="0"/>
            </w:tcBorders>
            <w:vAlign w:val="center"/>
          </w:tcPr>
          <w:p>
            <w:pPr>
              <w:widowControl/>
              <w:spacing w:line="300" w:lineRule="auto"/>
              <w:rPr>
                <w:rFonts w:ascii="仿宋" w:hAnsi="仿宋"/>
                <w:szCs w:val="21"/>
              </w:rPr>
            </w:pPr>
            <w:r>
              <w:rPr>
                <w:rFonts w:ascii="宋体" w:hAnsi="宋体" w:cs="宋体"/>
                <w:color w:val="000000" w:themeColor="text1"/>
                <w:kern w:val="0"/>
                <w:szCs w:val="21"/>
                <w14:textFill>
                  <w14:solidFill>
                    <w14:schemeClr w14:val="tx1"/>
                  </w14:solidFill>
                </w14:textFill>
              </w:rPr>
              <w:t>投标人应如实填写《</w:t>
            </w:r>
            <w:r>
              <w:rPr>
                <w:rFonts w:hint="eastAsia" w:ascii="宋体" w:hAnsi="宋体"/>
                <w:color w:val="000000" w:themeColor="text1"/>
                <w:szCs w:val="21"/>
                <w14:textFill>
                  <w14:solidFill>
                    <w14:schemeClr w14:val="tx1"/>
                  </w14:solidFill>
                </w14:textFill>
              </w:rPr>
              <w:t>商务条款偏离表</w:t>
            </w:r>
            <w:r>
              <w:rPr>
                <w:rFonts w:ascii="宋体" w:hAnsi="宋体" w:cs="宋体"/>
                <w:color w:val="000000" w:themeColor="text1"/>
                <w:kern w:val="0"/>
                <w:szCs w:val="21"/>
                <w14:textFill>
                  <w14:solidFill>
                    <w14:schemeClr w14:val="tx1"/>
                  </w14:solidFill>
                </w14:textFill>
              </w:rPr>
              <w:t>》，评审委员会根据响应情况进行打分</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全部满足要求的得</w:t>
            </w: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分，每负偏离一项扣</w:t>
            </w: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，扣完为止</w:t>
            </w:r>
            <w:r>
              <w:rPr>
                <w:rFonts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242" w:type="dxa"/>
            <w:vMerge w:val="continue"/>
            <w:tcBorders>
              <w:left w:val="double" w:color="auto" w:sz="4" w:space="0"/>
            </w:tcBorders>
            <w:vAlign w:val="center"/>
          </w:tcPr>
          <w:p>
            <w:pPr>
              <w:adjustRightInd w:val="0"/>
              <w:spacing w:line="300" w:lineRule="auto"/>
              <w:jc w:val="center"/>
              <w:rPr>
                <w:rFonts w:ascii="仿宋" w:hAnsi="仿宋"/>
                <w:b/>
                <w:bCs/>
                <w:snapToGrid w:val="0"/>
                <w:kern w:val="0"/>
                <w:szCs w:val="21"/>
              </w:rPr>
            </w:pPr>
          </w:p>
        </w:tc>
        <w:tc>
          <w:tcPr>
            <w:tcW w:w="1276" w:type="dxa"/>
            <w:vAlign w:val="center"/>
          </w:tcPr>
          <w:p>
            <w:pPr>
              <w:widowControl/>
              <w:spacing w:before="100" w:beforeAutospacing="1"/>
              <w:jc w:val="center"/>
              <w:textAlignment w:val="center"/>
              <w:rPr>
                <w:rFonts w:ascii="仿宋" w:hAnsi="仿宋"/>
                <w:snapToGrid w:val="0"/>
                <w:kern w:val="0"/>
                <w:szCs w:val="21"/>
              </w:rPr>
            </w:pPr>
            <w:r>
              <w:rPr>
                <w:rFonts w:hint="eastAsia" w:ascii="宋体" w:hAnsi="宋体"/>
                <w:szCs w:val="21"/>
              </w:rPr>
              <w:t>其他商务条款偏离情况</w:t>
            </w:r>
          </w:p>
        </w:tc>
        <w:tc>
          <w:tcPr>
            <w:tcW w:w="1295" w:type="dxa"/>
            <w:tcBorders>
              <w:right w:val="single" w:color="auto" w:sz="4" w:space="0"/>
            </w:tcBorders>
            <w:vAlign w:val="center"/>
          </w:tcPr>
          <w:p>
            <w:pPr>
              <w:widowControl/>
              <w:spacing w:line="288" w:lineRule="auto"/>
              <w:jc w:val="center"/>
              <w:rPr>
                <w:rFonts w:ascii="仿宋" w:hAnsi="仿宋"/>
                <w:snapToGrid w:val="0"/>
                <w:kern w:val="0"/>
                <w:szCs w:val="21"/>
              </w:rPr>
            </w:pPr>
            <w:r>
              <w:rPr>
                <w:rFonts w:hint="eastAsia" w:ascii="宋体" w:hAnsi="宋体" w:cs="宋体"/>
                <w:szCs w:val="21"/>
              </w:rPr>
              <w:t>3</w:t>
            </w:r>
          </w:p>
        </w:tc>
        <w:tc>
          <w:tcPr>
            <w:tcW w:w="5655" w:type="dxa"/>
            <w:tcBorders>
              <w:left w:val="single" w:color="auto" w:sz="4" w:space="0"/>
              <w:right w:val="double" w:color="auto" w:sz="4" w:space="0"/>
            </w:tcBorders>
            <w:vAlign w:val="center"/>
          </w:tcPr>
          <w:p>
            <w:pPr>
              <w:snapToGrid w:val="0"/>
              <w:jc w:val="left"/>
              <w:rPr>
                <w:rFonts w:ascii="仿宋" w:hAnsi="仿宋" w:cs="宋体"/>
                <w:kern w:val="0"/>
                <w:szCs w:val="21"/>
              </w:rPr>
            </w:pPr>
            <w:r>
              <w:rPr>
                <w:rFonts w:ascii="宋体" w:hAnsi="宋体" w:cs="宋体"/>
                <w:color w:val="000000" w:themeColor="text1"/>
                <w:kern w:val="0"/>
                <w:szCs w:val="21"/>
                <w14:textFill>
                  <w14:solidFill>
                    <w14:schemeClr w14:val="tx1"/>
                  </w14:solidFill>
                </w14:textFill>
              </w:rPr>
              <w:t>投标人应如实填写《</w:t>
            </w:r>
            <w:r>
              <w:rPr>
                <w:rFonts w:hint="eastAsia" w:ascii="宋体" w:hAnsi="宋体"/>
                <w:color w:val="000000" w:themeColor="text1"/>
                <w:szCs w:val="21"/>
                <w14:textFill>
                  <w14:solidFill>
                    <w14:schemeClr w14:val="tx1"/>
                  </w14:solidFill>
                </w14:textFill>
              </w:rPr>
              <w:t>商务条款偏离表</w:t>
            </w:r>
            <w:r>
              <w:rPr>
                <w:rFonts w:ascii="宋体" w:hAnsi="宋体" w:cs="宋体"/>
                <w:color w:val="000000" w:themeColor="text1"/>
                <w:kern w:val="0"/>
                <w:szCs w:val="21"/>
                <w14:textFill>
                  <w14:solidFill>
                    <w14:schemeClr w14:val="tx1"/>
                  </w14:solidFill>
                </w14:textFill>
              </w:rPr>
              <w:t>》，评审委员会根据响应情况进行打分，全部满足要求的得</w:t>
            </w: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分，每负偏离一项扣</w:t>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扣完为止</w:t>
            </w:r>
            <w:r>
              <w:rPr>
                <w:rFonts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1242" w:type="dxa"/>
            <w:vMerge w:val="continue"/>
            <w:tcBorders>
              <w:left w:val="double" w:color="auto" w:sz="4" w:space="0"/>
            </w:tcBorders>
            <w:vAlign w:val="center"/>
          </w:tcPr>
          <w:p>
            <w:pPr>
              <w:adjustRightInd w:val="0"/>
              <w:spacing w:line="300" w:lineRule="auto"/>
              <w:jc w:val="center"/>
              <w:rPr>
                <w:rFonts w:ascii="仿宋" w:hAnsi="仿宋"/>
                <w:b/>
                <w:bCs/>
                <w:snapToGrid w:val="0"/>
                <w:kern w:val="0"/>
                <w:sz w:val="18"/>
              </w:rPr>
            </w:pPr>
          </w:p>
        </w:tc>
        <w:tc>
          <w:tcPr>
            <w:tcW w:w="1276" w:type="dxa"/>
            <w:vAlign w:val="center"/>
          </w:tcPr>
          <w:p>
            <w:pPr>
              <w:widowControl/>
              <w:spacing w:before="100" w:beforeAutospacing="1" w:after="100" w:afterAutospacing="1" w:line="20" w:lineRule="atLeast"/>
              <w:jc w:val="center"/>
              <w:rPr>
                <w:rFonts w:ascii="仿宋" w:hAnsi="仿宋" w:cs="宋体"/>
                <w:kern w:val="0"/>
              </w:rPr>
            </w:pPr>
            <w:r>
              <w:rPr>
                <w:rFonts w:hint="eastAsia" w:ascii="宋体" w:hAnsi="宋体"/>
                <w:szCs w:val="21"/>
              </w:rPr>
              <w:t>诚信</w:t>
            </w:r>
          </w:p>
        </w:tc>
        <w:tc>
          <w:tcPr>
            <w:tcW w:w="1295" w:type="dxa"/>
            <w:tcBorders>
              <w:right w:val="single" w:color="auto" w:sz="4" w:space="0"/>
            </w:tcBorders>
            <w:vAlign w:val="center"/>
          </w:tcPr>
          <w:p>
            <w:pPr>
              <w:widowControl/>
              <w:spacing w:before="100" w:beforeAutospacing="1" w:after="100" w:afterAutospacing="1" w:line="20" w:lineRule="atLeast"/>
              <w:jc w:val="center"/>
              <w:rPr>
                <w:rFonts w:ascii="仿宋" w:hAnsi="仿宋" w:cs="宋体"/>
                <w:kern w:val="0"/>
              </w:rPr>
            </w:pPr>
            <w:r>
              <w:rPr>
                <w:rFonts w:ascii="宋体" w:hAnsi="宋体"/>
                <w:szCs w:val="21"/>
              </w:rPr>
              <w:t>5</w:t>
            </w:r>
          </w:p>
        </w:tc>
        <w:tc>
          <w:tcPr>
            <w:tcW w:w="5655" w:type="dxa"/>
            <w:tcBorders>
              <w:left w:val="single" w:color="auto" w:sz="4" w:space="0"/>
              <w:right w:val="double" w:color="auto" w:sz="4" w:space="0"/>
            </w:tcBorders>
          </w:tcPr>
          <w:p>
            <w:pPr>
              <w:adjustRightInd w:val="0"/>
              <w:spacing w:line="300" w:lineRule="auto"/>
              <w:rPr>
                <w:rFonts w:ascii="仿宋" w:hAnsi="仿宋"/>
                <w:sz w:val="18"/>
                <w:szCs w:val="18"/>
              </w:rPr>
            </w:pPr>
            <w:r>
              <w:rPr>
                <w:rFonts w:hint="eastAsia" w:ascii="宋体" w:hAnsi="宋体" w:cs="宋体"/>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242" w:type="dxa"/>
            <w:vMerge w:val="continue"/>
            <w:tcBorders>
              <w:left w:val="double" w:color="auto" w:sz="4" w:space="0"/>
            </w:tcBorders>
            <w:vAlign w:val="center"/>
          </w:tcPr>
          <w:p>
            <w:pPr>
              <w:adjustRightInd w:val="0"/>
              <w:spacing w:line="300" w:lineRule="auto"/>
              <w:jc w:val="center"/>
              <w:rPr>
                <w:rFonts w:ascii="仿宋" w:hAnsi="仿宋"/>
                <w:b/>
                <w:bCs/>
                <w:snapToGrid w:val="0"/>
                <w:kern w:val="0"/>
                <w:sz w:val="18"/>
              </w:rPr>
            </w:pPr>
          </w:p>
        </w:tc>
        <w:tc>
          <w:tcPr>
            <w:tcW w:w="1276" w:type="dxa"/>
            <w:vAlign w:val="center"/>
          </w:tcPr>
          <w:p>
            <w:pPr>
              <w:widowControl/>
              <w:spacing w:before="100" w:beforeAutospacing="1" w:after="100" w:afterAutospacing="1" w:line="20" w:lineRule="atLeast"/>
              <w:jc w:val="center"/>
              <w:rPr>
                <w:rFonts w:ascii="仿宋" w:hAnsi="仿宋" w:cs="宋体"/>
                <w:kern w:val="0"/>
              </w:rPr>
            </w:pPr>
            <w:r>
              <w:rPr>
                <w:rFonts w:hint="eastAsia" w:ascii="宋体" w:hAnsi="宋体"/>
                <w:szCs w:val="21"/>
              </w:rPr>
              <w:t>履约</w:t>
            </w:r>
          </w:p>
        </w:tc>
        <w:tc>
          <w:tcPr>
            <w:tcW w:w="1295" w:type="dxa"/>
            <w:tcBorders>
              <w:right w:val="single" w:color="auto" w:sz="4" w:space="0"/>
            </w:tcBorders>
            <w:vAlign w:val="center"/>
          </w:tcPr>
          <w:p>
            <w:pPr>
              <w:widowControl/>
              <w:spacing w:before="100" w:beforeAutospacing="1" w:after="100" w:afterAutospacing="1" w:line="20" w:lineRule="atLeast"/>
              <w:jc w:val="center"/>
              <w:rPr>
                <w:rFonts w:ascii="仿宋" w:hAnsi="仿宋" w:cs="宋体"/>
                <w:kern w:val="0"/>
              </w:rPr>
            </w:pPr>
            <w:r>
              <w:rPr>
                <w:rFonts w:ascii="宋体" w:hAnsi="宋体"/>
                <w:szCs w:val="21"/>
              </w:rPr>
              <w:t>2</w:t>
            </w:r>
          </w:p>
        </w:tc>
        <w:tc>
          <w:tcPr>
            <w:tcW w:w="5655" w:type="dxa"/>
            <w:tcBorders>
              <w:left w:val="single" w:color="auto" w:sz="4" w:space="0"/>
              <w:right w:val="double" w:color="auto" w:sz="4" w:space="0"/>
            </w:tcBorders>
          </w:tcPr>
          <w:p>
            <w:pPr>
              <w:adjustRightInd w:val="0"/>
              <w:spacing w:line="300" w:lineRule="auto"/>
              <w:rPr>
                <w:rFonts w:ascii="仿宋" w:hAnsi="仿宋"/>
                <w:sz w:val="18"/>
                <w:szCs w:val="18"/>
              </w:rPr>
            </w:pPr>
            <w:r>
              <w:rPr>
                <w:rFonts w:hint="eastAsia" w:ascii="宋体" w:hAnsi="宋体"/>
                <w:sz w:val="21"/>
                <w:szCs w:val="21"/>
              </w:rPr>
              <w:t>近三年（以投标截止日期为准）在市政府采购中心有履约评价为差的记录，本项不得分，否则得满分。</w:t>
            </w:r>
            <w:r>
              <w:rPr>
                <w:rFonts w:hint="eastAsia" w:ascii="宋体" w:hAnsi="宋体" w:cs="宋体"/>
                <w:sz w:val="21"/>
                <w:szCs w:val="21"/>
              </w:rPr>
              <w:t>投标人无需提供任何证明材料，由采购中心工作人员向评委会提供相关信息。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242" w:type="dxa"/>
            <w:vMerge w:val="continue"/>
            <w:tcBorders>
              <w:left w:val="double" w:color="auto" w:sz="4" w:space="0"/>
            </w:tcBorders>
            <w:vAlign w:val="center"/>
          </w:tcPr>
          <w:p>
            <w:pPr>
              <w:adjustRightInd w:val="0"/>
              <w:spacing w:line="300" w:lineRule="auto"/>
              <w:jc w:val="center"/>
              <w:rPr>
                <w:rFonts w:ascii="仿宋" w:hAnsi="仿宋"/>
                <w:b/>
                <w:bCs/>
                <w:snapToGrid w:val="0"/>
                <w:kern w:val="0"/>
                <w:sz w:val="18"/>
              </w:rPr>
            </w:pPr>
          </w:p>
        </w:tc>
        <w:tc>
          <w:tcPr>
            <w:tcW w:w="1276" w:type="dxa"/>
            <w:vAlign w:val="center"/>
          </w:tcPr>
          <w:p>
            <w:pPr>
              <w:widowControl/>
              <w:spacing w:before="100" w:beforeAutospacing="1" w:after="100" w:afterAutospacing="1" w:line="20" w:lineRule="atLeast"/>
              <w:jc w:val="center"/>
              <w:rPr>
                <w:rFonts w:ascii="仿宋" w:hAnsi="仿宋" w:cs="宋体"/>
                <w:kern w:val="0"/>
              </w:rPr>
            </w:pPr>
            <w:r>
              <w:rPr>
                <w:rFonts w:hint="eastAsia" w:ascii="宋体" w:hAnsi="宋体" w:cs="宋体"/>
                <w:szCs w:val="21"/>
              </w:rPr>
              <w:t>投标人近三年同类业绩</w:t>
            </w:r>
          </w:p>
        </w:tc>
        <w:tc>
          <w:tcPr>
            <w:tcW w:w="1295" w:type="dxa"/>
            <w:tcBorders>
              <w:right w:val="single" w:color="auto" w:sz="4" w:space="0"/>
            </w:tcBorders>
            <w:vAlign w:val="center"/>
          </w:tcPr>
          <w:p>
            <w:pPr>
              <w:widowControl/>
              <w:spacing w:before="100" w:beforeAutospacing="1" w:after="100" w:afterAutospacing="1" w:line="20" w:lineRule="atLeast"/>
              <w:jc w:val="center"/>
              <w:rPr>
                <w:rFonts w:ascii="仿宋" w:hAnsi="仿宋" w:cs="宋体"/>
                <w:kern w:val="0"/>
              </w:rPr>
            </w:pPr>
            <w:r>
              <w:rPr>
                <w:rFonts w:hint="eastAsia" w:ascii="宋体" w:hAnsi="宋体"/>
                <w:szCs w:val="21"/>
              </w:rPr>
              <w:t>2</w:t>
            </w:r>
          </w:p>
        </w:tc>
        <w:tc>
          <w:tcPr>
            <w:tcW w:w="5655" w:type="dxa"/>
            <w:tcBorders>
              <w:left w:val="single" w:color="auto" w:sz="4" w:space="0"/>
              <w:right w:val="double" w:color="auto" w:sz="4" w:space="0"/>
            </w:tcBorders>
          </w:tcPr>
          <w:p>
            <w:pPr>
              <w:widowControl/>
              <w:spacing w:line="300" w:lineRule="auto"/>
              <w:rPr>
                <w:rFonts w:ascii="仿宋" w:hAnsi="仿宋" w:cs="宋体"/>
                <w:kern w:val="0"/>
                <w:szCs w:val="21"/>
              </w:rPr>
            </w:pPr>
            <w:r>
              <w:rPr>
                <w:rFonts w:hint="eastAsia" w:ascii="宋体" w:hAnsi="宋体" w:cs="宋体"/>
                <w:sz w:val="21"/>
                <w:szCs w:val="21"/>
              </w:rPr>
              <w:t>投标人近三年同类业绩（以合同时间为准，截止日为本项目公告发布之日）提供</w:t>
            </w:r>
            <w:r>
              <w:rPr>
                <w:rFonts w:ascii="宋体" w:hAnsi="宋体" w:cs="宋体"/>
                <w:sz w:val="21"/>
                <w:szCs w:val="21"/>
              </w:rPr>
              <w:t>2</w:t>
            </w:r>
            <w:r>
              <w:rPr>
                <w:rFonts w:hint="eastAsia" w:ascii="宋体" w:hAnsi="宋体" w:cs="宋体"/>
                <w:sz w:val="21"/>
                <w:szCs w:val="21"/>
              </w:rPr>
              <w:t>个深圳区域同类业绩即得满分，提供1个得</w:t>
            </w:r>
            <w:r>
              <w:rPr>
                <w:rFonts w:ascii="宋体" w:hAnsi="宋体" w:cs="宋体"/>
                <w:sz w:val="21"/>
                <w:szCs w:val="21"/>
              </w:rPr>
              <w:t>1</w:t>
            </w:r>
            <w:r>
              <w:rPr>
                <w:rFonts w:hint="eastAsia" w:ascii="宋体" w:hAnsi="宋体" w:cs="宋体"/>
                <w:sz w:val="21"/>
                <w:szCs w:val="21"/>
              </w:rPr>
              <w:t>分，未提供的不得分。投标人必须在投标文件中提供每一个完工项目的合同关键页，否则不得分。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tcBorders>
              <w:left w:val="double" w:color="auto" w:sz="4" w:space="0"/>
              <w:bottom w:val="double" w:color="auto" w:sz="4" w:space="0"/>
            </w:tcBorders>
            <w:vAlign w:val="center"/>
          </w:tcPr>
          <w:p>
            <w:pPr>
              <w:jc w:val="center"/>
              <w:rPr>
                <w:rFonts w:ascii="仿宋" w:hAnsi="仿宋"/>
                <w:b/>
                <w:snapToGrid w:val="0"/>
                <w:kern w:val="0"/>
                <w:szCs w:val="21"/>
              </w:rPr>
            </w:pPr>
            <w:r>
              <w:rPr>
                <w:rFonts w:hint="eastAsia" w:ascii="仿宋" w:hAnsi="仿宋"/>
                <w:b/>
                <w:snapToGrid w:val="0"/>
                <w:kern w:val="0"/>
                <w:szCs w:val="21"/>
              </w:rPr>
              <w:t>总得分（N）</w:t>
            </w:r>
          </w:p>
          <w:p>
            <w:pPr>
              <w:adjustRightInd w:val="0"/>
              <w:snapToGrid w:val="0"/>
              <w:spacing w:line="300" w:lineRule="auto"/>
              <w:jc w:val="center"/>
              <w:rPr>
                <w:rFonts w:ascii="仿宋" w:hAnsi="仿宋"/>
                <w:b/>
                <w:snapToGrid w:val="0"/>
                <w:kern w:val="0"/>
                <w:szCs w:val="21"/>
              </w:rPr>
            </w:pPr>
            <w:r>
              <w:rPr>
                <w:rFonts w:hint="eastAsia" w:ascii="仿宋" w:hAnsi="仿宋"/>
                <w:b/>
                <w:snapToGrid w:val="0"/>
                <w:kern w:val="0"/>
                <w:szCs w:val="21"/>
              </w:rPr>
              <w:t>总分100分</w:t>
            </w:r>
          </w:p>
        </w:tc>
        <w:tc>
          <w:tcPr>
            <w:tcW w:w="1276" w:type="dxa"/>
            <w:tcBorders>
              <w:bottom w:val="double" w:color="auto" w:sz="4" w:space="0"/>
            </w:tcBorders>
            <w:vAlign w:val="center"/>
          </w:tcPr>
          <w:p>
            <w:pPr>
              <w:adjustRightInd w:val="0"/>
              <w:snapToGrid w:val="0"/>
              <w:spacing w:line="300" w:lineRule="auto"/>
              <w:jc w:val="center"/>
              <w:rPr>
                <w:rFonts w:ascii="仿宋" w:hAnsi="仿宋"/>
                <w:b/>
                <w:snapToGrid w:val="0"/>
                <w:kern w:val="0"/>
                <w:szCs w:val="21"/>
              </w:rPr>
            </w:pPr>
          </w:p>
        </w:tc>
        <w:tc>
          <w:tcPr>
            <w:tcW w:w="1295" w:type="dxa"/>
            <w:tcBorders>
              <w:bottom w:val="double" w:color="auto" w:sz="4" w:space="0"/>
            </w:tcBorders>
            <w:vAlign w:val="center"/>
          </w:tcPr>
          <w:p>
            <w:pPr>
              <w:adjustRightInd w:val="0"/>
              <w:snapToGrid w:val="0"/>
              <w:spacing w:line="300" w:lineRule="auto"/>
              <w:jc w:val="center"/>
              <w:rPr>
                <w:rFonts w:ascii="仿宋" w:hAnsi="仿宋"/>
                <w:snapToGrid w:val="0"/>
                <w:kern w:val="0"/>
                <w:szCs w:val="21"/>
              </w:rPr>
            </w:pPr>
            <w:r>
              <w:rPr>
                <w:rFonts w:hint="eastAsia" w:ascii="仿宋" w:hAnsi="仿宋"/>
                <w:snapToGrid w:val="0"/>
                <w:kern w:val="0"/>
                <w:szCs w:val="21"/>
              </w:rPr>
              <w:t>100</w:t>
            </w:r>
          </w:p>
        </w:tc>
        <w:tc>
          <w:tcPr>
            <w:tcW w:w="5655" w:type="dxa"/>
            <w:tcBorders>
              <w:bottom w:val="double" w:color="auto" w:sz="4" w:space="0"/>
              <w:right w:val="double" w:color="auto" w:sz="4" w:space="0"/>
            </w:tcBorders>
            <w:vAlign w:val="center"/>
          </w:tcPr>
          <w:p>
            <w:pPr>
              <w:jc w:val="center"/>
              <w:rPr>
                <w:rFonts w:ascii="仿宋" w:hAnsi="仿宋"/>
                <w:snapToGrid w:val="0"/>
                <w:kern w:val="0"/>
                <w:szCs w:val="21"/>
              </w:rPr>
            </w:pPr>
            <w:r>
              <w:rPr>
                <w:rFonts w:hint="eastAsia" w:ascii="仿宋" w:hAnsi="仿宋"/>
                <w:snapToGrid w:val="0"/>
                <w:kern w:val="0"/>
                <w:szCs w:val="21"/>
              </w:rPr>
              <w:t>N=J+G+S</w:t>
            </w:r>
          </w:p>
        </w:tc>
      </w:tr>
    </w:tbl>
    <w:p>
      <w:pPr>
        <w:spacing w:line="600" w:lineRule="exact"/>
        <w:rPr>
          <w:rFonts w:ascii="仿宋" w:hAnsi="仿宋" w:cs="宋体"/>
          <w:b/>
        </w:rPr>
      </w:pPr>
    </w:p>
    <w:p>
      <w:pPr>
        <w:spacing w:line="600" w:lineRule="exact"/>
        <w:rPr>
          <w:rFonts w:ascii="仿宋" w:hAnsi="仿宋" w:cs="宋体"/>
          <w:b/>
        </w:rPr>
      </w:pPr>
    </w:p>
    <w:p>
      <w:pPr>
        <w:rPr>
          <w:rFonts w:ascii="仿宋" w:hAnsi="仿宋"/>
        </w:rPr>
      </w:pPr>
    </w:p>
    <w:p>
      <w:pPr>
        <w:rPr>
          <w:rFonts w:ascii="仿宋" w:hAnsi="仿宋"/>
        </w:rPr>
      </w:pPr>
    </w:p>
    <w:sectPr>
      <w:headerReference r:id="rId3" w:type="default"/>
      <w:footerReference r:id="rId4" w:type="default"/>
      <w:pgSz w:w="11906" w:h="16838"/>
      <w:pgMar w:top="1089" w:right="1559" w:bottom="1247" w:left="124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Calibri Light">
    <w:altName w:val="Arial"/>
    <w:panose1 w:val="020F0302020204030204"/>
    <w:charset w:val="00"/>
    <w:family w:val="swiss"/>
    <w:pitch w:val="default"/>
    <w:sig w:usb0="00000000" w:usb1="00000000" w:usb2="00000009" w:usb3="00000000" w:csb0="000001FF" w:csb1="00000000"/>
  </w:font>
  <w:font w:name="&amp;#23435;&amp;#20307;">
    <w:altName w:val="Times New Roman"/>
    <w:panose1 w:val="00000000000000000000"/>
    <w:charset w:val="00"/>
    <w:family w:val="roman"/>
    <w:pitch w:val="default"/>
    <w:sig w:usb0="00000000" w:usb1="00000000" w:usb2="00000000" w:usb3="00000000" w:csb0="00000001" w:csb1="00000000"/>
  </w:font>
  <w:font w:name="仿宋_GB2312">
    <w:altName w:val="汉仪仿宋KW"/>
    <w:panose1 w:val="00000000000000000000"/>
    <w:charset w:val="00"/>
    <w:family w:val="auto"/>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921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2921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23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5j9fNAAAAACAQAADwAAAAAAAAABACAAAAA4AAAAZHJzL2Rvd25yZXYu&#10;eG1sUEsBAhQAFAAAAAgAh07iQAR4zmLtAQAAswMAAA4AAAAAAAAAAQAgAAAANQ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招标参数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83"/>
    <w:rsid w:val="0000688D"/>
    <w:rsid w:val="000071C0"/>
    <w:rsid w:val="00012D99"/>
    <w:rsid w:val="00012FC9"/>
    <w:rsid w:val="00063C43"/>
    <w:rsid w:val="000A436E"/>
    <w:rsid w:val="000B5892"/>
    <w:rsid w:val="000C36BA"/>
    <w:rsid w:val="000D5C93"/>
    <w:rsid w:val="000E1CB0"/>
    <w:rsid w:val="00102AE5"/>
    <w:rsid w:val="00110018"/>
    <w:rsid w:val="001120C2"/>
    <w:rsid w:val="00113AEF"/>
    <w:rsid w:val="00133581"/>
    <w:rsid w:val="00141996"/>
    <w:rsid w:val="001507BC"/>
    <w:rsid w:val="001561F6"/>
    <w:rsid w:val="001578B1"/>
    <w:rsid w:val="00173571"/>
    <w:rsid w:val="001A1E2E"/>
    <w:rsid w:val="001B6E54"/>
    <w:rsid w:val="001E47A2"/>
    <w:rsid w:val="001E5E07"/>
    <w:rsid w:val="001E666F"/>
    <w:rsid w:val="001E716A"/>
    <w:rsid w:val="001F0723"/>
    <w:rsid w:val="001F6F23"/>
    <w:rsid w:val="00212AD2"/>
    <w:rsid w:val="00223478"/>
    <w:rsid w:val="002234DE"/>
    <w:rsid w:val="00224C06"/>
    <w:rsid w:val="002251EC"/>
    <w:rsid w:val="002401C7"/>
    <w:rsid w:val="002425A5"/>
    <w:rsid w:val="0024573C"/>
    <w:rsid w:val="00246DC6"/>
    <w:rsid w:val="00271C5F"/>
    <w:rsid w:val="002B4E76"/>
    <w:rsid w:val="002B5BC3"/>
    <w:rsid w:val="002C7F38"/>
    <w:rsid w:val="003149A8"/>
    <w:rsid w:val="003172A4"/>
    <w:rsid w:val="00352086"/>
    <w:rsid w:val="00357C65"/>
    <w:rsid w:val="00376855"/>
    <w:rsid w:val="00380FC2"/>
    <w:rsid w:val="0039674B"/>
    <w:rsid w:val="003A6CE9"/>
    <w:rsid w:val="003B3625"/>
    <w:rsid w:val="003B58F8"/>
    <w:rsid w:val="003B64A8"/>
    <w:rsid w:val="003B6826"/>
    <w:rsid w:val="003C55C6"/>
    <w:rsid w:val="003D399E"/>
    <w:rsid w:val="003E59FA"/>
    <w:rsid w:val="003F56B2"/>
    <w:rsid w:val="00404F5B"/>
    <w:rsid w:val="0042366D"/>
    <w:rsid w:val="004256A4"/>
    <w:rsid w:val="00433F26"/>
    <w:rsid w:val="004341E6"/>
    <w:rsid w:val="00450FAC"/>
    <w:rsid w:val="004605FF"/>
    <w:rsid w:val="004658AA"/>
    <w:rsid w:val="0047043D"/>
    <w:rsid w:val="004762A7"/>
    <w:rsid w:val="004829A7"/>
    <w:rsid w:val="00491F14"/>
    <w:rsid w:val="00495D6A"/>
    <w:rsid w:val="004A1ABF"/>
    <w:rsid w:val="004B594C"/>
    <w:rsid w:val="004C7AC2"/>
    <w:rsid w:val="004D5933"/>
    <w:rsid w:val="004E2C19"/>
    <w:rsid w:val="004E690C"/>
    <w:rsid w:val="005047BE"/>
    <w:rsid w:val="0050531B"/>
    <w:rsid w:val="005056A6"/>
    <w:rsid w:val="005127A7"/>
    <w:rsid w:val="00517301"/>
    <w:rsid w:val="005529E6"/>
    <w:rsid w:val="005619B8"/>
    <w:rsid w:val="00573ACD"/>
    <w:rsid w:val="0058647D"/>
    <w:rsid w:val="00590AF2"/>
    <w:rsid w:val="0059498D"/>
    <w:rsid w:val="005A7AA2"/>
    <w:rsid w:val="005B05E4"/>
    <w:rsid w:val="005C22AF"/>
    <w:rsid w:val="005C79AE"/>
    <w:rsid w:val="005D028A"/>
    <w:rsid w:val="005D2695"/>
    <w:rsid w:val="005D5F10"/>
    <w:rsid w:val="005E727D"/>
    <w:rsid w:val="005F6CB5"/>
    <w:rsid w:val="006215FD"/>
    <w:rsid w:val="006308C6"/>
    <w:rsid w:val="00640DCB"/>
    <w:rsid w:val="006B0C50"/>
    <w:rsid w:val="006F2A44"/>
    <w:rsid w:val="006F4AD5"/>
    <w:rsid w:val="00700E02"/>
    <w:rsid w:val="00723CE0"/>
    <w:rsid w:val="00724BB1"/>
    <w:rsid w:val="00727D57"/>
    <w:rsid w:val="00737358"/>
    <w:rsid w:val="00746D81"/>
    <w:rsid w:val="007509E4"/>
    <w:rsid w:val="007559A2"/>
    <w:rsid w:val="00757B14"/>
    <w:rsid w:val="00764F0F"/>
    <w:rsid w:val="00765FA4"/>
    <w:rsid w:val="00772140"/>
    <w:rsid w:val="0078024A"/>
    <w:rsid w:val="00791B14"/>
    <w:rsid w:val="007B31D2"/>
    <w:rsid w:val="007B67FD"/>
    <w:rsid w:val="007C110D"/>
    <w:rsid w:val="007D6E36"/>
    <w:rsid w:val="007E39A9"/>
    <w:rsid w:val="007E3FB2"/>
    <w:rsid w:val="007F28D5"/>
    <w:rsid w:val="007F61A8"/>
    <w:rsid w:val="00801F26"/>
    <w:rsid w:val="008126DA"/>
    <w:rsid w:val="0081394B"/>
    <w:rsid w:val="008159AA"/>
    <w:rsid w:val="00834504"/>
    <w:rsid w:val="00840A86"/>
    <w:rsid w:val="008673A2"/>
    <w:rsid w:val="008A4CB5"/>
    <w:rsid w:val="008A54EC"/>
    <w:rsid w:val="008B5C00"/>
    <w:rsid w:val="008D1577"/>
    <w:rsid w:val="008E0DCF"/>
    <w:rsid w:val="008F35E9"/>
    <w:rsid w:val="0090736C"/>
    <w:rsid w:val="00907949"/>
    <w:rsid w:val="00946382"/>
    <w:rsid w:val="00954E9C"/>
    <w:rsid w:val="00967649"/>
    <w:rsid w:val="00981D5E"/>
    <w:rsid w:val="009837A6"/>
    <w:rsid w:val="009A7F20"/>
    <w:rsid w:val="009C3136"/>
    <w:rsid w:val="009C6608"/>
    <w:rsid w:val="009D6AA7"/>
    <w:rsid w:val="009F7CEB"/>
    <w:rsid w:val="00A001C5"/>
    <w:rsid w:val="00A0516C"/>
    <w:rsid w:val="00A05394"/>
    <w:rsid w:val="00A076C9"/>
    <w:rsid w:val="00A15C9A"/>
    <w:rsid w:val="00A3757B"/>
    <w:rsid w:val="00A75D85"/>
    <w:rsid w:val="00A82FB3"/>
    <w:rsid w:val="00A84FAA"/>
    <w:rsid w:val="00A95A23"/>
    <w:rsid w:val="00AA22A9"/>
    <w:rsid w:val="00AA504D"/>
    <w:rsid w:val="00AB0341"/>
    <w:rsid w:val="00AB625B"/>
    <w:rsid w:val="00AE184C"/>
    <w:rsid w:val="00AF0211"/>
    <w:rsid w:val="00AF19B2"/>
    <w:rsid w:val="00AF254B"/>
    <w:rsid w:val="00B1587D"/>
    <w:rsid w:val="00B164C8"/>
    <w:rsid w:val="00B168AF"/>
    <w:rsid w:val="00B216FD"/>
    <w:rsid w:val="00B21B10"/>
    <w:rsid w:val="00B2243B"/>
    <w:rsid w:val="00B235CB"/>
    <w:rsid w:val="00B238B4"/>
    <w:rsid w:val="00B310F5"/>
    <w:rsid w:val="00B3333F"/>
    <w:rsid w:val="00B43EBE"/>
    <w:rsid w:val="00B52229"/>
    <w:rsid w:val="00B64F16"/>
    <w:rsid w:val="00B70715"/>
    <w:rsid w:val="00B9296E"/>
    <w:rsid w:val="00B94AAF"/>
    <w:rsid w:val="00BA4AB8"/>
    <w:rsid w:val="00BE1BFA"/>
    <w:rsid w:val="00BE494D"/>
    <w:rsid w:val="00C006E8"/>
    <w:rsid w:val="00C172AC"/>
    <w:rsid w:val="00C3156C"/>
    <w:rsid w:val="00C41734"/>
    <w:rsid w:val="00C42AD8"/>
    <w:rsid w:val="00C5555A"/>
    <w:rsid w:val="00C66DAB"/>
    <w:rsid w:val="00C71577"/>
    <w:rsid w:val="00C83FA5"/>
    <w:rsid w:val="00C904D8"/>
    <w:rsid w:val="00CA68ED"/>
    <w:rsid w:val="00CB3F83"/>
    <w:rsid w:val="00CC0BA4"/>
    <w:rsid w:val="00CD53DF"/>
    <w:rsid w:val="00CF53F2"/>
    <w:rsid w:val="00D02787"/>
    <w:rsid w:val="00D10F24"/>
    <w:rsid w:val="00D23258"/>
    <w:rsid w:val="00D27982"/>
    <w:rsid w:val="00D428E8"/>
    <w:rsid w:val="00D45A53"/>
    <w:rsid w:val="00D70527"/>
    <w:rsid w:val="00D915DE"/>
    <w:rsid w:val="00D91F9E"/>
    <w:rsid w:val="00D9358F"/>
    <w:rsid w:val="00DA2B54"/>
    <w:rsid w:val="00DA513B"/>
    <w:rsid w:val="00DB4F69"/>
    <w:rsid w:val="00DB51AD"/>
    <w:rsid w:val="00DB6EF6"/>
    <w:rsid w:val="00DC25B1"/>
    <w:rsid w:val="00DE641C"/>
    <w:rsid w:val="00DF52A9"/>
    <w:rsid w:val="00E0531C"/>
    <w:rsid w:val="00E13C9C"/>
    <w:rsid w:val="00E21EA9"/>
    <w:rsid w:val="00E31F50"/>
    <w:rsid w:val="00E402E5"/>
    <w:rsid w:val="00E42934"/>
    <w:rsid w:val="00E6074B"/>
    <w:rsid w:val="00E63B71"/>
    <w:rsid w:val="00E63C80"/>
    <w:rsid w:val="00EB6E38"/>
    <w:rsid w:val="00EB718B"/>
    <w:rsid w:val="00EC716F"/>
    <w:rsid w:val="00EE6646"/>
    <w:rsid w:val="00EF4855"/>
    <w:rsid w:val="00EF7E94"/>
    <w:rsid w:val="00F34C60"/>
    <w:rsid w:val="00F502FD"/>
    <w:rsid w:val="00F53CD6"/>
    <w:rsid w:val="00F5485C"/>
    <w:rsid w:val="00F83CCB"/>
    <w:rsid w:val="00F8487B"/>
    <w:rsid w:val="00FA1488"/>
    <w:rsid w:val="00FA76C2"/>
    <w:rsid w:val="00FB7928"/>
    <w:rsid w:val="00FB7CAB"/>
    <w:rsid w:val="00FB7CCC"/>
    <w:rsid w:val="00FC2F63"/>
    <w:rsid w:val="00FD442D"/>
    <w:rsid w:val="00FD7046"/>
    <w:rsid w:val="00FE498C"/>
    <w:rsid w:val="11E9662D"/>
    <w:rsid w:val="17FBF846"/>
    <w:rsid w:val="26734777"/>
    <w:rsid w:val="29AE7293"/>
    <w:rsid w:val="490F5BF1"/>
    <w:rsid w:val="7B3D5824"/>
    <w:rsid w:val="BA7B6153"/>
    <w:rsid w:val="DEDF0A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2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keepNext/>
      <w:keepLines/>
      <w:adjustRightInd w:val="0"/>
      <w:spacing w:before="240" w:after="120" w:line="300" w:lineRule="auto"/>
      <w:jc w:val="left"/>
      <w:outlineLvl w:val="2"/>
    </w:pPr>
    <w:rPr>
      <w:kern w:val="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25"/>
    <w:qFormat/>
    <w:uiPriority w:val="0"/>
    <w:pPr>
      <w:spacing w:line="240" w:lineRule="auto"/>
      <w:ind w:firstLine="420"/>
    </w:pPr>
    <w:rPr>
      <w:rFonts w:eastAsia="宋体"/>
      <w:sz w:val="21"/>
      <w:szCs w:val="20"/>
    </w:rPr>
  </w:style>
  <w:style w:type="paragraph" w:styleId="6">
    <w:name w:val="annotation text"/>
    <w:basedOn w:val="1"/>
    <w:link w:val="22"/>
    <w:unhideWhenUsed/>
    <w:uiPriority w:val="0"/>
    <w:pPr>
      <w:jc w:val="left"/>
    </w:pPr>
  </w:style>
  <w:style w:type="paragraph" w:styleId="7">
    <w:name w:val="Balloon Text"/>
    <w:basedOn w:val="1"/>
    <w:link w:val="21"/>
    <w:semiHidden/>
    <w:unhideWhenUsed/>
    <w:uiPriority w:val="99"/>
    <w:pPr>
      <w:spacing w:line="240" w:lineRule="auto"/>
    </w:pPr>
    <w:rPr>
      <w:sz w:val="18"/>
      <w:szCs w:val="18"/>
    </w:rPr>
  </w:style>
  <w:style w:type="paragraph" w:styleId="8">
    <w:name w:val="footer"/>
    <w:basedOn w:val="1"/>
    <w:link w:val="16"/>
    <w:unhideWhenUsed/>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mp;#23435;&amp;#20307;" w:hAnsi="&amp;#23435;&amp;#20307;"/>
      <w:kern w:val="0"/>
      <w:sz w:val="18"/>
      <w:szCs w:val="18"/>
    </w:rPr>
  </w:style>
  <w:style w:type="paragraph" w:styleId="11">
    <w:name w:val="annotation subject"/>
    <w:basedOn w:val="6"/>
    <w:next w:val="6"/>
    <w:link w:val="23"/>
    <w:semiHidden/>
    <w:unhideWhenUsed/>
    <w:uiPriority w:val="99"/>
    <w:rPr>
      <w:b/>
      <w:bCs/>
    </w:rPr>
  </w:style>
  <w:style w:type="character" w:styleId="14">
    <w:name w:val="annotation reference"/>
    <w:basedOn w:val="13"/>
    <w:unhideWhenUsed/>
    <w:uiPriority w:val="0"/>
    <w:rPr>
      <w:sz w:val="21"/>
      <w:szCs w:val="21"/>
    </w:rPr>
  </w:style>
  <w:style w:type="character" w:customStyle="1" w:styleId="15">
    <w:name w:val="页眉 Char"/>
    <w:basedOn w:val="13"/>
    <w:link w:val="9"/>
    <w:qFormat/>
    <w:uiPriority w:val="99"/>
    <w:rPr>
      <w:sz w:val="18"/>
      <w:szCs w:val="18"/>
    </w:rPr>
  </w:style>
  <w:style w:type="character" w:customStyle="1" w:styleId="16">
    <w:name w:val="页脚 Char"/>
    <w:basedOn w:val="13"/>
    <w:link w:val="8"/>
    <w:uiPriority w:val="0"/>
    <w:rPr>
      <w:sz w:val="18"/>
      <w:szCs w:val="18"/>
    </w:rPr>
  </w:style>
  <w:style w:type="character" w:customStyle="1" w:styleId="17">
    <w:name w:val="标题 3 Char"/>
    <w:basedOn w:val="13"/>
    <w:link w:val="4"/>
    <w:uiPriority w:val="0"/>
    <w:rPr>
      <w:rFonts w:ascii="Times New Roman" w:hAnsi="Times New Roman" w:eastAsia="仿宋" w:cs="Times New Roman"/>
      <w:kern w:val="0"/>
      <w:sz w:val="24"/>
      <w:szCs w:val="24"/>
    </w:rPr>
  </w:style>
  <w:style w:type="paragraph" w:customStyle="1" w:styleId="18">
    <w:name w:val="样式 标题 1 + 段后: 0.5 行"/>
    <w:basedOn w:val="2"/>
    <w:uiPriority w:val="0"/>
    <w:pPr>
      <w:spacing w:before="120" w:after="120" w:afterLines="50" w:line="460" w:lineRule="exact"/>
    </w:pPr>
    <w:rPr>
      <w:rFonts w:cs="宋体"/>
      <w:sz w:val="32"/>
      <w:szCs w:val="20"/>
    </w:rPr>
  </w:style>
  <w:style w:type="paragraph" w:customStyle="1" w:styleId="19">
    <w:name w:val="首行缩进:  0.85 厘米"/>
    <w:basedOn w:val="1"/>
    <w:qFormat/>
    <w:uiPriority w:val="0"/>
    <w:pPr>
      <w:widowControl/>
      <w:spacing w:after="100" w:line="360" w:lineRule="auto"/>
      <w:ind w:firstLine="482"/>
      <w:jc w:val="left"/>
    </w:pPr>
    <w:rPr>
      <w:rFonts w:ascii="Calibri" w:hAnsi="Calibri" w:eastAsia="宋体" w:cs="宋体"/>
      <w:kern w:val="0"/>
      <w:szCs w:val="20"/>
      <w:lang w:eastAsia="en-US" w:bidi="en-US"/>
    </w:rPr>
  </w:style>
  <w:style w:type="character" w:customStyle="1" w:styleId="20">
    <w:name w:val="标题 1 Char"/>
    <w:basedOn w:val="13"/>
    <w:link w:val="2"/>
    <w:uiPriority w:val="9"/>
    <w:rPr>
      <w:rFonts w:ascii="Times New Roman" w:hAnsi="Times New Roman" w:eastAsia="仿宋" w:cs="Times New Roman"/>
      <w:b/>
      <w:bCs/>
      <w:kern w:val="44"/>
      <w:sz w:val="44"/>
      <w:szCs w:val="44"/>
    </w:rPr>
  </w:style>
  <w:style w:type="character" w:customStyle="1" w:styleId="21">
    <w:name w:val="批注框文本 Char"/>
    <w:basedOn w:val="13"/>
    <w:link w:val="7"/>
    <w:semiHidden/>
    <w:uiPriority w:val="99"/>
    <w:rPr>
      <w:rFonts w:ascii="Times New Roman" w:hAnsi="Times New Roman" w:eastAsia="仿宋" w:cs="Times New Roman"/>
      <w:sz w:val="18"/>
      <w:szCs w:val="18"/>
    </w:rPr>
  </w:style>
  <w:style w:type="character" w:customStyle="1" w:styleId="22">
    <w:name w:val="批注文字 Char"/>
    <w:basedOn w:val="13"/>
    <w:link w:val="6"/>
    <w:uiPriority w:val="0"/>
    <w:rPr>
      <w:rFonts w:ascii="Times New Roman" w:hAnsi="Times New Roman" w:eastAsia="仿宋" w:cs="Times New Roman"/>
      <w:sz w:val="24"/>
      <w:szCs w:val="24"/>
    </w:rPr>
  </w:style>
  <w:style w:type="character" w:customStyle="1" w:styleId="23">
    <w:name w:val="批注主题 Char"/>
    <w:basedOn w:val="22"/>
    <w:link w:val="11"/>
    <w:semiHidden/>
    <w:uiPriority w:val="99"/>
    <w:rPr>
      <w:rFonts w:ascii="Times New Roman" w:hAnsi="Times New Roman" w:eastAsia="仿宋" w:cs="Times New Roman"/>
      <w:b/>
      <w:bCs/>
      <w:sz w:val="24"/>
      <w:szCs w:val="24"/>
    </w:rPr>
  </w:style>
  <w:style w:type="paragraph" w:styleId="24">
    <w:name w:val="List Paragraph"/>
    <w:basedOn w:val="1"/>
    <w:uiPriority w:val="99"/>
    <w:pPr>
      <w:ind w:firstLine="420" w:firstLineChars="200"/>
    </w:pPr>
  </w:style>
  <w:style w:type="character" w:customStyle="1" w:styleId="25">
    <w:name w:val="正文缩进 Char"/>
    <w:link w:val="5"/>
    <w:qFormat/>
    <w:uiPriority w:val="0"/>
    <w:rPr>
      <w:rFonts w:ascii="Times New Roman" w:hAnsi="Times New Roman" w:eastAsia="宋体" w:cs="Times New Roman"/>
      <w:kern w:val="2"/>
      <w:sz w:val="21"/>
    </w:rPr>
  </w:style>
  <w:style w:type="character" w:customStyle="1" w:styleId="26">
    <w:name w:val="标题 2 Char"/>
    <w:basedOn w:val="13"/>
    <w:link w:val="3"/>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848</Words>
  <Characters>4839</Characters>
  <Lines>1</Lines>
  <Paragraphs>1</Paragraphs>
  <TotalTime>0</TotalTime>
  <ScaleCrop>false</ScaleCrop>
  <LinksUpToDate>false</LinksUpToDate>
  <CharactersWithSpaces>5676</CharactersWithSpaces>
  <Application>WWO_aliyun_20210412160921-27045d1653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2021-04-22T15:32:00Z</dcterms:created>
  <dc:creator>Administrator</dc:creator>
  <cp:lastModifiedBy>Administrator</cp:lastModifiedBy>
  <dcterms:modified xsi:type="dcterms:W3CDTF">2021-04-28T14:54:23Z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