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宋体" w:hAnsi="宋体" w:eastAsia="宋体" w:cs="宋体"/>
          <w:b/>
          <w:bCs w:val="0"/>
          <w:sz w:val="44"/>
          <w:szCs w:val="44"/>
        </w:rPr>
      </w:pPr>
      <w:r>
        <w:rPr>
          <w:rFonts w:hint="eastAsia" w:ascii="宋体" w:hAnsi="宋体" w:eastAsia="宋体" w:cs="宋体"/>
          <w:b/>
          <w:bCs w:val="0"/>
          <w:kern w:val="0"/>
          <w:sz w:val="44"/>
          <w:szCs w:val="44"/>
        </w:rPr>
        <w:t>龙</w:t>
      </w:r>
      <w:r>
        <w:rPr>
          <w:rFonts w:hint="eastAsia" w:ascii="宋体" w:hAnsi="宋体" w:eastAsia="宋体" w:cs="宋体"/>
          <w:b/>
          <w:bCs w:val="0"/>
          <w:sz w:val="44"/>
          <w:szCs w:val="44"/>
        </w:rPr>
        <w:t>岗区坂田街道石化坂田新村旧住宅区城市</w:t>
      </w:r>
    </w:p>
    <w:p>
      <w:pPr>
        <w:spacing w:line="560" w:lineRule="exact"/>
        <w:jc w:val="center"/>
        <w:outlineLvl w:val="0"/>
        <w:rPr>
          <w:rFonts w:hint="eastAsia" w:ascii="宋体" w:hAnsi="宋体" w:eastAsia="宋体" w:cs="宋体"/>
          <w:b/>
          <w:bCs w:val="0"/>
          <w:sz w:val="44"/>
          <w:szCs w:val="44"/>
        </w:rPr>
      </w:pPr>
      <w:r>
        <w:rPr>
          <w:rFonts w:hint="eastAsia" w:ascii="宋体" w:hAnsi="宋体" w:eastAsia="宋体" w:cs="宋体"/>
          <w:b/>
          <w:bCs w:val="0"/>
          <w:sz w:val="44"/>
          <w:szCs w:val="44"/>
        </w:rPr>
        <w:t>更新项目搬迁补偿安置指导方案</w:t>
      </w:r>
    </w:p>
    <w:p>
      <w:pPr>
        <w:pStyle w:val="2"/>
        <w:spacing w:before="312" w:beforeLines="100" w:line="560" w:lineRule="exact"/>
        <w:rPr>
          <w:rFonts w:ascii="黑体" w:hAnsi="黑体" w:eastAsia="黑体" w:cs="黑体"/>
          <w:b w:val="0"/>
          <w:bCs w:val="0"/>
          <w:sz w:val="32"/>
          <w:szCs w:val="32"/>
        </w:rPr>
      </w:pPr>
      <w:bookmarkStart w:id="0" w:name="_Toc404154005"/>
      <w:bookmarkStart w:id="1" w:name="_Toc22761_WPSOffice_Level1"/>
      <w:bookmarkStart w:id="2" w:name="_Toc3956_WPSOffice_Level1"/>
      <w:r>
        <w:rPr>
          <w:rFonts w:hint="eastAsia" w:ascii="黑体" w:hAnsi="黑体" w:eastAsia="黑体" w:cs="黑体"/>
          <w:b w:val="0"/>
          <w:bCs w:val="0"/>
          <w:sz w:val="32"/>
          <w:szCs w:val="32"/>
        </w:rPr>
        <w:t>一、城市更新概况</w:t>
      </w:r>
      <w:bookmarkEnd w:id="0"/>
    </w:p>
    <w:p>
      <w:pPr>
        <w:pStyle w:val="3"/>
        <w:spacing w:line="560" w:lineRule="exact"/>
        <w:ind w:firstLine="640" w:firstLineChars="200"/>
        <w:jc w:val="left"/>
        <w:rPr>
          <w:rFonts w:hAnsi="楷体_GB2312" w:cs="楷体_GB2312"/>
          <w:sz w:val="32"/>
        </w:rPr>
      </w:pPr>
      <w:bookmarkStart w:id="3" w:name="_Toc370248706"/>
      <w:bookmarkStart w:id="4" w:name="_Toc387852321"/>
      <w:bookmarkStart w:id="5" w:name="_Toc370372873"/>
      <w:bookmarkStart w:id="6" w:name="_Toc367711888"/>
      <w:bookmarkStart w:id="7" w:name="_Toc370248512"/>
      <w:bookmarkStart w:id="8" w:name="_Toc404154006"/>
      <w:r>
        <w:rPr>
          <w:rFonts w:hint="eastAsia" w:hAnsi="楷体_GB2312" w:cs="楷体_GB2312"/>
          <w:sz w:val="32"/>
        </w:rPr>
        <w:t>（一）更新单元范围</w:t>
      </w:r>
      <w:bookmarkEnd w:id="3"/>
      <w:bookmarkEnd w:id="4"/>
      <w:bookmarkEnd w:id="5"/>
      <w:bookmarkEnd w:id="6"/>
      <w:bookmarkEnd w:id="7"/>
      <w:bookmarkEnd w:id="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坂田街道石化坂田新村旧住宅区城市更新项目位于龙岗区坂田街道五和社区，西临五和大道，北</w:t>
      </w:r>
      <w:bookmarkStart w:id="55" w:name="_GoBack"/>
      <w:bookmarkEnd w:id="55"/>
      <w:r>
        <w:rPr>
          <w:rFonts w:hint="eastAsia" w:ascii="仿宋_GB2312" w:hAnsi="仿宋_GB2312" w:eastAsia="仿宋_GB2312" w:cs="仿宋_GB2312"/>
          <w:sz w:val="32"/>
          <w:szCs w:val="32"/>
        </w:rPr>
        <w:t>临私宅，东邻光雅园村，南临雅园路，紧靠地铁10号线光雅园站B出口，交通便利。该更新单元范围用地面积为20818.8㎡。</w:t>
      </w:r>
    </w:p>
    <w:p>
      <w:pPr>
        <w:pStyle w:val="3"/>
        <w:spacing w:line="560" w:lineRule="exact"/>
        <w:ind w:firstLine="640" w:firstLineChars="200"/>
        <w:jc w:val="left"/>
        <w:rPr>
          <w:rFonts w:hAnsi="楷体_GB2312" w:cs="楷体_GB2312"/>
          <w:sz w:val="32"/>
        </w:rPr>
      </w:pPr>
      <w:bookmarkStart w:id="9" w:name="_Toc387852322"/>
      <w:bookmarkStart w:id="10" w:name="_Toc404154007"/>
      <w:bookmarkStart w:id="11" w:name="_Toc367711889"/>
      <w:bookmarkStart w:id="12" w:name="_Toc370372874"/>
      <w:bookmarkStart w:id="13" w:name="_Toc370248707"/>
      <w:bookmarkStart w:id="14" w:name="_Toc370248513"/>
      <w:r>
        <w:rPr>
          <w:rFonts w:hint="eastAsia" w:hAnsi="楷体_GB2312" w:cs="楷体_GB2312"/>
          <w:sz w:val="32"/>
        </w:rPr>
        <w:t>（二）更新单元规划</w:t>
      </w:r>
      <w:bookmarkEnd w:id="9"/>
      <w:r>
        <w:rPr>
          <w:rFonts w:hint="eastAsia" w:hAnsi="楷体_GB2312" w:cs="楷体_GB2312"/>
          <w:sz w:val="32"/>
        </w:rPr>
        <w:t>情况</w:t>
      </w:r>
      <w:bookmarkEnd w:id="1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本城市更新单元规划已于2020年12月经市主管部门审批通过。</w:t>
      </w:r>
    </w:p>
    <w:p>
      <w:pPr>
        <w:spacing w:line="560" w:lineRule="exact"/>
        <w:ind w:firstLine="640" w:firstLineChars="200"/>
        <w:rPr>
          <w:rFonts w:ascii="仿宋_GB2312" w:hAnsi="仿宋_GB2312" w:eastAsia="仿宋_GB2312" w:cs="仿宋_GB2312"/>
          <w:sz w:val="32"/>
          <w:szCs w:val="32"/>
        </w:rPr>
      </w:pPr>
      <w:bookmarkStart w:id="15" w:name="_Toc404154008"/>
      <w:bookmarkStart w:id="16" w:name="_Toc390275673"/>
      <w:bookmarkStart w:id="17" w:name="_Toc387852323"/>
      <w:r>
        <w:rPr>
          <w:rFonts w:hint="eastAsia" w:ascii="仿宋_GB2312" w:hAnsi="仿宋_GB2312" w:eastAsia="仿宋_GB2312" w:cs="仿宋_GB2312"/>
          <w:sz w:val="32"/>
          <w:szCs w:val="32"/>
        </w:rPr>
        <w:t>1．规划土地利用情况</w:t>
      </w:r>
      <w:bookmarkEnd w:id="15"/>
      <w:bookmarkEnd w:id="16"/>
      <w:bookmarkEnd w:id="1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本次规划拆除用地面积19706.2㎡，开发建设用地面积</w:t>
      </w:r>
      <w:r>
        <w:rPr>
          <w:rFonts w:hint="eastAsia" w:ascii="仿宋_GB2312" w:hAnsi="仿宋_GB2312" w:eastAsia="仿宋_GB2312" w:cs="仿宋_GB2312"/>
          <w:bCs/>
          <w:sz w:val="32"/>
          <w:szCs w:val="32"/>
        </w:rPr>
        <w:t>13614.8</w:t>
      </w:r>
      <w:r>
        <w:rPr>
          <w:rFonts w:hint="eastAsia" w:ascii="仿宋_GB2312" w:hAnsi="仿宋_GB2312" w:eastAsia="仿宋_GB2312" w:cs="仿宋_GB2312"/>
          <w:sz w:val="32"/>
          <w:szCs w:val="32"/>
        </w:rPr>
        <w:t>㎡（其中805.8平方米国有未出让的零星用地），独立占地的公共服务设施用地面积7204㎡（其中拆除范围内移交用地面积6897㎡），各指标详见见附件1：拆迁与开发建设用地范围图。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拆除范围内的土地贡献率为35%。</w:t>
      </w:r>
    </w:p>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用地面积指标分布表</w:t>
      </w:r>
    </w:p>
    <w:tbl>
      <w:tblPr>
        <w:tblStyle w:val="10"/>
        <w:tblW w:w="8978" w:type="dxa"/>
        <w:tblInd w:w="0" w:type="dxa"/>
        <w:tblLayout w:type="fixed"/>
        <w:tblCellMar>
          <w:top w:w="0" w:type="dxa"/>
          <w:left w:w="0" w:type="dxa"/>
          <w:bottom w:w="0" w:type="dxa"/>
          <w:right w:w="0" w:type="dxa"/>
        </w:tblCellMar>
      </w:tblPr>
      <w:tblGrid>
        <w:gridCol w:w="1746"/>
        <w:gridCol w:w="3353"/>
        <w:gridCol w:w="3879"/>
      </w:tblGrid>
      <w:tr>
        <w:tblPrEx>
          <w:tblLayout w:type="fixed"/>
          <w:tblCellMar>
            <w:top w:w="0" w:type="dxa"/>
            <w:left w:w="0" w:type="dxa"/>
            <w:bottom w:w="0" w:type="dxa"/>
            <w:right w:w="0" w:type="dxa"/>
          </w:tblCellMar>
        </w:tblPrEx>
        <w:trPr>
          <w:trHeight w:val="23" w:hRule="atLeast"/>
        </w:trPr>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b/>
                <w:bCs/>
                <w:sz w:val="30"/>
                <w:szCs w:val="30"/>
              </w:rPr>
            </w:pPr>
            <w:r>
              <w:rPr>
                <w:rFonts w:ascii="仿宋_GB2312" w:hAnsi="仿宋" w:eastAsia="仿宋_GB2312"/>
                <w:b/>
                <w:bCs/>
                <w:sz w:val="30"/>
                <w:szCs w:val="30"/>
              </w:rPr>
              <w:t>项目</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b/>
                <w:bCs/>
                <w:sz w:val="30"/>
                <w:szCs w:val="30"/>
              </w:rPr>
            </w:pPr>
            <w:r>
              <w:rPr>
                <w:rFonts w:ascii="仿宋_GB2312" w:hAnsi="仿宋" w:eastAsia="仿宋_GB2312"/>
                <w:b/>
                <w:bCs/>
                <w:sz w:val="30"/>
                <w:szCs w:val="30"/>
              </w:rPr>
              <w:t>占地面（㎡）</w:t>
            </w:r>
          </w:p>
        </w:tc>
      </w:tr>
      <w:tr>
        <w:tblPrEx>
          <w:tblLayout w:type="fixed"/>
          <w:tblCellMar>
            <w:top w:w="0" w:type="dxa"/>
            <w:left w:w="0" w:type="dxa"/>
            <w:bottom w:w="0" w:type="dxa"/>
            <w:right w:w="0" w:type="dxa"/>
          </w:tblCellMar>
        </w:tblPrEx>
        <w:trPr>
          <w:trHeight w:val="23" w:hRule="atLeast"/>
        </w:trPr>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更新单元用地面积</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20818.8</w:t>
            </w:r>
          </w:p>
        </w:tc>
      </w:tr>
      <w:tr>
        <w:tblPrEx>
          <w:tblLayout w:type="fixed"/>
          <w:tblCellMar>
            <w:top w:w="0" w:type="dxa"/>
            <w:left w:w="0" w:type="dxa"/>
            <w:bottom w:w="0" w:type="dxa"/>
            <w:right w:w="0" w:type="dxa"/>
          </w:tblCellMar>
        </w:tblPrEx>
        <w:trPr>
          <w:trHeight w:val="23" w:hRule="atLeast"/>
        </w:trPr>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拆迁范围用地</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19706.2</w:t>
            </w:r>
          </w:p>
        </w:tc>
      </w:tr>
      <w:tr>
        <w:tblPrEx>
          <w:tblLayout w:type="fixed"/>
          <w:tblCellMar>
            <w:top w:w="0" w:type="dxa"/>
            <w:left w:w="0" w:type="dxa"/>
            <w:bottom w:w="0" w:type="dxa"/>
            <w:right w:w="0" w:type="dxa"/>
          </w:tblCellMar>
        </w:tblPrEx>
        <w:trPr>
          <w:trHeight w:val="23" w:hRule="atLeast"/>
        </w:trPr>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可开发建设用地</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13614.8</w:t>
            </w:r>
          </w:p>
        </w:tc>
      </w:tr>
      <w:tr>
        <w:tblPrEx>
          <w:tblLayout w:type="fixed"/>
          <w:tblCellMar>
            <w:top w:w="0" w:type="dxa"/>
            <w:left w:w="0" w:type="dxa"/>
            <w:bottom w:w="0" w:type="dxa"/>
            <w:right w:w="0" w:type="dxa"/>
          </w:tblCellMar>
        </w:tblPrEx>
        <w:trPr>
          <w:trHeight w:val="23" w:hRule="atLeast"/>
        </w:trPr>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其中</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纳入零星用地</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805.8</w:t>
            </w:r>
          </w:p>
        </w:tc>
      </w:tr>
      <w:tr>
        <w:tblPrEx>
          <w:tblLayout w:type="fixed"/>
          <w:tblCellMar>
            <w:top w:w="0" w:type="dxa"/>
            <w:left w:w="0" w:type="dxa"/>
            <w:bottom w:w="0" w:type="dxa"/>
            <w:right w:w="0" w:type="dxa"/>
          </w:tblCellMar>
        </w:tblPrEx>
        <w:trPr>
          <w:trHeight w:val="23" w:hRule="atLeast"/>
        </w:trPr>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更新单元内移交用地面积</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 xml:space="preserve">7204.0 </w:t>
            </w:r>
          </w:p>
        </w:tc>
      </w:tr>
      <w:tr>
        <w:tblPrEx>
          <w:tblLayout w:type="fixed"/>
          <w:tblCellMar>
            <w:top w:w="0" w:type="dxa"/>
            <w:left w:w="0" w:type="dxa"/>
            <w:bottom w:w="0" w:type="dxa"/>
            <w:right w:w="0" w:type="dxa"/>
          </w:tblCellMar>
        </w:tblPrEx>
        <w:trPr>
          <w:trHeight w:val="23" w:hRule="atLeast"/>
        </w:trPr>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拆除范围内移交用地面积</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 xml:space="preserve">6897.0 </w:t>
            </w:r>
          </w:p>
        </w:tc>
      </w:tr>
      <w:tr>
        <w:tblPrEx>
          <w:tblLayout w:type="fixed"/>
          <w:tblCellMar>
            <w:top w:w="0" w:type="dxa"/>
            <w:left w:w="0" w:type="dxa"/>
            <w:bottom w:w="0" w:type="dxa"/>
            <w:right w:w="0" w:type="dxa"/>
          </w:tblCellMar>
        </w:tblPrEx>
        <w:trPr>
          <w:trHeight w:val="23" w:hRule="atLeast"/>
        </w:trPr>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其中</w:t>
            </w:r>
          </w:p>
        </w:tc>
        <w:tc>
          <w:tcPr>
            <w:tcW w:w="33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教育设施用地</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ascii="仿宋_GB2312" w:hAnsi="仿宋" w:eastAsia="仿宋_GB2312"/>
                <w:sz w:val="30"/>
                <w:szCs w:val="30"/>
              </w:rPr>
              <w:t xml:space="preserve">6897.0 </w:t>
            </w:r>
          </w:p>
        </w:tc>
      </w:tr>
      <w:tr>
        <w:tblPrEx>
          <w:tblLayout w:type="fixed"/>
          <w:tblCellMar>
            <w:top w:w="0" w:type="dxa"/>
            <w:left w:w="0" w:type="dxa"/>
            <w:bottom w:w="0" w:type="dxa"/>
            <w:right w:w="0" w:type="dxa"/>
          </w:tblCellMar>
        </w:tblPrEx>
        <w:trPr>
          <w:trHeight w:val="23" w:hRule="atLeast"/>
        </w:trPr>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拆除范围内土地移交率</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35%</w:t>
            </w:r>
          </w:p>
        </w:tc>
      </w:tr>
    </w:tbl>
    <w:p>
      <w:pPr>
        <w:spacing w:line="560" w:lineRule="exact"/>
        <w:ind w:firstLine="640" w:firstLineChars="200"/>
        <w:rPr>
          <w:rFonts w:ascii="仿宋_GB2312" w:hAnsi="仿宋_GB2312" w:eastAsia="仿宋_GB2312" w:cs="仿宋_GB2312"/>
          <w:sz w:val="32"/>
          <w:szCs w:val="32"/>
        </w:rPr>
      </w:pPr>
      <w:bookmarkStart w:id="18" w:name="_Toc404154009"/>
      <w:bookmarkStart w:id="19" w:name="_Toc387852324"/>
      <w:bookmarkStart w:id="20" w:name="_Toc390275674"/>
      <w:r>
        <w:rPr>
          <w:rFonts w:hint="eastAsia" w:ascii="仿宋_GB2312" w:hAnsi="仿宋_GB2312" w:eastAsia="仿宋_GB2312" w:cs="仿宋_GB2312"/>
          <w:sz w:val="32"/>
          <w:szCs w:val="32"/>
        </w:rPr>
        <w:t>2．主要经济技术指标</w:t>
      </w:r>
      <w:bookmarkEnd w:id="18"/>
      <w:bookmarkEnd w:id="19"/>
      <w:bookmarkEnd w:id="2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规划开发建设用地计容积率建筑面积118470㎡，其中住宅72000㎡（含出售型人才住房13680㎡），商业、办公及旅馆业建筑31260㎡（含母婴室70㎡），地下商业5000㎡，公共配套设施（含地下）10210㎡。（见附件2：地块划分与指标控制图）</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主要经济技术指标一览表</w:t>
      </w:r>
    </w:p>
    <w:tbl>
      <w:tblPr>
        <w:tblStyle w:val="10"/>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066"/>
        <w:gridCol w:w="3394"/>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89" w:type="dxa"/>
            <w:gridSpan w:val="3"/>
            <w:tcBorders>
              <w:tl2br w:val="nil"/>
              <w:tr2bl w:val="nil"/>
            </w:tcBorders>
            <w:vAlign w:val="center"/>
          </w:tcPr>
          <w:p>
            <w:pPr>
              <w:spacing w:line="400" w:lineRule="exact"/>
              <w:jc w:val="center"/>
              <w:rPr>
                <w:rFonts w:ascii="仿宋_GB2312" w:hAnsi="仿宋" w:eastAsia="仿宋_GB2312"/>
                <w:sz w:val="30"/>
                <w:szCs w:val="30"/>
              </w:rPr>
            </w:pPr>
            <w:bookmarkStart w:id="21" w:name="_Toc387852325"/>
            <w:bookmarkStart w:id="22" w:name="_Toc404154010"/>
            <w:bookmarkStart w:id="23" w:name="_Toc390275675"/>
            <w:r>
              <w:rPr>
                <w:rFonts w:hint="eastAsia" w:ascii="仿宋_GB2312" w:hAnsi="仿宋" w:eastAsia="仿宋_GB2312"/>
                <w:sz w:val="30"/>
                <w:szCs w:val="30"/>
              </w:rPr>
              <w:t>项目</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89" w:type="dxa"/>
            <w:gridSpan w:val="3"/>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开发建设用地面积（㎡）</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13614.8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89" w:type="dxa"/>
            <w:gridSpan w:val="3"/>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计容积率建筑面积（㎡）</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118470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29" w:type="dxa"/>
            <w:vMerge w:val="restart"/>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其中</w:t>
            </w:r>
          </w:p>
        </w:tc>
        <w:tc>
          <w:tcPr>
            <w:tcW w:w="4460" w:type="dxa"/>
            <w:gridSpan w:val="2"/>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住宅（㎡）</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72000（含出售型人才住房13680㎡）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29" w:type="dxa"/>
            <w:vMerge w:val="continue"/>
            <w:tcBorders>
              <w:tl2br w:val="nil"/>
              <w:tr2bl w:val="nil"/>
            </w:tcBorders>
            <w:vAlign w:val="center"/>
          </w:tcPr>
          <w:p>
            <w:pPr>
              <w:spacing w:line="400" w:lineRule="exact"/>
              <w:jc w:val="center"/>
              <w:rPr>
                <w:rFonts w:ascii="仿宋_GB2312" w:hAnsi="仿宋" w:eastAsia="仿宋_GB2312"/>
                <w:sz w:val="30"/>
                <w:szCs w:val="30"/>
              </w:rPr>
            </w:pPr>
          </w:p>
        </w:tc>
        <w:tc>
          <w:tcPr>
            <w:tcW w:w="4460" w:type="dxa"/>
            <w:gridSpan w:val="2"/>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商业、办公及旅馆业建筑（㎡）</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31260（含母婴室70㎡）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29" w:type="dxa"/>
            <w:vMerge w:val="continue"/>
            <w:tcBorders>
              <w:tl2br w:val="nil"/>
              <w:tr2bl w:val="nil"/>
            </w:tcBorders>
            <w:vAlign w:val="center"/>
          </w:tcPr>
          <w:p>
            <w:pPr>
              <w:spacing w:line="400" w:lineRule="exact"/>
              <w:jc w:val="center"/>
              <w:rPr>
                <w:rFonts w:ascii="仿宋_GB2312" w:hAnsi="仿宋" w:eastAsia="仿宋_GB2312"/>
                <w:sz w:val="30"/>
                <w:szCs w:val="30"/>
              </w:rPr>
            </w:pPr>
          </w:p>
        </w:tc>
        <w:tc>
          <w:tcPr>
            <w:tcW w:w="4460" w:type="dxa"/>
            <w:gridSpan w:val="2"/>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地下商业建筑（㎡）</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29" w:type="dxa"/>
            <w:vMerge w:val="continue"/>
            <w:tcBorders>
              <w:tl2br w:val="nil"/>
              <w:tr2bl w:val="nil"/>
            </w:tcBorders>
            <w:vAlign w:val="center"/>
          </w:tcPr>
          <w:p>
            <w:pPr>
              <w:spacing w:line="400" w:lineRule="exact"/>
              <w:jc w:val="center"/>
              <w:rPr>
                <w:rFonts w:ascii="仿宋_GB2312" w:hAnsi="仿宋" w:eastAsia="仿宋_GB2312"/>
                <w:sz w:val="30"/>
                <w:szCs w:val="30"/>
              </w:rPr>
            </w:pPr>
          </w:p>
        </w:tc>
        <w:tc>
          <w:tcPr>
            <w:tcW w:w="4460" w:type="dxa"/>
            <w:gridSpan w:val="2"/>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公共配套设施（含地下）（㎡）</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10210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29" w:type="dxa"/>
            <w:vMerge w:val="continue"/>
            <w:tcBorders>
              <w:tl2br w:val="nil"/>
              <w:tr2bl w:val="nil"/>
            </w:tcBorders>
            <w:vAlign w:val="center"/>
          </w:tcPr>
          <w:p>
            <w:pPr>
              <w:spacing w:line="400" w:lineRule="exact"/>
              <w:jc w:val="center"/>
              <w:rPr>
                <w:rFonts w:ascii="仿宋_GB2312" w:hAnsi="仿宋" w:eastAsia="仿宋_GB2312"/>
                <w:sz w:val="30"/>
                <w:szCs w:val="30"/>
              </w:rPr>
            </w:pPr>
          </w:p>
        </w:tc>
        <w:tc>
          <w:tcPr>
            <w:tcW w:w="1066" w:type="dxa"/>
            <w:vMerge w:val="restart"/>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其中</w:t>
            </w:r>
          </w:p>
        </w:tc>
        <w:tc>
          <w:tcPr>
            <w:tcW w:w="3394"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6班幼儿园（㎡）</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2100（占地面积1800）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29" w:type="dxa"/>
            <w:vMerge w:val="continue"/>
            <w:tcBorders>
              <w:tl2br w:val="nil"/>
              <w:tr2bl w:val="nil"/>
            </w:tcBorders>
            <w:vAlign w:val="center"/>
          </w:tcPr>
          <w:p>
            <w:pPr>
              <w:spacing w:line="400" w:lineRule="exact"/>
              <w:jc w:val="center"/>
              <w:rPr>
                <w:rFonts w:ascii="仿宋_GB2312" w:hAnsi="仿宋" w:eastAsia="仿宋_GB2312"/>
                <w:sz w:val="30"/>
                <w:szCs w:val="30"/>
              </w:rPr>
            </w:pPr>
          </w:p>
        </w:tc>
        <w:tc>
          <w:tcPr>
            <w:tcW w:w="1066" w:type="dxa"/>
            <w:vMerge w:val="continue"/>
            <w:tcBorders>
              <w:tl2br w:val="nil"/>
              <w:tr2bl w:val="nil"/>
            </w:tcBorders>
            <w:vAlign w:val="center"/>
          </w:tcPr>
          <w:p>
            <w:pPr>
              <w:spacing w:line="400" w:lineRule="exact"/>
              <w:jc w:val="center"/>
              <w:rPr>
                <w:rFonts w:ascii="仿宋_GB2312" w:hAnsi="仿宋" w:eastAsia="仿宋_GB2312"/>
                <w:sz w:val="30"/>
                <w:szCs w:val="30"/>
              </w:rPr>
            </w:pPr>
          </w:p>
        </w:tc>
        <w:tc>
          <w:tcPr>
            <w:tcW w:w="3394"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其他配套设施（㎡）</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8110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89" w:type="dxa"/>
            <w:gridSpan w:val="3"/>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建筑限高（米）</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满足樟坑径机场的航空限高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89" w:type="dxa"/>
            <w:gridSpan w:val="3"/>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绿化覆盖率（%）</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依据《深标》予以核定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89" w:type="dxa"/>
            <w:gridSpan w:val="3"/>
            <w:tcBorders>
              <w:tl2br w:val="nil"/>
              <w:tr2bl w:val="nil"/>
            </w:tcBorders>
            <w:vAlign w:val="center"/>
          </w:tcPr>
          <w:p>
            <w:pPr>
              <w:spacing w:line="400" w:lineRule="exact"/>
              <w:jc w:val="center"/>
              <w:rPr>
                <w:rFonts w:ascii="仿宋_GB2312" w:hAnsi="仿宋" w:eastAsia="仿宋_GB2312"/>
                <w:color w:val="FF0000"/>
                <w:sz w:val="30"/>
                <w:szCs w:val="30"/>
                <w:highlight w:val="yellow"/>
              </w:rPr>
            </w:pPr>
            <w:r>
              <w:rPr>
                <w:rFonts w:hint="eastAsia" w:ascii="仿宋_GB2312" w:hAnsi="仿宋" w:eastAsia="仿宋_GB2312"/>
                <w:sz w:val="30"/>
                <w:szCs w:val="30"/>
              </w:rPr>
              <w:t>规划居住人口（人）</w:t>
            </w:r>
          </w:p>
        </w:tc>
        <w:tc>
          <w:tcPr>
            <w:tcW w:w="3779" w:type="dxa"/>
            <w:tcBorders>
              <w:tl2br w:val="nil"/>
              <w:tr2bl w:val="nil"/>
            </w:tcBorders>
            <w:vAlign w:val="center"/>
          </w:tcPr>
          <w:p>
            <w:pPr>
              <w:spacing w:line="400" w:lineRule="exact"/>
              <w:jc w:val="center"/>
              <w:rPr>
                <w:rFonts w:ascii="仿宋_GB2312" w:hAnsi="仿宋" w:eastAsia="仿宋_GB2312"/>
                <w:color w:val="FF0000"/>
                <w:sz w:val="30"/>
                <w:szCs w:val="30"/>
                <w:highlight w:val="yellow"/>
              </w:rPr>
            </w:pPr>
            <w:r>
              <w:rPr>
                <w:rFonts w:hint="eastAsia" w:ascii="仿宋_GB2312" w:hAnsi="仿宋" w:eastAsia="仿宋_GB2312"/>
                <w:sz w:val="30"/>
                <w:szCs w:val="30"/>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389" w:type="dxa"/>
            <w:gridSpan w:val="3"/>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停车位（个）</w:t>
            </w:r>
          </w:p>
        </w:tc>
        <w:tc>
          <w:tcPr>
            <w:tcW w:w="3779" w:type="dxa"/>
            <w:tcBorders>
              <w:tl2br w:val="nil"/>
              <w:tr2bl w:val="nil"/>
            </w:tcBorders>
            <w:vAlign w:val="center"/>
          </w:tcPr>
          <w:p>
            <w:pPr>
              <w:spacing w:line="400" w:lineRule="exact"/>
              <w:jc w:val="center"/>
              <w:rPr>
                <w:rFonts w:ascii="仿宋_GB2312" w:hAnsi="仿宋" w:eastAsia="仿宋_GB2312"/>
                <w:sz w:val="30"/>
                <w:szCs w:val="30"/>
              </w:rPr>
            </w:pPr>
            <w:r>
              <w:rPr>
                <w:rFonts w:hint="eastAsia" w:ascii="仿宋_GB2312" w:hAnsi="仿宋" w:eastAsia="仿宋_GB2312"/>
                <w:sz w:val="30"/>
                <w:szCs w:val="30"/>
              </w:rPr>
              <w:t>商业、办公及旅馆业建筑配建停车位按《深标》下限控制</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3．保障性住房配建情况</w:t>
      </w:r>
      <w:bookmarkEnd w:id="21"/>
      <w:bookmarkEnd w:id="22"/>
      <w:bookmarkEnd w:id="2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本城市更新单元拆除范围内安排配建出售型人才住房13680平方米。</w:t>
      </w:r>
      <w:bookmarkStart w:id="24" w:name="_Toc390275676"/>
      <w:bookmarkStart w:id="25" w:name="_Toc404154011"/>
      <w:bookmarkStart w:id="26" w:name="_Toc38785232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4．规划分期情况</w:t>
      </w:r>
      <w:bookmarkEnd w:id="24"/>
      <w:bookmarkEnd w:id="25"/>
      <w:bookmarkEnd w:id="26"/>
    </w:p>
    <w:p>
      <w:pPr>
        <w:spacing w:line="560" w:lineRule="exact"/>
        <w:ind w:firstLine="640" w:firstLineChars="200"/>
        <w:rPr>
          <w:rFonts w:ascii="仿宋_GB2312" w:hAnsi="仿宋_GB2312" w:eastAsia="仿宋_GB2312" w:cs="仿宋_GB2312"/>
          <w:sz w:val="32"/>
          <w:szCs w:val="32"/>
        </w:rPr>
      </w:pPr>
      <w:bookmarkStart w:id="27" w:name="_Toc390275677"/>
      <w:r>
        <w:rPr>
          <w:rFonts w:hint="eastAsia" w:ascii="仿宋_GB2312" w:hAnsi="仿宋_GB2312" w:eastAsia="仿宋_GB2312" w:cs="仿宋_GB2312"/>
          <w:sz w:val="32"/>
          <w:szCs w:val="32"/>
        </w:rPr>
        <w:t>本城市更新单元不分期。</w:t>
      </w:r>
      <w:bookmarkEnd w:id="27"/>
      <w:bookmarkStart w:id="28" w:name="_Toc390275678"/>
      <w:bookmarkStart w:id="29" w:name="_Toc387852327"/>
      <w:bookmarkStart w:id="30" w:name="_Toc40415401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5．更新单元及公共配套设施建设情况</w:t>
      </w:r>
      <w:bookmarkEnd w:id="28"/>
      <w:bookmarkEnd w:id="29"/>
      <w:bookmarkEnd w:id="30"/>
    </w:p>
    <w:p>
      <w:pPr>
        <w:spacing w:line="560" w:lineRule="exact"/>
        <w:ind w:firstLine="640" w:firstLineChars="200"/>
        <w:rPr>
          <w:rFonts w:ascii="仿宋_GB2312" w:hAnsi="仿宋_GB2312" w:eastAsia="仿宋_GB2312" w:cs="仿宋_GB2312"/>
          <w:sz w:val="32"/>
          <w:szCs w:val="32"/>
        </w:rPr>
      </w:pPr>
      <w:bookmarkStart w:id="31" w:name="_Toc390275679"/>
      <w:r>
        <w:rPr>
          <w:rFonts w:hint="eastAsia" w:ascii="仿宋_GB2312" w:hAnsi="仿宋_GB2312" w:eastAsia="仿宋_GB2312" w:cs="仿宋_GB2312"/>
          <w:sz w:val="32"/>
          <w:szCs w:val="32"/>
        </w:rPr>
        <w:t>本城市更新单元规划公共配套设施面积10210㎡，由实施主体无偿移交给政府指定的相关部门，更新单元公共配套设施详见下表。</w:t>
      </w:r>
      <w:bookmarkEnd w:id="31"/>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更新单元公共配套设施情况一览表</w:t>
      </w:r>
    </w:p>
    <w:bookmarkEnd w:id="11"/>
    <w:bookmarkEnd w:id="12"/>
    <w:bookmarkEnd w:id="13"/>
    <w:bookmarkEnd w:id="14"/>
    <w:tbl>
      <w:tblPr>
        <w:tblStyle w:val="10"/>
        <w:tblW w:w="91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4"/>
        <w:gridCol w:w="968"/>
        <w:gridCol w:w="3920"/>
        <w:gridCol w:w="2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blHeader/>
          <w:jc w:val="center"/>
        </w:trPr>
        <w:tc>
          <w:tcPr>
            <w:tcW w:w="1434" w:type="dxa"/>
            <w:vAlign w:val="center"/>
          </w:tcPr>
          <w:p>
            <w:pPr>
              <w:spacing w:line="400" w:lineRule="exact"/>
              <w:jc w:val="center"/>
              <w:rPr>
                <w:rFonts w:ascii="仿宋_GB2312" w:hAnsi="仿宋_GB2312" w:eastAsia="仿宋_GB2312" w:cs="仿宋_GB2312"/>
                <w:sz w:val="30"/>
                <w:szCs w:val="30"/>
              </w:rPr>
            </w:pPr>
            <w:bookmarkStart w:id="32" w:name="_Toc404154013"/>
            <w:r>
              <w:rPr>
                <w:rFonts w:hint="eastAsia" w:ascii="仿宋_GB2312" w:hAnsi="仿宋_GB2312" w:eastAsia="仿宋_GB2312" w:cs="仿宋_GB2312"/>
                <w:sz w:val="30"/>
                <w:szCs w:val="30"/>
              </w:rPr>
              <w:t>区域</w:t>
            </w: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公建配套</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434" w:type="dxa"/>
            <w:vMerge w:val="restart"/>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拆除重建区域</w:t>
            </w: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6班幼儿园</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2100㎡</w:t>
            </w:r>
          </w:p>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（占地1800）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434" w:type="dxa"/>
            <w:vMerge w:val="continue"/>
            <w:vAlign w:val="center"/>
          </w:tcPr>
          <w:p>
            <w:pPr>
              <w:spacing w:line="400" w:lineRule="exact"/>
              <w:jc w:val="center"/>
              <w:rPr>
                <w:rFonts w:ascii="仿宋_GB2312" w:hAnsi="仿宋_GB2312" w:eastAsia="仿宋_GB2312" w:cs="仿宋_GB2312"/>
                <w:sz w:val="30"/>
                <w:szCs w:val="30"/>
              </w:rPr>
            </w:pP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社区管理用房</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434" w:type="dxa"/>
            <w:vMerge w:val="continue"/>
            <w:vAlign w:val="center"/>
          </w:tcPr>
          <w:p>
            <w:pPr>
              <w:spacing w:line="400" w:lineRule="exact"/>
              <w:jc w:val="center"/>
              <w:rPr>
                <w:rFonts w:ascii="仿宋_GB2312" w:hAnsi="仿宋_GB2312" w:eastAsia="仿宋_GB2312" w:cs="仿宋_GB2312"/>
                <w:sz w:val="30"/>
                <w:szCs w:val="30"/>
              </w:rPr>
            </w:pP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社区警务室</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434" w:type="dxa"/>
            <w:vMerge w:val="continue"/>
            <w:vAlign w:val="center"/>
          </w:tcPr>
          <w:p>
            <w:pPr>
              <w:spacing w:line="400" w:lineRule="exact"/>
              <w:jc w:val="center"/>
              <w:rPr>
                <w:rFonts w:ascii="仿宋_GB2312" w:hAnsi="仿宋_GB2312" w:eastAsia="仿宋_GB2312" w:cs="仿宋_GB2312"/>
                <w:sz w:val="30"/>
                <w:szCs w:val="30"/>
              </w:rPr>
            </w:pP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社区服务中心</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434" w:type="dxa"/>
            <w:vMerge w:val="continue"/>
            <w:vAlign w:val="center"/>
          </w:tcPr>
          <w:p>
            <w:pPr>
              <w:spacing w:line="400" w:lineRule="exact"/>
              <w:jc w:val="center"/>
              <w:rPr>
                <w:rFonts w:ascii="仿宋_GB2312" w:hAnsi="仿宋_GB2312" w:eastAsia="仿宋_GB2312" w:cs="仿宋_GB2312"/>
                <w:sz w:val="30"/>
                <w:szCs w:val="30"/>
              </w:rPr>
            </w:pP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社区健康服务中心</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434" w:type="dxa"/>
            <w:vMerge w:val="continue"/>
            <w:vAlign w:val="center"/>
          </w:tcPr>
          <w:p>
            <w:pPr>
              <w:spacing w:line="400" w:lineRule="exact"/>
              <w:jc w:val="center"/>
              <w:rPr>
                <w:rFonts w:ascii="仿宋_GB2312" w:hAnsi="仿宋_GB2312" w:eastAsia="仿宋_GB2312" w:cs="仿宋_GB2312"/>
                <w:sz w:val="30"/>
                <w:szCs w:val="30"/>
              </w:rPr>
            </w:pP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社区老年人日间照料中心</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434" w:type="dxa"/>
            <w:vMerge w:val="continue"/>
            <w:vAlign w:val="center"/>
          </w:tcPr>
          <w:p>
            <w:pPr>
              <w:spacing w:line="400" w:lineRule="exact"/>
              <w:jc w:val="center"/>
              <w:rPr>
                <w:rFonts w:ascii="仿宋_GB2312" w:hAnsi="仿宋_GB2312" w:eastAsia="仿宋_GB2312" w:cs="仿宋_GB2312"/>
                <w:sz w:val="30"/>
                <w:szCs w:val="30"/>
              </w:rPr>
            </w:pP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社区级公共配套用房</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434" w:type="dxa"/>
            <w:vMerge w:val="continue"/>
            <w:vAlign w:val="center"/>
          </w:tcPr>
          <w:p>
            <w:pPr>
              <w:spacing w:line="400" w:lineRule="exact"/>
              <w:jc w:val="center"/>
              <w:rPr>
                <w:rFonts w:ascii="仿宋_GB2312" w:hAnsi="仿宋_GB2312" w:eastAsia="仿宋_GB2312" w:cs="仿宋_GB2312"/>
                <w:sz w:val="30"/>
                <w:szCs w:val="30"/>
              </w:rPr>
            </w:pP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文化活动室</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1434" w:type="dxa"/>
            <w:vMerge w:val="continue"/>
            <w:vAlign w:val="center"/>
          </w:tcPr>
          <w:p>
            <w:pPr>
              <w:spacing w:line="400" w:lineRule="exact"/>
              <w:jc w:val="center"/>
              <w:rPr>
                <w:rFonts w:ascii="仿宋_GB2312" w:hAnsi="仿宋_GB2312" w:eastAsia="仿宋_GB2312" w:cs="仿宋_GB2312"/>
                <w:sz w:val="30"/>
                <w:szCs w:val="30"/>
              </w:rPr>
            </w:pPr>
          </w:p>
        </w:tc>
        <w:tc>
          <w:tcPr>
            <w:tcW w:w="968"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3920"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体育活动场地</w:t>
            </w:r>
          </w:p>
        </w:tc>
        <w:tc>
          <w:tcPr>
            <w:tcW w:w="2846" w:type="dxa"/>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占地600㎡</w:t>
            </w:r>
          </w:p>
        </w:tc>
      </w:tr>
    </w:tbl>
    <w:p>
      <w:pPr>
        <w:pStyle w:val="2"/>
        <w:spacing w:before="312" w:beforeLines="100" w:line="560" w:lineRule="exact"/>
        <w:rPr>
          <w:rFonts w:ascii="黑体" w:hAnsi="黑体" w:eastAsia="黑体" w:cs="黑体"/>
          <w:sz w:val="32"/>
          <w:szCs w:val="32"/>
        </w:rPr>
      </w:pPr>
      <w:r>
        <w:rPr>
          <w:rFonts w:hint="eastAsia" w:ascii="黑体" w:hAnsi="黑体" w:eastAsia="黑体" w:cs="黑体"/>
          <w:sz w:val="32"/>
          <w:szCs w:val="32"/>
        </w:rPr>
        <w:t>二、项目权属情况</w:t>
      </w:r>
      <w:bookmarkEnd w:id="32"/>
    </w:p>
    <w:p>
      <w:pPr>
        <w:pStyle w:val="3"/>
        <w:spacing w:line="560" w:lineRule="exact"/>
        <w:ind w:firstLine="640" w:firstLineChars="200"/>
        <w:jc w:val="left"/>
        <w:rPr>
          <w:rFonts w:hAnsi="楷体_GB2312" w:cs="楷体_GB2312"/>
          <w:sz w:val="32"/>
        </w:rPr>
      </w:pPr>
      <w:bookmarkStart w:id="33" w:name="_Toc387852330"/>
      <w:r>
        <w:rPr>
          <w:rFonts w:hint="eastAsia" w:hAnsi="楷体_GB2312" w:cs="楷体_GB2312"/>
          <w:sz w:val="32"/>
        </w:rPr>
        <w:t>（一）土地状况</w:t>
      </w:r>
      <w:bookmarkEnd w:id="3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本城市更新单元拆除范围全部为国有已出让用地19706.2㎡。（见附件3：土地权属图）</w:t>
      </w:r>
    </w:p>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土地权属信息一览表</w:t>
      </w:r>
    </w:p>
    <w:tbl>
      <w:tblPr>
        <w:tblStyle w:val="10"/>
        <w:tblW w:w="8984" w:type="dxa"/>
        <w:jc w:val="center"/>
        <w:tblInd w:w="0" w:type="dxa"/>
        <w:tblLayout w:type="fixed"/>
        <w:tblCellMar>
          <w:top w:w="15" w:type="dxa"/>
          <w:left w:w="15" w:type="dxa"/>
          <w:bottom w:w="15" w:type="dxa"/>
          <w:right w:w="15" w:type="dxa"/>
        </w:tblCellMar>
      </w:tblPr>
      <w:tblGrid>
        <w:gridCol w:w="944"/>
        <w:gridCol w:w="1747"/>
        <w:gridCol w:w="1384"/>
        <w:gridCol w:w="1642"/>
        <w:gridCol w:w="3267"/>
      </w:tblGrid>
      <w:tr>
        <w:tblPrEx>
          <w:tblLayout w:type="fixed"/>
          <w:tblCellMar>
            <w:top w:w="15" w:type="dxa"/>
            <w:left w:w="15" w:type="dxa"/>
            <w:bottom w:w="15" w:type="dxa"/>
            <w:right w:w="15" w:type="dxa"/>
          </w:tblCellMar>
        </w:tblPrEx>
        <w:trPr>
          <w:trHeight w:val="690"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土地类型</w:t>
            </w:r>
          </w:p>
        </w:tc>
        <w:tc>
          <w:tcPr>
            <w:tcW w:w="13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宗地号</w:t>
            </w:r>
          </w:p>
        </w:tc>
        <w:tc>
          <w:tcPr>
            <w:tcW w:w="164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面积（㎡）</w:t>
            </w:r>
          </w:p>
        </w:tc>
        <w:tc>
          <w:tcPr>
            <w:tcW w:w="32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权利人</w:t>
            </w:r>
          </w:p>
        </w:tc>
      </w:tr>
      <w:tr>
        <w:tblPrEx>
          <w:tblLayout w:type="fixed"/>
          <w:tblCellMar>
            <w:top w:w="15" w:type="dxa"/>
            <w:left w:w="15" w:type="dxa"/>
            <w:bottom w:w="15" w:type="dxa"/>
            <w:right w:w="15" w:type="dxa"/>
          </w:tblCellMar>
        </w:tblPrEx>
        <w:trPr>
          <w:trHeight w:val="502"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国有已出让</w:t>
            </w:r>
          </w:p>
        </w:tc>
        <w:tc>
          <w:tcPr>
            <w:tcW w:w="13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G03211-1</w:t>
            </w:r>
          </w:p>
        </w:tc>
        <w:tc>
          <w:tcPr>
            <w:tcW w:w="164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19706.2</w:t>
            </w:r>
          </w:p>
        </w:tc>
        <w:tc>
          <w:tcPr>
            <w:tcW w:w="326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深圳石化集团股份有限公司</w:t>
            </w:r>
          </w:p>
        </w:tc>
      </w:tr>
    </w:tbl>
    <w:p>
      <w:pPr>
        <w:pStyle w:val="3"/>
        <w:spacing w:line="560" w:lineRule="exact"/>
        <w:ind w:firstLine="640" w:firstLineChars="200"/>
        <w:jc w:val="left"/>
        <w:rPr>
          <w:rFonts w:hAnsi="楷体_GB2312" w:cs="楷体_GB2312"/>
          <w:sz w:val="32"/>
        </w:rPr>
      </w:pPr>
      <w:bookmarkStart w:id="34" w:name="_Toc387852331"/>
      <w:r>
        <w:rPr>
          <w:rFonts w:hint="eastAsia" w:hAnsi="楷体_GB2312" w:cs="楷体_GB2312"/>
          <w:sz w:val="32"/>
        </w:rPr>
        <w:t>（二）建筑物状况</w:t>
      </w:r>
      <w:bookmarkEnd w:id="3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建筑物产权登记情况、以及无产权登记的建筑物权利人认定情况，本更新单元拆除范围内共涉及永久性建筑50栋，总建筑面积为18724.25㎡，现状容积率为0.95，用途为住宅，权利人61户。建筑物权属信息见下表：</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建筑物权属信息一览表</w:t>
      </w:r>
    </w:p>
    <w:tbl>
      <w:tblPr>
        <w:tblStyle w:val="10"/>
        <w:tblW w:w="8977" w:type="dxa"/>
        <w:jc w:val="center"/>
        <w:tblInd w:w="0" w:type="dxa"/>
        <w:tblLayout w:type="fixed"/>
        <w:tblCellMar>
          <w:top w:w="0" w:type="dxa"/>
          <w:left w:w="0" w:type="dxa"/>
          <w:bottom w:w="0" w:type="dxa"/>
          <w:right w:w="0" w:type="dxa"/>
        </w:tblCellMar>
      </w:tblPr>
      <w:tblGrid>
        <w:gridCol w:w="738"/>
        <w:gridCol w:w="4643"/>
        <w:gridCol w:w="1418"/>
        <w:gridCol w:w="1264"/>
        <w:gridCol w:w="914"/>
      </w:tblGrid>
      <w:tr>
        <w:tblPrEx>
          <w:tblLayout w:type="fixed"/>
          <w:tblCellMar>
            <w:top w:w="0" w:type="dxa"/>
            <w:left w:w="0" w:type="dxa"/>
            <w:bottom w:w="0" w:type="dxa"/>
            <w:right w:w="0" w:type="dxa"/>
          </w:tblCellMar>
        </w:tblPrEx>
        <w:trPr>
          <w:trHeight w:val="23" w:hRule="atLeast"/>
          <w:tblHeader/>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权利人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房屋编号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建筑面积</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用途</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肖兰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张伟娇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郑伟彬</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郭敬德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黎宏沃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孟欣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孟欣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孟欣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孟欣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赵兴泉</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白璇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徐嫄嫣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21</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赵英</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23</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范邦军</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24</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张召祥、李银英</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25</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100.8</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26</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唐春林、朱翠娥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97.84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27</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97.84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王泽碚</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75.75</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29</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31</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陈振城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35</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36</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潘春来、谢金娣</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39</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罗晖明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吴穗明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41</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张晓英</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43</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张文辉</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44</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王安乐</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45</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47</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张梅玲</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49</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51</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蔄茂建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55</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59</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Huang Ming、李慧红</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61</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刘辉</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63</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南兴福</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64</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李双穗</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65</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67</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陈广祥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孙敏</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69</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梁高训</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71</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余听荣、刘红艳</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黄海斌</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75</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张亿浜</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79</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田忠卫</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81</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丁雅芬</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21栋101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吴京武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21栋201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丁雅芬</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21栋301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21栋401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85</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22栋101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22栋201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87</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22栋301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朱丽华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22栋401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89</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23栋101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23栋201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91</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23栋301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陈广祥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23栋401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24栋101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24栋201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95</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24栋301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24栋401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25栋101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25栋201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99</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25栋301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刘旭红</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25栋401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26栋101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刘健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26栋201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103</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26栋301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104</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陈立意</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26栋401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105</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27栋101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106</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郑琼真、郑宏波、郑宏洲</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27栋201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107</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27栋301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杨明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27栋401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109</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28栋101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28栋201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111</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28栋301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庾用韬、龙双玲</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28栋401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29栋101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29栋201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115</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29栋301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29栋401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30栋101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30栋201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119</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30栋301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98.44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30栋401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121</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31栋101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孙志琴</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31栋201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123</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欧滨鹭</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31栋301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124</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巩轶夫</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31栋401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125</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32栋101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32栋201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127</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卢子丽</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32栋301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温日红</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32栋401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129</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33栋101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101.71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33栋201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98.55</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131</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33栋301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98.55</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132</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33栋401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76.53</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34栋101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101.71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34栋201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98.55</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135</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34栋301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98.55</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34栋401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76.53</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35栋101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35栋201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139</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35栋301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谢如己</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35栋401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141</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深圳赛保尔生物药业有限公司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36栋101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142</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36栋201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143</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36栋301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36栋401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145</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37栋101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37栋201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147</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37栋301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黄佳钦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37栋401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149</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38栋101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38栋201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151</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38栋301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梁俊杰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38栋401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39栋101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39栋201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155</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39栋301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156</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陈奕怀</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39栋401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159</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161</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深圳赛保尔生物药业有限公司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41栋101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162</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41栋201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163</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41栋301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41栋401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165</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42栋101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101.81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42栋201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98.66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167</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42栋301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98.66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梁晓</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42栋401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76.73</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169</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43栋101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43栋201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171</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43栋301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陈奕怀</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43栋401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44栋101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44栋201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175</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44栋301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44栋401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45栋101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45栋201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179</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何友红</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45栋301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陈锦锋</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45栋401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181</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46栋101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182</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46栋201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183</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46栋301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184</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陈佩璇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46栋401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185</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47栋101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186</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47栋201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187</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47栋301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188</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谢孟达</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47栋401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189</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48栋101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190</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48栋201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191</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48栋301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192</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曾昭国、温日花</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48栋401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193</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49栋101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194</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49栋201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195</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49栋301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196</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谢丽卿</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49栋401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197</w:t>
            </w:r>
          </w:p>
        </w:tc>
        <w:tc>
          <w:tcPr>
            <w:tcW w:w="4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深圳市华兴展房地产开发有限公司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50栋101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101.4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198</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50栋201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199</w:t>
            </w:r>
          </w:p>
        </w:tc>
        <w:tc>
          <w:tcPr>
            <w:tcW w:w="4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80" w:lineRule="exact"/>
              <w:jc w:val="center"/>
              <w:rPr>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50栋301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98.26</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r>
        <w:tblPrEx>
          <w:tblLayout w:type="fixed"/>
          <w:tblCellMar>
            <w:top w:w="0" w:type="dxa"/>
            <w:left w:w="0" w:type="dxa"/>
            <w:bottom w:w="0" w:type="dxa"/>
            <w:right w:w="0" w:type="dxa"/>
          </w:tblCellMar>
        </w:tblPrEx>
        <w:trPr>
          <w:trHeight w:val="2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200</w:t>
            </w:r>
          </w:p>
        </w:tc>
        <w:tc>
          <w:tcPr>
            <w:tcW w:w="46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陈振城</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50栋401</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76.32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住宅</w:t>
            </w:r>
          </w:p>
        </w:tc>
      </w:tr>
    </w:tbl>
    <w:p>
      <w:pPr>
        <w:spacing w:line="560" w:lineRule="exact"/>
        <w:jc w:val="center"/>
        <w:rPr>
          <w:rFonts w:ascii="仿宋_GB2312" w:hAnsi="仿宋_GB2312" w:eastAsia="仿宋_GB2312" w:cs="仿宋_GB2312"/>
          <w:bCs/>
          <w:sz w:val="32"/>
          <w:szCs w:val="32"/>
        </w:rPr>
      </w:pPr>
    </w:p>
    <w:p>
      <w:pPr>
        <w:pStyle w:val="2"/>
        <w:spacing w:before="312" w:beforeLines="100" w:after="156" w:afterLines="50" w:line="560" w:lineRule="exact"/>
        <w:rPr>
          <w:rFonts w:ascii="黑体" w:hAnsi="黑体" w:eastAsia="黑体" w:cs="黑体"/>
          <w:b w:val="0"/>
          <w:bCs w:val="0"/>
          <w:sz w:val="32"/>
          <w:szCs w:val="32"/>
        </w:rPr>
      </w:pPr>
      <w:bookmarkStart w:id="35" w:name="_Toc404154014"/>
      <w:r>
        <w:rPr>
          <w:rFonts w:hint="eastAsia" w:ascii="黑体" w:hAnsi="黑体" w:eastAsia="黑体" w:cs="黑体"/>
          <w:b w:val="0"/>
          <w:bCs w:val="0"/>
          <w:sz w:val="32"/>
          <w:szCs w:val="32"/>
        </w:rPr>
        <w:t>三、补偿安置指导标准</w:t>
      </w:r>
      <w:bookmarkEnd w:id="35"/>
    </w:p>
    <w:p>
      <w:pPr>
        <w:pStyle w:val="3"/>
        <w:spacing w:line="560" w:lineRule="exact"/>
        <w:ind w:firstLine="640" w:firstLineChars="200"/>
        <w:jc w:val="left"/>
        <w:rPr>
          <w:rFonts w:hAnsi="楷体_GB2312" w:cs="楷体_GB2312"/>
          <w:sz w:val="32"/>
        </w:rPr>
      </w:pPr>
      <w:bookmarkStart w:id="36" w:name="_Toc404154015"/>
      <w:r>
        <w:rPr>
          <w:rFonts w:hint="eastAsia" w:hAnsi="楷体_GB2312" w:cs="楷体_GB2312"/>
          <w:sz w:val="32"/>
        </w:rPr>
        <w:t>（一）被搬迁房屋价值的补偿</w:t>
      </w:r>
    </w:p>
    <w:bookmarkEnd w:id="36"/>
    <w:p>
      <w:pPr>
        <w:spacing w:line="560" w:lineRule="exact"/>
        <w:ind w:firstLine="640" w:firstLineChars="200"/>
        <w:rPr>
          <w:rFonts w:ascii="仿宋_GB2312" w:hAnsi="仿宋_GB2312" w:eastAsia="仿宋_GB2312" w:cs="仿宋_GB2312"/>
          <w:sz w:val="32"/>
          <w:szCs w:val="32"/>
        </w:rPr>
      </w:pPr>
      <w:bookmarkStart w:id="37" w:name="_Toc404154020"/>
      <w:r>
        <w:rPr>
          <w:rFonts w:hAnsi="楷体_GB2312" w:cs="楷体_GB2312"/>
          <w:sz w:val="32"/>
        </w:rPr>
        <w:t>1</w:t>
      </w:r>
      <w:r>
        <w:rPr>
          <w:rFonts w:hint="eastAsia" w:ascii="仿宋_GB2312" w:hAnsi="仿宋_GB2312" w:eastAsia="仿宋_GB2312" w:cs="仿宋_GB2312"/>
          <w:sz w:val="32"/>
        </w:rPr>
        <w:t>.产权</w:t>
      </w:r>
      <w:bookmarkEnd w:id="37"/>
      <w:r>
        <w:rPr>
          <w:rFonts w:hint="eastAsia" w:ascii="仿宋_GB2312" w:hAnsi="仿宋_GB2312" w:eastAsia="仿宋_GB2312" w:cs="仿宋_GB2312"/>
          <w:sz w:val="32"/>
        </w:rPr>
        <w:t>置换标准</w:t>
      </w:r>
      <w:r>
        <w:rPr>
          <w:rFonts w:hint="eastAsia" w:ascii="仿宋_GB2312" w:hAnsi="仿宋_GB2312" w:eastAsia="仿宋_GB2312" w:cs="仿宋_GB2312"/>
          <w:sz w:val="32"/>
          <w:szCs w:val="32"/>
        </w:rPr>
        <w:t>根据《深圳经济特区城市更新条例》有关规定并结合本项目实际情况制定以下产权置换标准：</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取得房地产权证书及相关权属证明文件的房屋，按被搬迁房屋套内建筑面积1:1置换回迁安置住宅套内建筑面积，若按建筑面积计算的，被搬迁房屋建筑面积1:1.2置换回迁安置房屋的建筑面积。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被搬迁房屋的建筑面积，以房地产权证书及相关权属证明文件记载的为准。</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未取得相关建设</w:t>
      </w:r>
      <w:r>
        <w:rPr>
          <w:rFonts w:ascii="仿宋_GB2312" w:hAnsi="仿宋_GB2312" w:eastAsia="仿宋_GB2312" w:cs="仿宋_GB2312"/>
          <w:sz w:val="32"/>
          <w:szCs w:val="32"/>
        </w:rPr>
        <w:t>批准文件</w:t>
      </w:r>
      <w:r>
        <w:rPr>
          <w:rFonts w:hint="eastAsia" w:ascii="仿宋_GB2312" w:hAnsi="仿宋_GB2312" w:eastAsia="仿宋_GB2312" w:cs="仿宋_GB2312"/>
          <w:sz w:val="32"/>
          <w:szCs w:val="32"/>
        </w:rPr>
        <w:t>的建筑物，不予补偿。</w:t>
      </w:r>
    </w:p>
    <w:p>
      <w:pPr>
        <w:pStyle w:val="3"/>
        <w:spacing w:line="560" w:lineRule="exact"/>
        <w:ind w:firstLine="640" w:firstLineChars="200"/>
        <w:jc w:val="left"/>
        <w:rPr>
          <w:rFonts w:hAnsi="楷体_GB2312" w:cs="楷体_GB2312"/>
          <w:sz w:val="32"/>
        </w:rPr>
      </w:pPr>
      <w:r>
        <w:rPr>
          <w:rFonts w:hAnsi="楷体_GB2312" w:cs="楷体_GB2312"/>
          <w:sz w:val="32"/>
        </w:rPr>
        <w:t>2</w:t>
      </w:r>
      <w:r>
        <w:rPr>
          <w:rFonts w:hint="eastAsia" w:hAnsi="楷体_GB2312" w:cs="楷体_GB2312"/>
          <w:sz w:val="32"/>
        </w:rPr>
        <w:t>.货币补偿标准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以被搬迁房屋的市场评估价为基础，由市场主体和权利人协商确定。</w:t>
      </w:r>
    </w:p>
    <w:p>
      <w:pPr>
        <w:pStyle w:val="3"/>
        <w:spacing w:line="560" w:lineRule="exact"/>
        <w:ind w:firstLine="640" w:firstLineChars="200"/>
        <w:jc w:val="left"/>
        <w:rPr>
          <w:rFonts w:hAnsi="楷体_GB2312" w:cs="楷体_GB2312"/>
          <w:sz w:val="32"/>
        </w:rPr>
      </w:pPr>
      <w:bookmarkStart w:id="38" w:name="_Toc404154021"/>
      <w:bookmarkStart w:id="39" w:name="_Toc390275684"/>
      <w:r>
        <w:rPr>
          <w:rFonts w:hint="eastAsia" w:hAnsi="楷体_GB2312" w:cs="楷体_GB2312"/>
          <w:sz w:val="32"/>
        </w:rPr>
        <w:t>（二）其它</w:t>
      </w:r>
      <w:bookmarkEnd w:id="38"/>
      <w:r>
        <w:rPr>
          <w:rFonts w:hint="eastAsia" w:hAnsi="楷体_GB2312" w:cs="楷体_GB2312"/>
          <w:sz w:val="32"/>
        </w:rPr>
        <w:t>相关补偿</w:t>
      </w:r>
    </w:p>
    <w:bookmarkEnd w:id="39"/>
    <w:p>
      <w:pPr>
        <w:spacing w:line="560" w:lineRule="exact"/>
        <w:ind w:firstLine="640" w:firstLineChars="200"/>
        <w:rPr>
          <w:rFonts w:ascii="仿宋_GB2312" w:hAnsi="仿宋_GB2312" w:eastAsia="仿宋_GB2312" w:cs="仿宋_GB2312"/>
          <w:sz w:val="32"/>
          <w:szCs w:val="32"/>
        </w:rPr>
      </w:pPr>
      <w:bookmarkStart w:id="40" w:name="_Toc390275685"/>
      <w:bookmarkStart w:id="41" w:name="_Toc404154023"/>
      <w:bookmarkStart w:id="42" w:name="_Toc390275686"/>
      <w:bookmarkStart w:id="43" w:name="_Toc404154024"/>
      <w:r>
        <w:rPr>
          <w:rFonts w:hint="eastAsia" w:ascii="仿宋_GB2312" w:hAnsi="仿宋_GB2312" w:eastAsia="仿宋_GB2312" w:cs="仿宋_GB2312"/>
          <w:sz w:val="32"/>
          <w:szCs w:val="32"/>
        </w:rPr>
        <w:t>1．室内</w:t>
      </w:r>
      <w:r>
        <w:rPr>
          <w:rFonts w:ascii="仿宋_GB2312" w:hAnsi="仿宋_GB2312" w:eastAsia="仿宋_GB2312" w:cs="仿宋_GB2312"/>
          <w:sz w:val="32"/>
          <w:szCs w:val="32"/>
        </w:rPr>
        <w:t>自行</w:t>
      </w:r>
      <w:r>
        <w:rPr>
          <w:rFonts w:hint="eastAsia" w:ascii="仿宋_GB2312" w:hAnsi="仿宋_GB2312" w:eastAsia="仿宋_GB2312" w:cs="仿宋_GB2312"/>
          <w:sz w:val="32"/>
          <w:szCs w:val="32"/>
        </w:rPr>
        <w:t>装修装饰费</w:t>
      </w:r>
      <w:bookmarkEnd w:id="40"/>
      <w:bookmarkEnd w:id="4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选择产权置换的,回迁安置房按普通装修标准交付, 被搬迁</w:t>
      </w:r>
      <w:r>
        <w:rPr>
          <w:rFonts w:ascii="仿宋_GB2312" w:hAnsi="仿宋_GB2312" w:eastAsia="仿宋_GB2312" w:cs="仿宋_GB2312"/>
          <w:sz w:val="32"/>
          <w:szCs w:val="32"/>
        </w:rPr>
        <w:t>房屋</w:t>
      </w:r>
      <w:r>
        <w:rPr>
          <w:rFonts w:hint="eastAsia" w:ascii="仿宋_GB2312" w:hAnsi="仿宋_GB2312" w:eastAsia="仿宋_GB2312" w:cs="仿宋_GB2312"/>
          <w:sz w:val="32"/>
          <w:szCs w:val="32"/>
        </w:rPr>
        <w:t>室内</w:t>
      </w:r>
      <w:r>
        <w:rPr>
          <w:rFonts w:ascii="仿宋_GB2312" w:hAnsi="仿宋_GB2312" w:eastAsia="仿宋_GB2312" w:cs="仿宋_GB2312"/>
          <w:sz w:val="32"/>
          <w:szCs w:val="32"/>
        </w:rPr>
        <w:t>自行</w:t>
      </w:r>
      <w:r>
        <w:rPr>
          <w:rFonts w:hint="eastAsia" w:ascii="仿宋_GB2312" w:hAnsi="仿宋_GB2312" w:eastAsia="仿宋_GB2312" w:cs="仿宋_GB2312"/>
          <w:sz w:val="32"/>
          <w:szCs w:val="32"/>
        </w:rPr>
        <w:t>装修装饰费不</w:t>
      </w:r>
      <w:r>
        <w:rPr>
          <w:rFonts w:ascii="仿宋_GB2312" w:hAnsi="仿宋_GB2312" w:eastAsia="仿宋_GB2312" w:cs="仿宋_GB2312"/>
          <w:sz w:val="32"/>
          <w:szCs w:val="32"/>
        </w:rPr>
        <w:t>再</w:t>
      </w:r>
      <w:r>
        <w:rPr>
          <w:rFonts w:hint="eastAsia" w:ascii="仿宋_GB2312" w:hAnsi="仿宋_GB2312" w:eastAsia="仿宋_GB2312" w:cs="仿宋_GB2312"/>
          <w:sz w:val="32"/>
          <w:szCs w:val="32"/>
        </w:rPr>
        <w:t>补偿；选择货币补偿或者选择产权置换回迁安置房要求按毛坯交付的，市场主体与权利人协商确定被搬迁房屋室内</w:t>
      </w:r>
      <w:r>
        <w:rPr>
          <w:rFonts w:ascii="仿宋_GB2312" w:hAnsi="仿宋_GB2312" w:eastAsia="仿宋_GB2312" w:cs="仿宋_GB2312"/>
          <w:sz w:val="32"/>
          <w:szCs w:val="32"/>
        </w:rPr>
        <w:t>自行</w:t>
      </w:r>
      <w:r>
        <w:rPr>
          <w:rFonts w:hint="eastAsia" w:ascii="仿宋_GB2312" w:hAnsi="仿宋_GB2312" w:eastAsia="仿宋_GB2312" w:cs="仿宋_GB2312"/>
          <w:sz w:val="32"/>
          <w:szCs w:val="32"/>
        </w:rPr>
        <w:t>装修装饰费补偿价格。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2.搬迁费</w:t>
      </w:r>
      <w:bookmarkEnd w:id="42"/>
      <w:bookmarkEnd w:id="4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按40元/平方米·次的标准给予搬迁费，选择产权置换的，搬迁费按两次计算；选择货币补偿的，搬迁费按一次计算。</w:t>
      </w:r>
    </w:p>
    <w:p>
      <w:pPr>
        <w:spacing w:line="560" w:lineRule="exact"/>
        <w:ind w:firstLine="640" w:firstLineChars="200"/>
        <w:rPr>
          <w:rFonts w:ascii="仿宋_GB2312" w:hAnsi="仿宋_GB2312" w:eastAsia="仿宋_GB2312" w:cs="仿宋_GB2312"/>
          <w:sz w:val="32"/>
          <w:szCs w:val="32"/>
        </w:rPr>
      </w:pPr>
      <w:bookmarkStart w:id="44" w:name="_Toc390275687"/>
      <w:bookmarkStart w:id="45" w:name="_Toc404154025"/>
      <w:r>
        <w:rPr>
          <w:rFonts w:hint="eastAsia" w:ascii="仿宋_GB2312" w:hAnsi="仿宋_GB2312" w:eastAsia="仿宋_GB2312" w:cs="仿宋_GB2312"/>
          <w:sz w:val="32"/>
          <w:szCs w:val="32"/>
        </w:rPr>
        <w:t>3.临时安置费</w:t>
      </w:r>
      <w:bookmarkEnd w:id="44"/>
      <w:bookmarkEnd w:id="4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按50元/</w:t>
      </w:r>
      <w:r>
        <w:rPr>
          <w:rFonts w:hint="eastAsia" w:ascii="仿宋" w:hAnsi="仿宋" w:eastAsia="仿宋"/>
          <w:sz w:val="32"/>
          <w:szCs w:val="32"/>
        </w:rPr>
        <w:t>平方米</w:t>
      </w:r>
      <w:r>
        <w:rPr>
          <w:rFonts w:hint="eastAsia" w:ascii="仿宋_GB2312" w:hAnsi="仿宋_GB2312" w:eastAsia="仿宋_GB2312" w:cs="仿宋_GB2312"/>
          <w:sz w:val="32"/>
          <w:szCs w:val="32"/>
        </w:rPr>
        <w:t>•月的标准给予临时安置费。本项目过渡期限及延长过渡期限的奖罚，由市场主体及权利人在《拆迁补偿安置协议》中明确。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选择货币补偿的被搬迁房屋，不给予临时安置费。</w:t>
      </w:r>
    </w:p>
    <w:p>
      <w:pPr>
        <w:pStyle w:val="3"/>
        <w:spacing w:line="560" w:lineRule="exact"/>
        <w:ind w:firstLine="640" w:firstLineChars="200"/>
        <w:jc w:val="left"/>
        <w:rPr>
          <w:rFonts w:hAnsi="楷体_GB2312" w:cs="楷体_GB2312"/>
          <w:sz w:val="32"/>
        </w:rPr>
      </w:pPr>
      <w:r>
        <w:rPr>
          <w:rFonts w:hint="eastAsia" w:hAnsi="楷体_GB2312" w:cs="楷体_GB2312"/>
          <w:sz w:val="32"/>
        </w:rPr>
        <w:t>（三）其他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经公开</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确定的市场主体与权利人所签订的《拆迁补偿安置协议》为有效协议，受法律保护。</w:t>
      </w:r>
    </w:p>
    <w:p>
      <w:pPr>
        <w:pStyle w:val="2"/>
        <w:spacing w:before="312" w:beforeLines="100" w:after="156" w:afterLines="50" w:line="560" w:lineRule="exact"/>
        <w:rPr>
          <w:rFonts w:ascii="黑体" w:hAnsi="黑体" w:eastAsia="黑体" w:cs="黑体"/>
          <w:b w:val="0"/>
          <w:bCs w:val="0"/>
          <w:sz w:val="32"/>
          <w:szCs w:val="32"/>
        </w:rPr>
      </w:pPr>
      <w:bookmarkStart w:id="46" w:name="_Toc404154027"/>
      <w:r>
        <w:rPr>
          <w:rFonts w:hint="eastAsia" w:ascii="黑体" w:hAnsi="黑体" w:eastAsia="黑体" w:cs="黑体"/>
          <w:b w:val="0"/>
          <w:bCs w:val="0"/>
          <w:sz w:val="32"/>
          <w:szCs w:val="32"/>
        </w:rPr>
        <w:t>四、回迁安置房建设和交付</w:t>
      </w:r>
      <w:bookmarkEnd w:id="46"/>
    </w:p>
    <w:p>
      <w:pPr>
        <w:pStyle w:val="3"/>
        <w:spacing w:line="560" w:lineRule="exact"/>
        <w:ind w:firstLine="640" w:firstLineChars="200"/>
        <w:jc w:val="left"/>
        <w:rPr>
          <w:rFonts w:hAnsi="楷体_GB2312" w:cs="楷体_GB2312"/>
          <w:sz w:val="32"/>
        </w:rPr>
      </w:pPr>
      <w:bookmarkStart w:id="47" w:name="_Toc404154028"/>
      <w:r>
        <w:rPr>
          <w:rFonts w:hint="eastAsia" w:hAnsi="楷体_GB2312" w:cs="楷体_GB2312"/>
          <w:sz w:val="32"/>
        </w:rPr>
        <w:t>（一）回迁安置房的建设</w:t>
      </w:r>
      <w:bookmarkEnd w:id="4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1．根据前期摸底调查，拆迁范围内权利人选择产权置换情况表如下：</w:t>
      </w:r>
    </w:p>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产权置换情况摸底表</w:t>
      </w:r>
    </w:p>
    <w:tbl>
      <w:tblPr>
        <w:tblStyle w:val="10"/>
        <w:tblW w:w="9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84"/>
        <w:gridCol w:w="1872"/>
        <w:gridCol w:w="4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864" w:type="dxa"/>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序号</w:t>
            </w:r>
          </w:p>
        </w:tc>
        <w:tc>
          <w:tcPr>
            <w:tcW w:w="1784" w:type="dxa"/>
            <w:vAlign w:val="center"/>
          </w:tcPr>
          <w:p>
            <w:p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权利人</w:t>
            </w:r>
          </w:p>
        </w:tc>
        <w:tc>
          <w:tcPr>
            <w:tcW w:w="1872" w:type="dxa"/>
            <w:vAlign w:val="center"/>
          </w:tcPr>
          <w:p>
            <w:pPr>
              <w:autoSpaceDE w:val="0"/>
              <w:autoSpaceDN w:val="0"/>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被搬迁房屋建筑面积</w:t>
            </w:r>
          </w:p>
        </w:tc>
        <w:tc>
          <w:tcPr>
            <w:tcW w:w="4795" w:type="dxa"/>
            <w:vAlign w:val="center"/>
          </w:tcPr>
          <w:p>
            <w:pPr>
              <w:autoSpaceDE w:val="0"/>
              <w:autoSpaceDN w:val="0"/>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意向回迁房屋</w:t>
            </w:r>
          </w:p>
          <w:p>
            <w:pPr>
              <w:autoSpaceDE w:val="0"/>
              <w:autoSpaceDN w:val="0"/>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864" w:type="dxa"/>
            <w:vAlign w:val="center"/>
          </w:tcPr>
          <w:p>
            <w:pPr>
              <w:autoSpaceDE w:val="0"/>
              <w:autoSpaceDN w:val="0"/>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1784" w:type="dxa"/>
            <w:vAlign w:val="center"/>
          </w:tcPr>
          <w:p>
            <w:pPr>
              <w:autoSpaceDE w:val="0"/>
              <w:autoSpaceDN w:val="0"/>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所有业主</w:t>
            </w:r>
          </w:p>
        </w:tc>
        <w:tc>
          <w:tcPr>
            <w:tcW w:w="1872" w:type="dxa"/>
            <w:vAlign w:val="center"/>
          </w:tcPr>
          <w:p>
            <w:pPr>
              <w:autoSpaceDE w:val="0"/>
              <w:autoSpaceDN w:val="0"/>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18724.25</w:t>
            </w:r>
          </w:p>
        </w:tc>
        <w:tc>
          <w:tcPr>
            <w:tcW w:w="4795" w:type="dxa"/>
            <w:vAlign w:val="center"/>
          </w:tcPr>
          <w:p>
            <w:pPr>
              <w:autoSpaceDE w:val="0"/>
              <w:autoSpaceDN w:val="0"/>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共回迁约22469.1㎡</w:t>
            </w:r>
          </w:p>
          <w:p>
            <w:pPr>
              <w:autoSpaceDE w:val="0"/>
              <w:autoSpaceDN w:val="0"/>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（按建筑面积1:1.2测算）</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2．回迁安置房屋将严格按照行业标准进行建设，建成后按照《拆迁补偿安置协议》约定</w:t>
      </w:r>
      <w:r>
        <w:rPr>
          <w:rFonts w:ascii="仿宋_GB2312" w:hAnsi="仿宋_GB2312" w:eastAsia="仿宋_GB2312" w:cs="仿宋_GB2312"/>
          <w:sz w:val="32"/>
          <w:szCs w:val="32"/>
        </w:rPr>
        <w:t>的交付标准</w:t>
      </w:r>
      <w:r>
        <w:rPr>
          <w:rFonts w:hint="eastAsia" w:ascii="仿宋_GB2312" w:hAnsi="仿宋_GB2312" w:eastAsia="仿宋_GB2312" w:cs="仿宋_GB2312"/>
          <w:sz w:val="32"/>
          <w:szCs w:val="32"/>
        </w:rPr>
        <w:t>交付。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3．回迁安置房屋与项目内建成可预售商品房屋共用公共配套设施，包括幼儿园、社区管理用房、社区警务室以及其他配套设施等。</w:t>
      </w:r>
    </w:p>
    <w:p>
      <w:pPr>
        <w:pStyle w:val="3"/>
        <w:spacing w:line="560" w:lineRule="exact"/>
        <w:ind w:firstLine="640" w:firstLineChars="200"/>
        <w:jc w:val="left"/>
        <w:rPr>
          <w:rFonts w:hAnsi="楷体_GB2312" w:cs="楷体_GB2312"/>
          <w:sz w:val="32"/>
        </w:rPr>
      </w:pPr>
      <w:bookmarkStart w:id="48" w:name="_Toc404154029"/>
      <w:r>
        <w:rPr>
          <w:rFonts w:hint="eastAsia" w:hAnsi="楷体_GB2312" w:cs="楷体_GB2312"/>
          <w:sz w:val="32"/>
        </w:rPr>
        <w:t>（二）回迁安置房的交付</w:t>
      </w:r>
      <w:bookmarkEnd w:id="48"/>
    </w:p>
    <w:p>
      <w:pPr>
        <w:spacing w:line="560" w:lineRule="exact"/>
        <w:ind w:firstLine="640" w:firstLineChars="200"/>
        <w:rPr>
          <w:rFonts w:ascii="仿宋_GB2312" w:hAnsi="仿宋_GB2312" w:eastAsia="仿宋_GB2312" w:cs="仿宋_GB2312"/>
          <w:sz w:val="32"/>
          <w:szCs w:val="32"/>
        </w:rPr>
      </w:pPr>
      <w:bookmarkStart w:id="49" w:name="_Toc404154030"/>
      <w:r>
        <w:rPr>
          <w:rFonts w:hint="eastAsia" w:ascii="仿宋_GB2312" w:hAnsi="仿宋_GB2312" w:eastAsia="仿宋_GB2312" w:cs="仿宋_GB2312"/>
          <w:sz w:val="32"/>
          <w:szCs w:val="32"/>
        </w:rPr>
        <w:t>1．选房原则</w:t>
      </w:r>
      <w:bookmarkEnd w:id="49"/>
    </w:p>
    <w:p>
      <w:pPr>
        <w:spacing w:line="560" w:lineRule="exact"/>
        <w:ind w:firstLine="640" w:firstLineChars="200"/>
        <w:rPr>
          <w:rFonts w:ascii="仿宋_GB2312" w:hAnsi="仿宋_GB2312" w:eastAsia="仿宋_GB2312" w:cs="仿宋_GB2312"/>
          <w:sz w:val="32"/>
          <w:szCs w:val="32"/>
        </w:rPr>
      </w:pPr>
      <w:bookmarkStart w:id="50" w:name="_Toc404154031"/>
      <w:r>
        <w:rPr>
          <w:rFonts w:hint="eastAsia" w:ascii="仿宋_GB2312" w:hAnsi="仿宋_GB2312" w:eastAsia="仿宋_GB2312" w:cs="仿宋_GB2312"/>
          <w:sz w:val="32"/>
          <w:szCs w:val="32"/>
        </w:rPr>
        <w:t>由市场主体和权利人在《拆迁补偿安置协议》中明确。</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选房</w:t>
      </w:r>
      <w:bookmarkEnd w:id="50"/>
      <w:r>
        <w:rPr>
          <w:rFonts w:hint="eastAsia" w:ascii="仿宋_GB2312" w:hAnsi="仿宋_GB2312" w:eastAsia="仿宋_GB2312" w:cs="仿宋_GB2312"/>
          <w:sz w:val="32"/>
          <w:szCs w:val="32"/>
        </w:rPr>
        <w:t>程序</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由市场主体和权利人在《拆迁补偿安置协议》中明确。</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回迁房面积结差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产权置换的实际面积不得少于约定面积，因误差导致超出面积在百分之三以内的，权利人可以不再支付超出面积部分的房价。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4、回迁房产权登记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本项目房屋办理初始登记后，市场主体应当及时为权利人办理回迁房屋产权登记,回迁房屋产权性质为商品性质（红本）,土地使用年限以政府主管部门的审批为准。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5.回迁房办证税费承担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本项目回迁安置建筑面积不超过应补偿安置建筑面积的部分，办证税费由市场主体承担；回迁安置建筑面积大于应补偿安置建筑面积的部分，办证税费由市场主体与权利人双方协商确定。</w:t>
      </w:r>
    </w:p>
    <w:p>
      <w:pPr>
        <w:pStyle w:val="2"/>
        <w:spacing w:before="312" w:beforeLines="100" w:after="156" w:afterLines="50" w:line="560" w:lineRule="exact"/>
        <w:rPr>
          <w:rFonts w:ascii="黑体" w:hAnsi="黑体" w:eastAsia="黑体" w:cs="黑体"/>
          <w:b w:val="0"/>
          <w:bCs w:val="0"/>
          <w:sz w:val="32"/>
          <w:szCs w:val="32"/>
        </w:rPr>
      </w:pPr>
      <w:bookmarkStart w:id="51" w:name="_Toc404154037"/>
      <w:r>
        <w:rPr>
          <w:rFonts w:hint="eastAsia" w:ascii="黑体" w:hAnsi="黑体" w:eastAsia="黑体" w:cs="黑体"/>
          <w:b w:val="0"/>
          <w:bCs w:val="0"/>
          <w:sz w:val="32"/>
          <w:szCs w:val="32"/>
        </w:rPr>
        <w:t>五、保障措施</w:t>
      </w:r>
      <w:bookmarkEnd w:id="51"/>
    </w:p>
    <w:p>
      <w:pPr>
        <w:pStyle w:val="3"/>
        <w:spacing w:line="560" w:lineRule="exact"/>
        <w:ind w:firstLine="640" w:firstLineChars="200"/>
        <w:jc w:val="left"/>
        <w:rPr>
          <w:rFonts w:hint="eastAsia" w:hAnsi="楷体_GB2312" w:cs="楷体_GB2312"/>
          <w:sz w:val="32"/>
        </w:rPr>
      </w:pPr>
      <w:bookmarkStart w:id="52" w:name="_Toc404154038"/>
      <w:r>
        <w:rPr>
          <w:rFonts w:hint="eastAsia" w:hAnsi="楷体_GB2312" w:cs="楷体_GB2312"/>
          <w:sz w:val="32"/>
        </w:rPr>
        <w:t>（一）资金监管措施</w:t>
      </w:r>
      <w:bookmarkEnd w:id="52"/>
    </w:p>
    <w:p>
      <w:pPr>
        <w:spacing w:line="560" w:lineRule="exact"/>
        <w:ind w:firstLine="647"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回迁房过渡费及回迁房建设资金监管</w:t>
      </w:r>
    </w:p>
    <w:p>
      <w:pPr>
        <w:spacing w:line="560" w:lineRule="exact"/>
        <w:ind w:firstLine="647"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回迁安置房按期建设及业主过渡期得到有效保障，减少及避免因过渡期租金及安置房逾期建设问题引发社会矛盾，在实施主体确定后，设立回迁过渡费及回迁房建设监管资金专账，开户单位为实施主体，由项目辖区街道办日常监管，专项用于回迁过渡费及回迁安置房建设，动态核算管理，并按进度拨付,回迁安置房竣工交付使用后，解除资金监管。</w:t>
      </w:r>
    </w:p>
    <w:p>
      <w:pPr>
        <w:pStyle w:val="3"/>
        <w:spacing w:line="560" w:lineRule="exact"/>
        <w:ind w:firstLine="640" w:firstLineChars="200"/>
        <w:jc w:val="left"/>
        <w:rPr>
          <w:rFonts w:hAnsi="楷体_GB2312" w:cs="楷体_GB2312"/>
          <w:sz w:val="32"/>
        </w:rPr>
      </w:pPr>
      <w:bookmarkStart w:id="53" w:name="_Toc404154039"/>
      <w:bookmarkStart w:id="54" w:name="_Toc387852345"/>
      <w:r>
        <w:rPr>
          <w:rFonts w:hint="eastAsia" w:hAnsi="楷体_GB2312" w:cs="楷体_GB2312"/>
          <w:sz w:val="32"/>
        </w:rPr>
        <w:t>（二）工作制度</w:t>
      </w:r>
      <w:bookmarkEnd w:id="53"/>
      <w:bookmarkEnd w:id="54"/>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1.工作进度汇报与通报制度</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项目建立汇报与通报制度，保证信息通畅的“上行下达”，项目经理部定时向坂田街道办事处汇报补偿及搬迁进展，坂田街道办事处定期向城市更新主管部门通报项目进度。</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2.工作会议制度</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项目建立例会与专项会议制度，对日常工作的总结回顾及布置安排实行项目经理部的周例会制，集中签约补偿期和集中搬迁期可实行日例会制，项目经理部针对各谈判组的个案疑难问题按时举行专项会议，研究指导谈判及搬迁工作。</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3.档案管理制度</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项目建立完整的档案管理制度，保障项目资料“可查可追溯”，日常会议、签约谈判记录、签约合同文档、业主提交资料等项目资料由档案组建档管理。</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4.资金管理制度</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项目建立及时高效的资金管理制度，对涉及补偿金提前做好预算管理，提前在搬迁补偿监管专户中预备资金，对各补偿项目支付做好资金使用计划。</w:t>
      </w:r>
    </w:p>
    <w:p>
      <w:pPr>
        <w:pStyle w:val="2"/>
        <w:spacing w:before="312" w:beforeLines="100" w:after="156" w:afterLines="50" w:line="560" w:lineRule="exact"/>
        <w:rPr>
          <w:rFonts w:ascii="黑体" w:hAnsi="黑体" w:eastAsia="黑体" w:cs="黑体"/>
          <w:b w:val="0"/>
          <w:sz w:val="32"/>
          <w:szCs w:val="32"/>
        </w:rPr>
      </w:pPr>
      <w:r>
        <w:rPr>
          <w:rFonts w:hint="eastAsia" w:ascii="黑体" w:hAnsi="黑体" w:eastAsia="黑体" w:cs="黑体"/>
          <w:b w:val="0"/>
          <w:sz w:val="32"/>
          <w:szCs w:val="32"/>
        </w:rPr>
        <w:t>六、其他</w:t>
      </w:r>
    </w:p>
    <w:p>
      <w:pPr>
        <w:spacing w:line="560" w:lineRule="exact"/>
        <w:ind w:firstLine="640" w:firstLineChars="200"/>
      </w:pPr>
      <w:r>
        <w:rPr>
          <w:rFonts w:hint="eastAsia" w:ascii="仿宋_GB2312" w:hAnsi="仿宋_GB2312" w:eastAsia="仿宋_GB2312" w:cs="仿宋_GB2312"/>
          <w:sz w:val="32"/>
          <w:szCs w:val="32"/>
        </w:rPr>
        <w:t>坂田街道办事处负责本方案的解释，本方案中未尽事宜，按照深圳市城市更新相关法律政策执行。本方案经专有部分面积占比百分之九十五以上且占总人数百分之九十五以上的物业权利人同意后实施。</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1.拆迁与开发建设用地范围图</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2.地块划分与指标控制图</w:t>
      </w:r>
    </w:p>
    <w:p>
      <w:pPr>
        <w:spacing w:line="560" w:lineRule="exact"/>
        <w:ind w:firstLine="647"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3.土地权属图</w:t>
      </w:r>
    </w:p>
    <w:bookmarkEnd w:id="1"/>
    <w:bookmarkEnd w:id="2"/>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ind w:firstLine="647"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附件一： 拆迁与开发建设用地范围图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683885" cy="5088890"/>
            <wp:effectExtent l="0" t="0" r="635" b="1270"/>
            <wp:docPr id="3" name="图片 3" descr="b90f08e1bdc16fdf3754e13934cc3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0f08e1bdc16fdf3754e13934cc3da"/>
                    <pic:cNvPicPr>
                      <a:picLocks noChangeAspect="1"/>
                    </pic:cNvPicPr>
                  </pic:nvPicPr>
                  <pic:blipFill>
                    <a:blip r:embed="rId6"/>
                    <a:stretch>
                      <a:fillRect/>
                    </a:stretch>
                  </pic:blipFill>
                  <pic:spPr>
                    <a:xfrm>
                      <a:off x="0" y="0"/>
                      <a:ext cx="5683885" cy="5088890"/>
                    </a:xfrm>
                    <a:prstGeom prst="rect">
                      <a:avLst/>
                    </a:prstGeom>
                  </pic:spPr>
                </pic:pic>
              </a:graphicData>
            </a:graphic>
          </wp:inline>
        </w:drawing>
      </w:r>
    </w:p>
    <w:p>
      <w:pPr>
        <w:spacing w:line="560" w:lineRule="exact"/>
        <w:ind w:firstLine="647" w:firstLineChars="202"/>
        <w:rPr>
          <w:rFonts w:ascii="仿宋_GB2312" w:hAnsi="仿宋_GB2312" w:eastAsia="仿宋_GB2312" w:cs="仿宋_GB2312"/>
          <w:sz w:val="32"/>
          <w:szCs w:val="32"/>
        </w:rPr>
      </w:pPr>
    </w:p>
    <w:p>
      <w:pPr>
        <w:spacing w:line="560" w:lineRule="exact"/>
        <w:ind w:firstLine="647" w:firstLineChars="202"/>
        <w:rPr>
          <w:rFonts w:ascii="仿宋_GB2312" w:hAnsi="仿宋_GB2312" w:eastAsia="仿宋_GB2312" w:cs="仿宋_GB2312"/>
          <w:sz w:val="32"/>
          <w:szCs w:val="32"/>
        </w:rPr>
      </w:pPr>
    </w:p>
    <w:p>
      <w:pPr>
        <w:spacing w:line="560" w:lineRule="exact"/>
        <w:ind w:firstLine="647" w:firstLineChars="202"/>
        <w:rPr>
          <w:rFonts w:ascii="仿宋_GB2312" w:hAnsi="仿宋_GB2312" w:eastAsia="仿宋_GB2312" w:cs="仿宋_GB2312"/>
          <w:sz w:val="32"/>
          <w:szCs w:val="32"/>
        </w:rPr>
      </w:pPr>
    </w:p>
    <w:p>
      <w:pPr>
        <w:spacing w:line="560" w:lineRule="exact"/>
        <w:ind w:firstLine="647" w:firstLineChars="202"/>
        <w:rPr>
          <w:rFonts w:ascii="仿宋_GB2312" w:hAnsi="仿宋_GB2312" w:eastAsia="仿宋_GB2312" w:cs="仿宋_GB2312"/>
          <w:sz w:val="32"/>
          <w:szCs w:val="32"/>
        </w:rPr>
      </w:pPr>
    </w:p>
    <w:p>
      <w:pPr>
        <w:spacing w:line="560" w:lineRule="exact"/>
        <w:ind w:firstLine="647" w:firstLineChars="202"/>
        <w:rPr>
          <w:rFonts w:ascii="仿宋_GB2312" w:hAnsi="仿宋_GB2312" w:eastAsia="仿宋_GB2312" w:cs="仿宋_GB2312"/>
          <w:sz w:val="32"/>
          <w:szCs w:val="32"/>
        </w:rPr>
      </w:pPr>
    </w:p>
    <w:p>
      <w:pPr>
        <w:spacing w:line="560" w:lineRule="exact"/>
        <w:ind w:firstLine="647" w:firstLineChars="202"/>
        <w:rPr>
          <w:rFonts w:ascii="仿宋_GB2312" w:hAnsi="仿宋_GB2312" w:eastAsia="仿宋_GB2312" w:cs="仿宋_GB2312"/>
          <w:sz w:val="32"/>
          <w:szCs w:val="32"/>
        </w:rPr>
      </w:pPr>
    </w:p>
    <w:p>
      <w:pPr>
        <w:spacing w:line="560" w:lineRule="exact"/>
        <w:ind w:firstLine="647" w:firstLineChars="202"/>
        <w:rPr>
          <w:rFonts w:ascii="仿宋_GB2312" w:hAnsi="仿宋_GB2312" w:eastAsia="仿宋_GB2312" w:cs="仿宋_GB2312"/>
          <w:sz w:val="32"/>
          <w:szCs w:val="32"/>
        </w:rPr>
      </w:pPr>
    </w:p>
    <w:p>
      <w:pPr>
        <w:spacing w:line="560" w:lineRule="exact"/>
        <w:ind w:firstLine="647" w:firstLineChars="202"/>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附件二： 地块划分与指标控制图</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683885" cy="4201160"/>
            <wp:effectExtent l="0" t="0" r="635" b="5080"/>
            <wp:docPr id="1" name="图片 1" descr="地块划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块划分图"/>
                    <pic:cNvPicPr>
                      <a:picLocks noChangeAspect="1"/>
                    </pic:cNvPicPr>
                  </pic:nvPicPr>
                  <pic:blipFill>
                    <a:blip r:embed="rId7"/>
                    <a:stretch>
                      <a:fillRect/>
                    </a:stretch>
                  </pic:blipFill>
                  <pic:spPr>
                    <a:xfrm>
                      <a:off x="0" y="0"/>
                      <a:ext cx="5683885" cy="4201160"/>
                    </a:xfrm>
                    <a:prstGeom prst="rect">
                      <a:avLst/>
                    </a:prstGeom>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附件三： 土地权属图</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5687695" cy="6179185"/>
            <wp:effectExtent l="0" t="0" r="8255" b="12065"/>
            <wp:docPr id="2" name="图片 2" descr="1614323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4323872(1)"/>
                    <pic:cNvPicPr>
                      <a:picLocks noChangeAspect="1"/>
                    </pic:cNvPicPr>
                  </pic:nvPicPr>
                  <pic:blipFill>
                    <a:blip r:embed="rId8"/>
                    <a:stretch>
                      <a:fillRect/>
                    </a:stretch>
                  </pic:blipFill>
                  <pic:spPr>
                    <a:xfrm>
                      <a:off x="0" y="0"/>
                      <a:ext cx="5687695" cy="6179185"/>
                    </a:xfrm>
                    <a:prstGeom prst="rect">
                      <a:avLst/>
                    </a:prstGeom>
                  </pic:spPr>
                </pic:pic>
              </a:graphicData>
            </a:graphic>
          </wp:inline>
        </w:drawing>
      </w:r>
    </w:p>
    <w:sectPr>
      <w:headerReference r:id="rId3" w:type="default"/>
      <w:footerReference r:id="rId4" w:type="default"/>
      <w:pgSz w:w="11906" w:h="16838"/>
      <w:pgMar w:top="1587" w:right="1474" w:bottom="1587" w:left="1474" w:header="851" w:footer="992" w:gutter="0"/>
      <w:cols w:space="0" w:num="1"/>
      <w:docGrid w:type="linesAndChars" w:linePitch="312" w:charSpace="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9134286"/>
    </w:sdtPr>
    <w:sdtEndPr>
      <w:rPr>
        <w:rFonts w:asciiTheme="minorEastAsia" w:hAnsiTheme="minorEastAsia"/>
        <w:sz w:val="24"/>
        <w:szCs w:val="24"/>
      </w:rPr>
    </w:sdtEndPr>
    <w:sdtContent>
      <w:p>
        <w:pPr>
          <w:pStyle w:val="5"/>
          <w:jc w:val="righ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16</w:t>
        </w:r>
        <w:r>
          <w:rPr>
            <w:rFonts w:asciiTheme="minorEastAsia" w:hAnsiTheme="minorEastAsia"/>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9F040"/>
    <w:multiLevelType w:val="singleLevel"/>
    <w:tmpl w:val="9829F040"/>
    <w:lvl w:ilvl="0" w:tentative="0">
      <w:start w:val="2"/>
      <w:numFmt w:val="decimal"/>
      <w:suff w:val="nothing"/>
      <w:lvlText w:val="%1．"/>
      <w:lvlJc w:val="left"/>
    </w:lvl>
  </w:abstractNum>
  <w:abstractNum w:abstractNumId="1">
    <w:nsid w:val="01E47F92"/>
    <w:multiLevelType w:val="singleLevel"/>
    <w:tmpl w:val="01E47F9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72460"/>
    <w:rsid w:val="00050138"/>
    <w:rsid w:val="00053613"/>
    <w:rsid w:val="00082C52"/>
    <w:rsid w:val="00082F7B"/>
    <w:rsid w:val="000A4565"/>
    <w:rsid w:val="000D0AA3"/>
    <w:rsid w:val="00131B54"/>
    <w:rsid w:val="0013456E"/>
    <w:rsid w:val="00171DD2"/>
    <w:rsid w:val="00194E9B"/>
    <w:rsid w:val="001A5A2C"/>
    <w:rsid w:val="001B1AD3"/>
    <w:rsid w:val="001B4CC2"/>
    <w:rsid w:val="001E41D0"/>
    <w:rsid w:val="0024756F"/>
    <w:rsid w:val="00270D01"/>
    <w:rsid w:val="0028272E"/>
    <w:rsid w:val="00291A9D"/>
    <w:rsid w:val="002A2A2E"/>
    <w:rsid w:val="002A70A2"/>
    <w:rsid w:val="002B008C"/>
    <w:rsid w:val="002D7E4B"/>
    <w:rsid w:val="002F4448"/>
    <w:rsid w:val="0033273A"/>
    <w:rsid w:val="00355BD2"/>
    <w:rsid w:val="00357F52"/>
    <w:rsid w:val="00362078"/>
    <w:rsid w:val="0036712A"/>
    <w:rsid w:val="00396514"/>
    <w:rsid w:val="003B072E"/>
    <w:rsid w:val="003B22FC"/>
    <w:rsid w:val="003D3FC3"/>
    <w:rsid w:val="004074B0"/>
    <w:rsid w:val="0045385C"/>
    <w:rsid w:val="00464808"/>
    <w:rsid w:val="00476A51"/>
    <w:rsid w:val="004E3B3D"/>
    <w:rsid w:val="005227C5"/>
    <w:rsid w:val="005340F3"/>
    <w:rsid w:val="00537F67"/>
    <w:rsid w:val="00544825"/>
    <w:rsid w:val="005611CB"/>
    <w:rsid w:val="00573E0F"/>
    <w:rsid w:val="005C7AD0"/>
    <w:rsid w:val="00605EA2"/>
    <w:rsid w:val="0060663F"/>
    <w:rsid w:val="00613FD5"/>
    <w:rsid w:val="0061745A"/>
    <w:rsid w:val="00624136"/>
    <w:rsid w:val="0064756C"/>
    <w:rsid w:val="00656F2E"/>
    <w:rsid w:val="0066568C"/>
    <w:rsid w:val="006979E0"/>
    <w:rsid w:val="006D6001"/>
    <w:rsid w:val="006D6465"/>
    <w:rsid w:val="006E655A"/>
    <w:rsid w:val="007535C4"/>
    <w:rsid w:val="00765289"/>
    <w:rsid w:val="00772BD4"/>
    <w:rsid w:val="007D6255"/>
    <w:rsid w:val="007E0322"/>
    <w:rsid w:val="0082498B"/>
    <w:rsid w:val="00855E59"/>
    <w:rsid w:val="00891BD7"/>
    <w:rsid w:val="008924CE"/>
    <w:rsid w:val="008935E7"/>
    <w:rsid w:val="00895AC5"/>
    <w:rsid w:val="008A199B"/>
    <w:rsid w:val="008A62EF"/>
    <w:rsid w:val="008A68DD"/>
    <w:rsid w:val="008B440F"/>
    <w:rsid w:val="008D60A9"/>
    <w:rsid w:val="008E2738"/>
    <w:rsid w:val="008F14A2"/>
    <w:rsid w:val="00905F6C"/>
    <w:rsid w:val="009143B7"/>
    <w:rsid w:val="00922F0C"/>
    <w:rsid w:val="00925D54"/>
    <w:rsid w:val="00941E47"/>
    <w:rsid w:val="00941FB3"/>
    <w:rsid w:val="009437A7"/>
    <w:rsid w:val="00943D6A"/>
    <w:rsid w:val="00980A15"/>
    <w:rsid w:val="00996272"/>
    <w:rsid w:val="009D626E"/>
    <w:rsid w:val="009E1EB8"/>
    <w:rsid w:val="00A0611B"/>
    <w:rsid w:val="00A11F0F"/>
    <w:rsid w:val="00A26158"/>
    <w:rsid w:val="00A35A9F"/>
    <w:rsid w:val="00A664C4"/>
    <w:rsid w:val="00A8364F"/>
    <w:rsid w:val="00AD7E25"/>
    <w:rsid w:val="00B03497"/>
    <w:rsid w:val="00B40A45"/>
    <w:rsid w:val="00B50FF6"/>
    <w:rsid w:val="00B731F2"/>
    <w:rsid w:val="00BB7932"/>
    <w:rsid w:val="00BE3E37"/>
    <w:rsid w:val="00C50A12"/>
    <w:rsid w:val="00C64DC7"/>
    <w:rsid w:val="00C962A4"/>
    <w:rsid w:val="00CA145E"/>
    <w:rsid w:val="00CB5473"/>
    <w:rsid w:val="00CE1104"/>
    <w:rsid w:val="00CF52C0"/>
    <w:rsid w:val="00D175F9"/>
    <w:rsid w:val="00D25B3D"/>
    <w:rsid w:val="00D42C9A"/>
    <w:rsid w:val="00D46898"/>
    <w:rsid w:val="00D52A81"/>
    <w:rsid w:val="00DA6243"/>
    <w:rsid w:val="00DD3D4F"/>
    <w:rsid w:val="00E10633"/>
    <w:rsid w:val="00E205D6"/>
    <w:rsid w:val="00E57FB8"/>
    <w:rsid w:val="00EC1891"/>
    <w:rsid w:val="00EC5B41"/>
    <w:rsid w:val="00F10047"/>
    <w:rsid w:val="00F10DEA"/>
    <w:rsid w:val="00F26FC5"/>
    <w:rsid w:val="00F45305"/>
    <w:rsid w:val="00F57A22"/>
    <w:rsid w:val="00F765D0"/>
    <w:rsid w:val="00F82637"/>
    <w:rsid w:val="00F911CC"/>
    <w:rsid w:val="00F943B6"/>
    <w:rsid w:val="00FB1CDC"/>
    <w:rsid w:val="00FE488F"/>
    <w:rsid w:val="00FF27E3"/>
    <w:rsid w:val="01196CCE"/>
    <w:rsid w:val="01E776EA"/>
    <w:rsid w:val="03B52012"/>
    <w:rsid w:val="03FE1B4E"/>
    <w:rsid w:val="043C5EDC"/>
    <w:rsid w:val="0464182F"/>
    <w:rsid w:val="04D71C79"/>
    <w:rsid w:val="05207C01"/>
    <w:rsid w:val="05705362"/>
    <w:rsid w:val="078B6A98"/>
    <w:rsid w:val="07E91CBF"/>
    <w:rsid w:val="09423E09"/>
    <w:rsid w:val="0A14707C"/>
    <w:rsid w:val="0BE303F8"/>
    <w:rsid w:val="0D137567"/>
    <w:rsid w:val="0EAF4B52"/>
    <w:rsid w:val="0F4C75DD"/>
    <w:rsid w:val="10FA15F7"/>
    <w:rsid w:val="11357CB9"/>
    <w:rsid w:val="122B6842"/>
    <w:rsid w:val="12EF38FB"/>
    <w:rsid w:val="12FF3DB1"/>
    <w:rsid w:val="13E07883"/>
    <w:rsid w:val="147C24DF"/>
    <w:rsid w:val="148C2E0A"/>
    <w:rsid w:val="14AD5B93"/>
    <w:rsid w:val="14E96070"/>
    <w:rsid w:val="14F631FF"/>
    <w:rsid w:val="15314889"/>
    <w:rsid w:val="15351F1A"/>
    <w:rsid w:val="15486A90"/>
    <w:rsid w:val="161933EF"/>
    <w:rsid w:val="16A3313B"/>
    <w:rsid w:val="16F45C39"/>
    <w:rsid w:val="17003396"/>
    <w:rsid w:val="17426089"/>
    <w:rsid w:val="17713A95"/>
    <w:rsid w:val="17A81677"/>
    <w:rsid w:val="18963D43"/>
    <w:rsid w:val="1AF17B4B"/>
    <w:rsid w:val="1B51590A"/>
    <w:rsid w:val="1B750E5F"/>
    <w:rsid w:val="1D6842E7"/>
    <w:rsid w:val="1DD22321"/>
    <w:rsid w:val="1FD9087E"/>
    <w:rsid w:val="20A95793"/>
    <w:rsid w:val="222704A4"/>
    <w:rsid w:val="22AA577C"/>
    <w:rsid w:val="22BC515F"/>
    <w:rsid w:val="23827702"/>
    <w:rsid w:val="2432077E"/>
    <w:rsid w:val="245D77C3"/>
    <w:rsid w:val="26FA625F"/>
    <w:rsid w:val="28D500B0"/>
    <w:rsid w:val="29612DD3"/>
    <w:rsid w:val="2B6C4A51"/>
    <w:rsid w:val="2C61101D"/>
    <w:rsid w:val="2FD62218"/>
    <w:rsid w:val="31290D6B"/>
    <w:rsid w:val="31715931"/>
    <w:rsid w:val="32631887"/>
    <w:rsid w:val="331A7109"/>
    <w:rsid w:val="33D05BCB"/>
    <w:rsid w:val="39817E65"/>
    <w:rsid w:val="3ABC2A08"/>
    <w:rsid w:val="3AC719C5"/>
    <w:rsid w:val="3BE65487"/>
    <w:rsid w:val="3E8D5C6E"/>
    <w:rsid w:val="3F4E3ECA"/>
    <w:rsid w:val="3F582602"/>
    <w:rsid w:val="40915B05"/>
    <w:rsid w:val="40B021AA"/>
    <w:rsid w:val="41714A29"/>
    <w:rsid w:val="417166D6"/>
    <w:rsid w:val="430D2CEE"/>
    <w:rsid w:val="45D7314D"/>
    <w:rsid w:val="47110A39"/>
    <w:rsid w:val="473E2E1E"/>
    <w:rsid w:val="47445A0F"/>
    <w:rsid w:val="491E6339"/>
    <w:rsid w:val="4B627F26"/>
    <w:rsid w:val="4B9405CB"/>
    <w:rsid w:val="4BBD1538"/>
    <w:rsid w:val="4BD843C5"/>
    <w:rsid w:val="4BDD29B5"/>
    <w:rsid w:val="4CA55555"/>
    <w:rsid w:val="4CF10DC7"/>
    <w:rsid w:val="4D9F0F17"/>
    <w:rsid w:val="4E1B079F"/>
    <w:rsid w:val="4EB33004"/>
    <w:rsid w:val="4ED15B12"/>
    <w:rsid w:val="4F5141EB"/>
    <w:rsid w:val="504123A7"/>
    <w:rsid w:val="50797C4C"/>
    <w:rsid w:val="52F61363"/>
    <w:rsid w:val="54C9272E"/>
    <w:rsid w:val="56011B97"/>
    <w:rsid w:val="575026A7"/>
    <w:rsid w:val="5ACD0CD4"/>
    <w:rsid w:val="5BE32EE1"/>
    <w:rsid w:val="5D5711B2"/>
    <w:rsid w:val="60A431DE"/>
    <w:rsid w:val="63E41267"/>
    <w:rsid w:val="665D3B69"/>
    <w:rsid w:val="67911EB3"/>
    <w:rsid w:val="69484CAD"/>
    <w:rsid w:val="69A030D4"/>
    <w:rsid w:val="6A103F13"/>
    <w:rsid w:val="6AA93E4D"/>
    <w:rsid w:val="6C181ED9"/>
    <w:rsid w:val="6CA93D42"/>
    <w:rsid w:val="6E2A42E5"/>
    <w:rsid w:val="6E562C67"/>
    <w:rsid w:val="6E7630C8"/>
    <w:rsid w:val="6FEC6D3D"/>
    <w:rsid w:val="706F33F2"/>
    <w:rsid w:val="7189220A"/>
    <w:rsid w:val="730805C6"/>
    <w:rsid w:val="747616EA"/>
    <w:rsid w:val="76B31EAA"/>
    <w:rsid w:val="76C72460"/>
    <w:rsid w:val="76CB24B2"/>
    <w:rsid w:val="7984572A"/>
    <w:rsid w:val="7BCF6516"/>
    <w:rsid w:val="7CAA56B3"/>
    <w:rsid w:val="7D667051"/>
    <w:rsid w:val="7E4E1DF8"/>
    <w:rsid w:val="7EBF755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30" w:lineRule="exact"/>
      <w:jc w:val="center"/>
      <w:outlineLvl w:val="0"/>
    </w:pPr>
    <w:rPr>
      <w:rFonts w:ascii="宋体"/>
      <w:b/>
      <w:bCs/>
      <w:kern w:val="44"/>
      <w:sz w:val="36"/>
      <w:szCs w:val="44"/>
    </w:rPr>
  </w:style>
  <w:style w:type="paragraph" w:styleId="3">
    <w:name w:val="heading 2"/>
    <w:basedOn w:val="1"/>
    <w:next w:val="1"/>
    <w:qFormat/>
    <w:uiPriority w:val="0"/>
    <w:pPr>
      <w:keepNext/>
      <w:keepLines/>
      <w:spacing w:line="420" w:lineRule="exact"/>
      <w:jc w:val="center"/>
      <w:outlineLvl w:val="1"/>
    </w:pPr>
    <w:rPr>
      <w:rFonts w:ascii="楷体_GB2312" w:hAnsi="Arial" w:eastAsia="楷体_GB2312"/>
      <w:bCs/>
      <w:sz w:val="24"/>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宋体" w:hAnsi="宋体" w:cs="Times New Roman"/>
      <w:kern w:val="0"/>
      <w:sz w:val="24"/>
    </w:rPr>
  </w:style>
  <w:style w:type="character" w:styleId="9">
    <w:name w:val="page number"/>
    <w:qFormat/>
    <w:uiPriority w:val="0"/>
  </w:style>
  <w:style w:type="character" w:customStyle="1" w:styleId="11">
    <w:name w:val="msoins"/>
    <w:basedOn w:val="8"/>
    <w:qFormat/>
    <w:uiPriority w:val="0"/>
    <w:rPr>
      <w:color w:val="0000FF"/>
      <w:u w:val="single"/>
    </w:rPr>
  </w:style>
  <w:style w:type="character" w:customStyle="1" w:styleId="12">
    <w:name w:val="msodel"/>
    <w:basedOn w:val="8"/>
    <w:qFormat/>
    <w:uiPriority w:val="0"/>
    <w:rPr>
      <w:strike/>
      <w:color w:val="FF0000"/>
    </w:rPr>
  </w:style>
  <w:style w:type="character" w:customStyle="1" w:styleId="13">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4">
    <w:name w:val="页眉 Char"/>
    <w:basedOn w:val="8"/>
    <w:link w:val="6"/>
    <w:qFormat/>
    <w:uiPriority w:val="0"/>
    <w:rPr>
      <w:rFonts w:asciiTheme="minorHAnsi" w:hAnsiTheme="minorHAnsi" w:eastAsiaTheme="minorEastAsia" w:cstheme="minorBidi"/>
      <w:kern w:val="2"/>
      <w:sz w:val="18"/>
      <w:szCs w:val="18"/>
    </w:rPr>
  </w:style>
  <w:style w:type="character" w:customStyle="1" w:styleId="15">
    <w:name w:val="页脚 Char"/>
    <w:basedOn w:val="8"/>
    <w:link w:val="5"/>
    <w:qFormat/>
    <w:uiPriority w:val="99"/>
    <w:rPr>
      <w:rFonts w:asciiTheme="minorHAnsi" w:hAnsiTheme="minorHAnsi" w:eastAsiaTheme="minorEastAsia" w:cstheme="minorBidi"/>
      <w:kern w:val="2"/>
      <w:sz w:val="18"/>
      <w:szCs w:val="18"/>
    </w:rPr>
  </w:style>
  <w:style w:type="character" w:customStyle="1" w:styleId="16">
    <w:name w:val="font01"/>
    <w:basedOn w:val="8"/>
    <w:qFormat/>
    <w:uiPriority w:val="0"/>
    <w:rPr>
      <w:rFonts w:hint="eastAsia" w:ascii="宋体" w:hAnsi="宋体" w:eastAsia="宋体" w:cs="宋体"/>
      <w:color w:val="000000"/>
      <w:sz w:val="24"/>
      <w:szCs w:val="24"/>
      <w:u w:val="none"/>
      <w:vertAlign w:val="superscript"/>
    </w:rPr>
  </w:style>
  <w:style w:type="character" w:customStyle="1" w:styleId="17">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1329</Words>
  <Characters>7579</Characters>
  <Lines>63</Lines>
  <Paragraphs>17</Paragraphs>
  <ScaleCrop>false</ScaleCrop>
  <LinksUpToDate>false</LinksUpToDate>
  <CharactersWithSpaces>8891</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2020-09-25T07:12:00Z</dcterms:created>
  <dc:creator>Viviannn</dc:creator>
  <cp:lastModifiedBy>陈风涛</cp:lastModifiedBy>
  <cp:lastPrinted>2021-02-28T02:48:00Z</cp:lastPrinted>
  <dcterms:modified xsi:type="dcterms:W3CDTF">2021-04-15T03:24:20Z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