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hAnsi="宋体"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附件二：承诺函</w:t>
      </w:r>
    </w:p>
    <w:bookmarkEnd w:id="0"/>
    <w:p>
      <w:pPr>
        <w:pStyle w:val="2"/>
        <w:spacing w:line="360" w:lineRule="auto"/>
        <w:jc w:val="center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sz w:val="36"/>
          <w:szCs w:val="36"/>
        </w:rPr>
        <w:t>承诺函</w:t>
      </w:r>
    </w:p>
    <w:p>
      <w:pPr>
        <w:pStyle w:val="2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</w:t>
      </w:r>
      <w:r>
        <w:rPr>
          <w:rFonts w:hint="eastAsia" w:hAnsi="宋体"/>
          <w:bCs/>
          <w:sz w:val="24"/>
          <w:szCs w:val="24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</w:rPr>
        <w:t>人:</w:t>
      </w:r>
      <w:r>
        <w:rPr>
          <w:rFonts w:hint="eastAsia" w:hAnsi="宋体"/>
          <w:sz w:val="24"/>
          <w:szCs w:val="24"/>
          <w:u w:val="single"/>
        </w:rPr>
        <w:t xml:space="preserve"> 深圳市龙岗区城市建设投资集团有限公司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Cs/>
          <w:sz w:val="24"/>
          <w:szCs w:val="24"/>
          <w:lang w:val="en-US" w:eastAsia="zh-CN"/>
        </w:rPr>
        <w:t>本项目</w:t>
      </w:r>
      <w:r>
        <w:rPr>
          <w:rFonts w:hint="eastAsia" w:hAnsi="宋体"/>
          <w:bCs/>
          <w:sz w:val="24"/>
          <w:szCs w:val="24"/>
        </w:rPr>
        <w:t>工作顺利进行，我方将严格执行建设工程招标投标管理的法律法规，并完全接受</w:t>
      </w:r>
      <w:r>
        <w:rPr>
          <w:rFonts w:hint="eastAsia" w:hAnsi="宋体"/>
          <w:b/>
          <w:bCs w:val="0"/>
          <w:sz w:val="24"/>
          <w:szCs w:val="24"/>
          <w:u w:val="single"/>
          <w:lang w:val="en-US" w:eastAsia="zh-CN"/>
        </w:rPr>
        <w:t>吉祥里、御府名筑二期、黄阁翠苑、儒骏城立方、荔景御园、碧桂园阳光苑、天安云谷社区健康服务中心修缮改造工程项目（含7个项目）招标代理</w:t>
      </w:r>
      <w:r>
        <w:rPr>
          <w:rFonts w:hint="eastAsia" w:hAnsi="宋体"/>
          <w:bCs/>
          <w:sz w:val="24"/>
          <w:szCs w:val="24"/>
          <w:lang w:val="en-US" w:eastAsia="zh-CN"/>
        </w:rPr>
        <w:t>采购公告的</w:t>
      </w:r>
      <w:r>
        <w:rPr>
          <w:rFonts w:hint="eastAsia" w:hAnsi="宋体"/>
          <w:bCs/>
          <w:sz w:val="24"/>
          <w:szCs w:val="24"/>
        </w:rPr>
        <w:t>所有内容</w:t>
      </w:r>
      <w:r>
        <w:rPr>
          <w:rFonts w:hint="eastAsia" w:hAnsi="宋体"/>
          <w:bCs/>
          <w:sz w:val="24"/>
          <w:szCs w:val="24"/>
          <w:lang w:val="en-US" w:eastAsia="zh-CN"/>
        </w:rPr>
        <w:t>及要求</w:t>
      </w:r>
      <w:r>
        <w:rPr>
          <w:rFonts w:hint="eastAsia" w:hAnsi="宋体"/>
          <w:bCs/>
          <w:sz w:val="24"/>
          <w:szCs w:val="24"/>
        </w:rPr>
        <w:t>，为此作出如下承诺：</w:t>
      </w:r>
    </w:p>
    <w:p>
      <w:pPr>
        <w:pStyle w:val="2"/>
        <w:numPr>
          <w:ilvl w:val="0"/>
          <w:numId w:val="1"/>
        </w:numPr>
        <w:spacing w:line="360" w:lineRule="auto"/>
        <w:ind w:firstLine="482" w:firstLineChars="200"/>
        <w:rPr>
          <w:rFonts w:hint="default" w:hAnsi="宋体"/>
          <w:b/>
          <w:bCs/>
          <w:sz w:val="24"/>
          <w:szCs w:val="24"/>
          <w:lang w:val="en-US" w:eastAsia="zh-CN"/>
        </w:rPr>
      </w:pPr>
      <w:r>
        <w:rPr>
          <w:rFonts w:hint="eastAsia" w:hAnsi="宋体"/>
          <w:b/>
          <w:bCs/>
          <w:sz w:val="24"/>
          <w:szCs w:val="24"/>
        </w:rPr>
        <w:t>根据企业自身情况，理性报价，不会以低于成本的报价竞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争</w:t>
      </w:r>
      <w:r>
        <w:rPr>
          <w:rFonts w:hint="eastAsia" w:hAnsi="宋体"/>
          <w:b/>
          <w:bCs/>
          <w:sz w:val="24"/>
          <w:szCs w:val="24"/>
        </w:rPr>
        <w:t>，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报价情况（报价需保留</w:t>
      </w:r>
      <w:r>
        <w:rPr>
          <w:rFonts w:hint="eastAsia" w:hAnsi="宋体"/>
          <w:b/>
          <w:bCs/>
          <w:sz w:val="24"/>
          <w:szCs w:val="24"/>
          <w:highlight w:val="none"/>
          <w:lang w:val="en-US" w:eastAsia="zh-CN"/>
        </w:rPr>
        <w:t>小数点后2位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）如下：</w:t>
      </w:r>
    </w:p>
    <w:tbl>
      <w:tblPr>
        <w:tblStyle w:val="4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2459"/>
        <w:gridCol w:w="2246"/>
        <w:gridCol w:w="26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下浮率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吉祥里</w:t>
            </w:r>
          </w:p>
        </w:tc>
        <w:tc>
          <w:tcPr>
            <w:tcW w:w="13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hAnsi="宋体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响应供应商</w:t>
            </w:r>
            <w:r>
              <w:rPr>
                <w:rFonts w:hint="eastAsia" w:hAnsi="宋体"/>
                <w:b/>
                <w:bCs/>
                <w:sz w:val="24"/>
                <w:szCs w:val="24"/>
                <w:highlight w:val="none"/>
              </w:rPr>
              <w:t>填写）</w:t>
            </w:r>
          </w:p>
        </w:tc>
        <w:tc>
          <w:tcPr>
            <w:tcW w:w="15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highlight w:val="none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highlight w:val="none"/>
                <w:lang w:val="en-US" w:eastAsia="zh-CN"/>
              </w:rPr>
              <w:t>响应供应商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highlight w:val="none"/>
              </w:rPr>
              <w:t>填写）</w:t>
            </w:r>
          </w:p>
          <w:p>
            <w:pPr>
              <w:pStyle w:val="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（下浮率统一填写）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黄阁翠苑</w:t>
            </w:r>
          </w:p>
        </w:tc>
        <w:tc>
          <w:tcPr>
            <w:tcW w:w="13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儒骏城立方</w:t>
            </w:r>
          </w:p>
        </w:tc>
        <w:tc>
          <w:tcPr>
            <w:tcW w:w="13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响应供应商</w:t>
            </w:r>
            <w:r>
              <w:rPr>
                <w:rFonts w:hint="eastAsia" w:hAnsi="宋体"/>
                <w:b/>
                <w:bCs/>
                <w:sz w:val="24"/>
                <w:szCs w:val="24"/>
                <w:highlight w:val="none"/>
              </w:rPr>
              <w:t>填写）</w:t>
            </w:r>
          </w:p>
        </w:tc>
        <w:tc>
          <w:tcPr>
            <w:tcW w:w="15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碧桂园阳光苑</w:t>
            </w:r>
          </w:p>
        </w:tc>
        <w:tc>
          <w:tcPr>
            <w:tcW w:w="13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御府名筑二期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Times New Roman" w:hAnsi="宋体" w:eastAsia="宋体" w:cs="Times New Roman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4"/>
                <w:highlight w:val="none"/>
              </w:rPr>
              <w:t>（</w:t>
            </w:r>
            <w:r>
              <w:rPr>
                <w:rFonts w:hint="eastAsia" w:ascii="Times New Roman" w:hAnsi="宋体" w:eastAsia="宋体" w:cs="Times New Roman"/>
                <w:b/>
                <w:bCs/>
                <w:sz w:val="24"/>
                <w:highlight w:val="none"/>
                <w:lang w:val="en-US" w:eastAsia="zh-CN"/>
              </w:rPr>
              <w:t>响应供应商</w:t>
            </w:r>
            <w:r>
              <w:rPr>
                <w:rFonts w:hint="eastAsia" w:ascii="Times New Roman" w:hAnsi="宋体" w:eastAsia="宋体" w:cs="Times New Roman"/>
                <w:b/>
                <w:bCs/>
                <w:sz w:val="24"/>
                <w:highlight w:val="none"/>
              </w:rPr>
              <w:t>填写）</w:t>
            </w:r>
          </w:p>
        </w:tc>
        <w:tc>
          <w:tcPr>
            <w:tcW w:w="15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荔景御园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Times New Roman" w:hAnsi="宋体" w:eastAsia="宋体" w:cs="Times New Roman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4"/>
                <w:highlight w:val="none"/>
              </w:rPr>
              <w:t>（</w:t>
            </w:r>
            <w:r>
              <w:rPr>
                <w:rFonts w:hint="eastAsia" w:ascii="Times New Roman" w:hAnsi="宋体" w:eastAsia="宋体" w:cs="Times New Roman"/>
                <w:b/>
                <w:bCs/>
                <w:sz w:val="24"/>
                <w:highlight w:val="none"/>
                <w:lang w:val="en-US" w:eastAsia="zh-CN"/>
              </w:rPr>
              <w:t>响应供应商</w:t>
            </w:r>
            <w:r>
              <w:rPr>
                <w:rFonts w:hint="eastAsia" w:ascii="Times New Roman" w:hAnsi="宋体" w:eastAsia="宋体" w:cs="Times New Roman"/>
                <w:b/>
                <w:bCs/>
                <w:sz w:val="24"/>
                <w:highlight w:val="none"/>
              </w:rPr>
              <w:t>填写）</w:t>
            </w:r>
          </w:p>
        </w:tc>
        <w:tc>
          <w:tcPr>
            <w:tcW w:w="15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天安云谷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Times New Roman" w:hAnsi="宋体" w:eastAsia="宋体" w:cs="Times New Roman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4"/>
                <w:highlight w:val="none"/>
              </w:rPr>
              <w:t>（</w:t>
            </w:r>
            <w:r>
              <w:rPr>
                <w:rFonts w:hint="eastAsia" w:ascii="Times New Roman" w:hAnsi="宋体" w:eastAsia="宋体" w:cs="Times New Roman"/>
                <w:b/>
                <w:bCs/>
                <w:sz w:val="24"/>
                <w:highlight w:val="none"/>
                <w:lang w:val="en-US" w:eastAsia="zh-CN"/>
              </w:rPr>
              <w:t>响应供应商</w:t>
            </w:r>
            <w:r>
              <w:rPr>
                <w:rFonts w:hint="eastAsia" w:ascii="Times New Roman" w:hAnsi="宋体" w:eastAsia="宋体" w:cs="Times New Roman"/>
                <w:b/>
                <w:bCs/>
                <w:sz w:val="24"/>
                <w:highlight w:val="none"/>
              </w:rPr>
              <w:t>填写）</w:t>
            </w:r>
          </w:p>
        </w:tc>
        <w:tc>
          <w:tcPr>
            <w:tcW w:w="155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numPr>
          <w:ilvl w:val="0"/>
          <w:numId w:val="0"/>
        </w:numPr>
        <w:spacing w:line="360" w:lineRule="auto"/>
        <w:ind w:firstLine="0" w:firstLineChars="0"/>
        <w:rPr>
          <w:rFonts w:hint="default" w:hAnsi="宋体"/>
          <w:b/>
          <w:bCs/>
          <w:sz w:val="24"/>
          <w:szCs w:val="24"/>
          <w:lang w:val="en-US" w:eastAsia="zh-CN"/>
        </w:rPr>
      </w:pPr>
      <w:r>
        <w:rPr>
          <w:rFonts w:hint="eastAsia" w:hAnsi="宋体"/>
          <w:b/>
          <w:bCs/>
          <w:sz w:val="24"/>
          <w:szCs w:val="24"/>
        </w:rPr>
        <w:t>否则，我方愿意承担任何风险</w:t>
      </w:r>
      <w:r>
        <w:rPr>
          <w:rFonts w:hint="eastAsia" w:hAnsi="宋体"/>
          <w:b/>
          <w:bCs/>
          <w:color w:val="auto"/>
          <w:sz w:val="24"/>
          <w:szCs w:val="24"/>
          <w:highlight w:val="none"/>
          <w:lang w:val="en-US" w:eastAsia="zh-CN"/>
        </w:rPr>
        <w:t>。</w:t>
      </w:r>
      <w:r>
        <w:rPr>
          <w:rFonts w:hint="eastAsia" w:hAnsi="宋体"/>
          <w:b/>
          <w:color w:val="auto"/>
          <w:sz w:val="24"/>
          <w:szCs w:val="24"/>
          <w:highlight w:val="none"/>
          <w:lang w:val="en-US" w:eastAsia="zh-CN"/>
        </w:rPr>
        <w:t>当所报下浮率与响应报价折算出的下浮率不一致时，以所报下浮率为准，同意采购人以所报下浮率为准修正响应报价。</w:t>
      </w:r>
    </w:p>
    <w:p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int="default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一旦我方中选，将与委托单位友好合作，依约履行委托合同，自觉接受委托单位的日常监管和履约评价，为委托单位提供优质、高效服务。</w:t>
      </w:r>
    </w:p>
    <w:p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我方承诺履行项目管理班子配备义务，不擅自更换响应文件所报的项目团队（注册执业人员），如不能继续履行职责确需更换的，所更换人员为我单位职工，其从业资格不低于遴选时承诺条件。</w:t>
      </w:r>
    </w:p>
    <w:p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2"/>
        <w:spacing w:line="336" w:lineRule="auto"/>
        <w:ind w:firstLine="480" w:firstLineChars="200"/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958C7"/>
    <w:rsid w:val="30C9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2021-04-06T08:44:00Z</dcterms:created>
  <dc:creator>廖蜀黍</dc:creator>
  <cp:lastModifiedBy>廖蜀黍</cp:lastModifiedBy>
  <dcterms:modified xsi:type="dcterms:W3CDTF">2021-04-06T08:45:08Z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D8F418C5AA424DCAA05DFBA332B5D6CD</vt:lpwstr>
  </property>
</Properties>
</file>