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附件一：响应文件一览表</w:t>
      </w:r>
    </w:p>
    <w:bookmarkEnd w:id="0"/>
    <w:p>
      <w:pPr>
        <w:pStyle w:val="6"/>
        <w:widowControl/>
        <w:spacing w:line="560" w:lineRule="exact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</w:p>
    <w:p>
      <w:pPr>
        <w:pStyle w:val="6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</w:rPr>
              <w:t>营业执照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、法定代表人证明书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</w:rPr>
              <w:t>、法定代表人授权委托书及身份证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复印件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kern w:val="0"/>
                <w:szCs w:val="21"/>
              </w:rPr>
              <w:t>年至今有至少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0"/>
                <w:szCs w:val="21"/>
              </w:rPr>
              <w:t>项建设工程（建筑安装费400万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）招标代理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业绩，提供合同协议书复印件。</w:t>
            </w:r>
          </w:p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以合同签订时间为准，未体现合同签订时间的为无效业绩。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履约情况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2020年至今有至少三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项招标代理相关履约证明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履约证明复印件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以履约证明上载明的时间为准，未体现履约评价时间的，则不予统计。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内容包括不限于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对本项目的理解、拟派遣团队及业绩、响应速度、招标工作安排及相关服务承诺等，</w:t>
            </w:r>
            <w:r>
              <w:rPr>
                <w:rFonts w:hint="eastAsia" w:ascii="宋体" w:hAnsi="宋体"/>
                <w:color w:val="000000"/>
                <w:szCs w:val="21"/>
              </w:rPr>
              <w:t>不超过10页。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kern w:val="0"/>
                <w:szCs w:val="21"/>
              </w:rPr>
              <w:t>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left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如有。</w:t>
            </w:r>
          </w:p>
        </w:tc>
      </w:tr>
    </w:tbl>
    <w:p>
      <w:pPr>
        <w:jc w:val="both"/>
        <w:rPr>
          <w:rFonts w:hint="default" w:ascii="仿宋_GB2312" w:eastAsia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备注：以上提供资料均须加盖公章，未加盖公章资料视为无效资料。</w:t>
      </w:r>
    </w:p>
    <w:p>
      <w:pPr>
        <w:jc w:val="both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C79E7"/>
    <w:rsid w:val="344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customStyle="1" w:styleId="6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2021-01-18T02:34:00Z</dcterms:created>
  <dc:creator>廖蜀黍</dc:creator>
  <cp:lastModifiedBy>廖蜀黍</cp:lastModifiedBy>
  <dcterms:modified xsi:type="dcterms:W3CDTF">2021-01-18T02:34:20Z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