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30"/>
          <w:szCs w:val="30"/>
        </w:rPr>
      </w:pPr>
      <w:bookmarkStart w:id="1" w:name="_GoBack"/>
      <w:r>
        <w:rPr>
          <w:rFonts w:hint="eastAsia" w:ascii="仿宋_GB2312" w:eastAsia="仿宋_GB2312"/>
          <w:b/>
          <w:bCs/>
          <w:sz w:val="30"/>
          <w:szCs w:val="30"/>
        </w:rPr>
        <w:t>附件二：详细评审表</w:t>
      </w:r>
    </w:p>
    <w:bookmarkEnd w:id="1"/>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52"/>
        <w:gridCol w:w="2276"/>
        <w:gridCol w:w="866"/>
        <w:gridCol w:w="765"/>
        <w:gridCol w:w="606"/>
        <w:gridCol w:w="606"/>
        <w:gridCol w:w="606"/>
        <w:gridCol w:w="606"/>
        <w:gridCol w:w="60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blHeader/>
          <w:jc w:val="center"/>
        </w:trPr>
        <w:tc>
          <w:tcPr>
            <w:tcW w:w="236" w:type="pct"/>
            <w:shd w:val="clear" w:color="auto" w:fill="DEEAF6"/>
            <w:noWrap w:val="0"/>
            <w:vAlign w:val="center"/>
          </w:tcPr>
          <w:p>
            <w:pPr>
              <w:widowControl/>
              <w:adjustRightInd w:val="0"/>
              <w:snapToGrid w:val="0"/>
              <w:spacing w:line="0" w:lineRule="atLeast"/>
              <w:jc w:val="center"/>
              <w:rPr>
                <w:rFonts w:ascii="宋体" w:hAnsi="宋体" w:cs="宋体"/>
                <w:b/>
                <w:szCs w:val="21"/>
              </w:rPr>
            </w:pPr>
            <w:bookmarkStart w:id="0" w:name="_Hlk17297611"/>
            <w:r>
              <w:rPr>
                <w:rFonts w:hint="eastAsia" w:ascii="宋体" w:hAnsi="宋体" w:cs="宋体"/>
                <w:b/>
                <w:szCs w:val="21"/>
              </w:rPr>
              <w:t>序号</w:t>
            </w:r>
          </w:p>
        </w:tc>
        <w:tc>
          <w:tcPr>
            <w:tcW w:w="326" w:type="pct"/>
            <w:shd w:val="clear" w:color="auto" w:fill="DEEAF6"/>
            <w:noWrap w:val="0"/>
            <w:vAlign w:val="center"/>
          </w:tcPr>
          <w:p>
            <w:pPr>
              <w:widowControl/>
              <w:adjustRightInd w:val="0"/>
              <w:snapToGrid w:val="0"/>
              <w:spacing w:line="0" w:lineRule="atLeast"/>
              <w:jc w:val="center"/>
              <w:rPr>
                <w:rFonts w:ascii="宋体" w:hAnsi="宋体" w:cs="宋体"/>
                <w:b/>
                <w:szCs w:val="21"/>
              </w:rPr>
            </w:pPr>
            <w:r>
              <w:rPr>
                <w:rFonts w:hint="eastAsia" w:ascii="宋体" w:hAnsi="宋体" w:cs="宋体"/>
                <w:b/>
                <w:szCs w:val="21"/>
              </w:rPr>
              <w:t>评审</w:t>
            </w:r>
          </w:p>
          <w:p>
            <w:pPr>
              <w:widowControl/>
              <w:adjustRightInd w:val="0"/>
              <w:snapToGrid w:val="0"/>
              <w:spacing w:line="0" w:lineRule="atLeast"/>
              <w:jc w:val="center"/>
              <w:rPr>
                <w:rFonts w:ascii="宋体" w:hAnsi="宋体" w:cs="宋体"/>
                <w:b/>
                <w:szCs w:val="21"/>
              </w:rPr>
            </w:pPr>
            <w:r>
              <w:rPr>
                <w:rFonts w:hint="eastAsia" w:ascii="宋体" w:hAnsi="宋体" w:cs="宋体"/>
                <w:b/>
                <w:szCs w:val="21"/>
              </w:rPr>
              <w:t>项目</w:t>
            </w:r>
          </w:p>
        </w:tc>
        <w:tc>
          <w:tcPr>
            <w:tcW w:w="1338" w:type="pct"/>
            <w:shd w:val="clear" w:color="auto" w:fill="DEEAF6"/>
            <w:noWrap w:val="0"/>
            <w:vAlign w:val="center"/>
          </w:tcPr>
          <w:p>
            <w:pPr>
              <w:widowControl/>
              <w:adjustRightInd w:val="0"/>
              <w:snapToGrid w:val="0"/>
              <w:spacing w:line="0" w:lineRule="atLeast"/>
              <w:jc w:val="center"/>
              <w:rPr>
                <w:rFonts w:ascii="宋体" w:hAnsi="宋体" w:cs="宋体"/>
                <w:b/>
                <w:szCs w:val="21"/>
              </w:rPr>
            </w:pPr>
            <w:r>
              <w:rPr>
                <w:rFonts w:hint="eastAsia" w:ascii="宋体" w:hAnsi="宋体" w:cs="宋体"/>
                <w:b/>
                <w:szCs w:val="21"/>
              </w:rPr>
              <w:t>评审标准</w:t>
            </w:r>
          </w:p>
        </w:tc>
        <w:tc>
          <w:tcPr>
            <w:tcW w:w="510" w:type="pct"/>
            <w:shd w:val="clear" w:color="auto" w:fill="DEEAF6"/>
            <w:noWrap w:val="0"/>
            <w:vAlign w:val="center"/>
          </w:tcPr>
          <w:p>
            <w:pPr>
              <w:widowControl/>
              <w:adjustRightInd w:val="0"/>
              <w:snapToGrid w:val="0"/>
              <w:spacing w:line="0" w:lineRule="atLeast"/>
              <w:jc w:val="center"/>
              <w:rPr>
                <w:rFonts w:ascii="宋体" w:hAnsi="宋体" w:cs="宋体"/>
                <w:b/>
                <w:szCs w:val="21"/>
              </w:rPr>
            </w:pPr>
            <w:r>
              <w:rPr>
                <w:rFonts w:hint="eastAsia" w:ascii="宋体" w:hAnsi="宋体" w:cs="宋体"/>
                <w:b/>
                <w:szCs w:val="21"/>
              </w:rPr>
              <w:t>证明材料</w:t>
            </w:r>
          </w:p>
        </w:tc>
        <w:tc>
          <w:tcPr>
            <w:tcW w:w="451" w:type="pct"/>
            <w:shd w:val="clear" w:color="auto" w:fill="DEEAF6"/>
            <w:noWrap w:val="0"/>
            <w:vAlign w:val="center"/>
          </w:tcPr>
          <w:p>
            <w:pPr>
              <w:widowControl/>
              <w:adjustRightInd w:val="0"/>
              <w:snapToGrid w:val="0"/>
              <w:spacing w:line="0" w:lineRule="atLeast"/>
              <w:jc w:val="center"/>
              <w:rPr>
                <w:rFonts w:ascii="宋体" w:hAnsi="宋体" w:cs="宋体"/>
                <w:b/>
                <w:szCs w:val="21"/>
              </w:rPr>
            </w:pPr>
            <w:r>
              <w:rPr>
                <w:rFonts w:hint="eastAsia" w:ascii="宋体" w:hAnsi="宋体" w:cs="宋体"/>
                <w:b/>
                <w:szCs w:val="21"/>
              </w:rPr>
              <w:t>分值</w:t>
            </w:r>
          </w:p>
        </w:tc>
        <w:tc>
          <w:tcPr>
            <w:tcW w:w="357" w:type="pct"/>
            <w:shd w:val="clear" w:color="auto" w:fill="DEEAF6"/>
            <w:noWrap w:val="0"/>
            <w:vAlign w:val="top"/>
          </w:tcPr>
          <w:p>
            <w:pPr>
              <w:widowControl/>
              <w:adjustRightInd w:val="0"/>
              <w:snapToGrid w:val="0"/>
              <w:spacing w:line="0" w:lineRule="atLeast"/>
              <w:jc w:val="center"/>
              <w:rPr>
                <w:rFonts w:ascii="宋体" w:hAnsi="宋体" w:cs="宋体"/>
                <w:b/>
                <w:szCs w:val="21"/>
              </w:rPr>
            </w:pPr>
          </w:p>
        </w:tc>
        <w:tc>
          <w:tcPr>
            <w:tcW w:w="357" w:type="pct"/>
            <w:shd w:val="clear" w:color="auto" w:fill="DEEAF6"/>
            <w:noWrap w:val="0"/>
            <w:vAlign w:val="top"/>
          </w:tcPr>
          <w:p>
            <w:pPr>
              <w:widowControl/>
              <w:adjustRightInd w:val="0"/>
              <w:snapToGrid w:val="0"/>
              <w:spacing w:line="0" w:lineRule="atLeast"/>
              <w:jc w:val="center"/>
              <w:rPr>
                <w:rFonts w:ascii="宋体" w:hAnsi="宋体" w:cs="宋体"/>
                <w:b/>
                <w:szCs w:val="21"/>
              </w:rPr>
            </w:pPr>
          </w:p>
        </w:tc>
        <w:tc>
          <w:tcPr>
            <w:tcW w:w="357" w:type="pct"/>
            <w:shd w:val="clear" w:color="auto" w:fill="DEEAF6"/>
            <w:noWrap w:val="0"/>
            <w:vAlign w:val="top"/>
          </w:tcPr>
          <w:p>
            <w:pPr>
              <w:widowControl/>
              <w:adjustRightInd w:val="0"/>
              <w:snapToGrid w:val="0"/>
              <w:spacing w:line="0" w:lineRule="atLeast"/>
              <w:jc w:val="center"/>
              <w:rPr>
                <w:rFonts w:ascii="宋体" w:hAnsi="宋体" w:cs="宋体"/>
                <w:b/>
                <w:szCs w:val="21"/>
              </w:rPr>
            </w:pPr>
          </w:p>
        </w:tc>
        <w:tc>
          <w:tcPr>
            <w:tcW w:w="357" w:type="pct"/>
            <w:shd w:val="clear" w:color="auto" w:fill="DEEAF6"/>
            <w:noWrap w:val="0"/>
            <w:vAlign w:val="top"/>
          </w:tcPr>
          <w:p>
            <w:pPr>
              <w:widowControl/>
              <w:adjustRightInd w:val="0"/>
              <w:snapToGrid w:val="0"/>
              <w:spacing w:line="0" w:lineRule="atLeast"/>
              <w:jc w:val="center"/>
              <w:rPr>
                <w:rFonts w:ascii="宋体" w:hAnsi="宋体" w:cs="宋体"/>
                <w:b/>
                <w:szCs w:val="21"/>
              </w:rPr>
            </w:pPr>
          </w:p>
        </w:tc>
        <w:tc>
          <w:tcPr>
            <w:tcW w:w="357" w:type="pct"/>
            <w:shd w:val="clear" w:color="auto" w:fill="DEEAF6"/>
            <w:noWrap w:val="0"/>
            <w:vAlign w:val="top"/>
          </w:tcPr>
          <w:p>
            <w:pPr>
              <w:widowControl/>
              <w:adjustRightInd w:val="0"/>
              <w:snapToGrid w:val="0"/>
              <w:spacing w:line="0" w:lineRule="atLeast"/>
              <w:jc w:val="center"/>
              <w:rPr>
                <w:rFonts w:ascii="宋体" w:hAnsi="宋体" w:cs="宋体"/>
                <w:b/>
                <w:szCs w:val="21"/>
              </w:rPr>
            </w:pPr>
          </w:p>
        </w:tc>
        <w:tc>
          <w:tcPr>
            <w:tcW w:w="354" w:type="pct"/>
            <w:shd w:val="clear" w:color="auto" w:fill="DEEAF6"/>
            <w:noWrap w:val="0"/>
            <w:vAlign w:val="top"/>
          </w:tcPr>
          <w:p>
            <w:pPr>
              <w:widowControl/>
              <w:adjustRightInd w:val="0"/>
              <w:snapToGrid w:val="0"/>
              <w:spacing w:line="0" w:lineRule="atLeas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jc w:val="center"/>
        </w:trPr>
        <w:tc>
          <w:tcPr>
            <w:tcW w:w="236" w:type="pct"/>
            <w:noWrap w:val="0"/>
            <w:vAlign w:val="center"/>
          </w:tcPr>
          <w:p>
            <w:pPr>
              <w:widowControl/>
              <w:adjustRightInd w:val="0"/>
              <w:snapToGrid w:val="0"/>
              <w:spacing w:line="0" w:lineRule="atLeast"/>
              <w:jc w:val="center"/>
              <w:rPr>
                <w:rFonts w:ascii="宋体" w:hAnsi="宋体" w:cs="宋体"/>
                <w:szCs w:val="21"/>
              </w:rPr>
            </w:pPr>
            <w:r>
              <w:rPr>
                <w:rFonts w:hint="eastAsia" w:ascii="宋体" w:hAnsi="宋体" w:cs="宋体"/>
                <w:szCs w:val="21"/>
              </w:rPr>
              <w:t>1</w:t>
            </w:r>
          </w:p>
        </w:tc>
        <w:tc>
          <w:tcPr>
            <w:tcW w:w="326" w:type="pct"/>
            <w:noWrap w:val="0"/>
            <w:vAlign w:val="center"/>
          </w:tcPr>
          <w:p>
            <w:pPr>
              <w:spacing w:line="0" w:lineRule="atLeast"/>
              <w:jc w:val="center"/>
              <w:rPr>
                <w:rFonts w:ascii="宋体" w:hAnsi="宋体" w:cs="宋体"/>
                <w:szCs w:val="21"/>
              </w:rPr>
            </w:pPr>
            <w:r>
              <w:rPr>
                <w:rFonts w:hint="eastAsia" w:ascii="宋体" w:hAnsi="宋体" w:cs="宋体"/>
                <w:szCs w:val="21"/>
              </w:rPr>
              <w:t>同类业绩情况</w:t>
            </w:r>
          </w:p>
        </w:tc>
        <w:tc>
          <w:tcPr>
            <w:tcW w:w="1338" w:type="pct"/>
            <w:noWrap w:val="0"/>
            <w:vAlign w:val="center"/>
          </w:tcPr>
          <w:p>
            <w:pPr>
              <w:spacing w:line="0" w:lineRule="atLeast"/>
              <w:rPr>
                <w:rFonts w:ascii="宋体" w:hAnsi="宋体" w:cs="宋体"/>
                <w:szCs w:val="21"/>
              </w:rPr>
            </w:pPr>
            <w:r>
              <w:rPr>
                <w:rFonts w:hint="eastAsia" w:ascii="宋体" w:hAnsi="宋体" w:cs="宋体"/>
                <w:szCs w:val="21"/>
              </w:rPr>
              <w:t>近三年内，具有龙岗区内综合整治项目经验，每增加</w:t>
            </w:r>
            <w:r>
              <w:rPr>
                <w:rFonts w:ascii="宋体" w:hAnsi="宋体" w:cs="宋体"/>
                <w:szCs w:val="21"/>
              </w:rPr>
              <w:t xml:space="preserve">1个加5分，最多加10分； </w:t>
            </w:r>
          </w:p>
          <w:p>
            <w:pPr>
              <w:spacing w:line="0" w:lineRule="atLeast"/>
              <w:rPr>
                <w:rFonts w:ascii="宋体" w:hAnsi="宋体" w:cs="宋体"/>
                <w:szCs w:val="21"/>
              </w:rPr>
            </w:pPr>
            <w:r>
              <w:rPr>
                <w:rFonts w:hint="eastAsia" w:ascii="宋体" w:hAnsi="宋体" w:cs="宋体"/>
                <w:szCs w:val="21"/>
              </w:rPr>
              <w:t>如具有深圳市内3万平方米以上（含）集体物业租金评估项目</w:t>
            </w:r>
            <w:r>
              <w:rPr>
                <w:rFonts w:ascii="宋体" w:hAnsi="宋体" w:cs="宋体"/>
                <w:szCs w:val="21"/>
              </w:rPr>
              <w:t>经验，每增加1个加</w:t>
            </w:r>
            <w:r>
              <w:rPr>
                <w:rFonts w:hint="eastAsia" w:ascii="宋体" w:hAnsi="宋体" w:cs="宋体"/>
                <w:szCs w:val="21"/>
              </w:rPr>
              <w:t>3</w:t>
            </w:r>
            <w:r>
              <w:rPr>
                <w:rFonts w:ascii="宋体" w:hAnsi="宋体" w:cs="宋体"/>
                <w:szCs w:val="21"/>
              </w:rPr>
              <w:t>分，最多加</w:t>
            </w:r>
            <w:r>
              <w:rPr>
                <w:rFonts w:hint="eastAsia" w:ascii="宋体" w:hAnsi="宋体" w:cs="宋体"/>
                <w:szCs w:val="21"/>
              </w:rPr>
              <w:t>10</w:t>
            </w:r>
            <w:r>
              <w:rPr>
                <w:rFonts w:ascii="宋体" w:hAnsi="宋体" w:cs="宋体"/>
                <w:szCs w:val="21"/>
              </w:rPr>
              <w:t xml:space="preserve">分； </w:t>
            </w:r>
          </w:p>
        </w:tc>
        <w:tc>
          <w:tcPr>
            <w:tcW w:w="510" w:type="pct"/>
            <w:noWrap w:val="0"/>
            <w:vAlign w:val="center"/>
          </w:tcPr>
          <w:p>
            <w:pPr>
              <w:adjustRightInd w:val="0"/>
              <w:snapToGrid w:val="0"/>
              <w:spacing w:line="0" w:lineRule="atLeast"/>
            </w:pPr>
            <w:r>
              <w:rPr>
                <w:rFonts w:hint="eastAsia"/>
              </w:rPr>
              <w:t>提供相应合同文件、成果文件，并加盖公章</w:t>
            </w:r>
          </w:p>
        </w:tc>
        <w:tc>
          <w:tcPr>
            <w:tcW w:w="451" w:type="pct"/>
            <w:noWrap w:val="0"/>
            <w:vAlign w:val="center"/>
          </w:tcPr>
          <w:p>
            <w:pPr>
              <w:widowControl/>
              <w:adjustRightInd w:val="0"/>
              <w:snapToGrid w:val="0"/>
              <w:spacing w:line="0" w:lineRule="atLeast"/>
              <w:jc w:val="center"/>
              <w:rPr>
                <w:rFonts w:ascii="宋体" w:hAnsi="宋体" w:cs="宋体"/>
                <w:szCs w:val="21"/>
              </w:rPr>
            </w:pPr>
            <w:r>
              <w:rPr>
                <w:rFonts w:hint="eastAsia" w:ascii="宋体" w:hAnsi="宋体" w:cs="宋体"/>
                <w:szCs w:val="21"/>
              </w:rPr>
              <w:t>20分</w:t>
            </w: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4" w:type="pct"/>
            <w:noWrap w:val="0"/>
            <w:vAlign w:val="center"/>
          </w:tcPr>
          <w:p>
            <w:pPr>
              <w:widowControl/>
              <w:adjustRightInd w:val="0"/>
              <w:snapToGrid w:val="0"/>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jc w:val="center"/>
        </w:trPr>
        <w:tc>
          <w:tcPr>
            <w:tcW w:w="236" w:type="pct"/>
            <w:noWrap w:val="0"/>
            <w:vAlign w:val="center"/>
          </w:tcPr>
          <w:p>
            <w:pPr>
              <w:widowControl/>
              <w:adjustRightInd w:val="0"/>
              <w:snapToGrid w:val="0"/>
              <w:spacing w:line="0" w:lineRule="atLeast"/>
              <w:jc w:val="center"/>
              <w:rPr>
                <w:rFonts w:ascii="宋体" w:hAnsi="宋体" w:cs="宋体"/>
                <w:szCs w:val="21"/>
              </w:rPr>
            </w:pPr>
            <w:r>
              <w:rPr>
                <w:rFonts w:hint="eastAsia" w:ascii="宋体" w:hAnsi="宋体" w:cs="宋体"/>
                <w:szCs w:val="21"/>
              </w:rPr>
              <w:t>2</w:t>
            </w:r>
          </w:p>
        </w:tc>
        <w:tc>
          <w:tcPr>
            <w:tcW w:w="326" w:type="pct"/>
            <w:noWrap w:val="0"/>
            <w:vAlign w:val="center"/>
          </w:tcPr>
          <w:p>
            <w:pPr>
              <w:spacing w:line="0" w:lineRule="atLeast"/>
              <w:jc w:val="center"/>
              <w:rPr>
                <w:rFonts w:ascii="宋体" w:hAnsi="宋体" w:cs="宋体"/>
                <w:szCs w:val="21"/>
              </w:rPr>
            </w:pPr>
            <w:r>
              <w:rPr>
                <w:rFonts w:hint="eastAsia" w:ascii="宋体" w:hAnsi="宋体" w:cs="宋体"/>
                <w:szCs w:val="21"/>
              </w:rPr>
              <w:t>团队成员配置评分</w:t>
            </w:r>
          </w:p>
        </w:tc>
        <w:tc>
          <w:tcPr>
            <w:tcW w:w="1338" w:type="pct"/>
            <w:noWrap w:val="0"/>
            <w:vAlign w:val="center"/>
          </w:tcPr>
          <w:p>
            <w:pPr>
              <w:spacing w:line="0" w:lineRule="atLeast"/>
              <w:rPr>
                <w:rFonts w:ascii="宋体" w:hAnsi="宋体" w:cs="宋体"/>
                <w:szCs w:val="21"/>
              </w:rPr>
            </w:pPr>
            <w:r>
              <w:rPr>
                <w:rFonts w:hint="eastAsia" w:ascii="宋体" w:hAnsi="宋体" w:cs="宋体"/>
                <w:szCs w:val="21"/>
              </w:rPr>
              <w:t>项目负责人拥有房地产估价和土地估价职业资格的，加6分。</w:t>
            </w:r>
          </w:p>
          <w:p>
            <w:pPr>
              <w:spacing w:line="0" w:lineRule="atLeast"/>
              <w:rPr>
                <w:rFonts w:ascii="宋体" w:hAnsi="宋体" w:cs="宋体"/>
                <w:szCs w:val="21"/>
              </w:rPr>
            </w:pPr>
            <w:r>
              <w:rPr>
                <w:rFonts w:hint="eastAsia" w:ascii="宋体" w:hAnsi="宋体" w:cs="宋体"/>
                <w:szCs w:val="21"/>
              </w:rPr>
              <w:t>如项目团队成员具有房地产估价、土地估价、资产评估、工程造价等职业资格的，每个加3</w:t>
            </w:r>
            <w:r>
              <w:rPr>
                <w:rFonts w:ascii="宋体" w:hAnsi="宋体" w:cs="宋体"/>
                <w:szCs w:val="21"/>
              </w:rPr>
              <w:t>分，最多加</w:t>
            </w:r>
            <w:r>
              <w:rPr>
                <w:rFonts w:hint="eastAsia" w:ascii="宋体" w:hAnsi="宋体" w:cs="宋体"/>
                <w:szCs w:val="21"/>
              </w:rPr>
              <w:t>7</w:t>
            </w:r>
            <w:r>
              <w:rPr>
                <w:rFonts w:ascii="宋体" w:hAnsi="宋体" w:cs="宋体"/>
                <w:szCs w:val="21"/>
              </w:rPr>
              <w:t xml:space="preserve">分； </w:t>
            </w:r>
          </w:p>
          <w:p>
            <w:pPr>
              <w:spacing w:line="0" w:lineRule="atLeast"/>
              <w:rPr>
                <w:rFonts w:ascii="宋体" w:hAnsi="宋体" w:cs="宋体"/>
                <w:szCs w:val="21"/>
              </w:rPr>
            </w:pPr>
            <w:r>
              <w:rPr>
                <w:rFonts w:hint="eastAsia" w:ascii="宋体" w:hAnsi="宋体" w:cs="宋体"/>
                <w:szCs w:val="21"/>
              </w:rPr>
              <w:t>如项目团队成员具有</w:t>
            </w:r>
            <w:r>
              <w:rPr>
                <w:rFonts w:ascii="宋体" w:hAnsi="宋体" w:cs="宋体"/>
                <w:szCs w:val="21"/>
              </w:rPr>
              <w:t>5年以上</w:t>
            </w:r>
            <w:r>
              <w:rPr>
                <w:rFonts w:hint="eastAsia" w:ascii="宋体" w:hAnsi="宋体" w:cs="宋体"/>
                <w:szCs w:val="21"/>
              </w:rPr>
              <w:t>评估</w:t>
            </w:r>
            <w:r>
              <w:rPr>
                <w:rFonts w:ascii="宋体" w:hAnsi="宋体" w:cs="宋体"/>
                <w:szCs w:val="21"/>
              </w:rPr>
              <w:t>工作经验，每增加1个加</w:t>
            </w:r>
            <w:r>
              <w:rPr>
                <w:rFonts w:hint="eastAsia" w:ascii="宋体" w:hAnsi="宋体" w:cs="宋体"/>
                <w:szCs w:val="21"/>
              </w:rPr>
              <w:t>3</w:t>
            </w:r>
            <w:r>
              <w:rPr>
                <w:rFonts w:ascii="宋体" w:hAnsi="宋体" w:cs="宋体"/>
                <w:szCs w:val="21"/>
              </w:rPr>
              <w:t>分，最多加</w:t>
            </w:r>
            <w:r>
              <w:rPr>
                <w:rFonts w:hint="eastAsia" w:ascii="宋体" w:hAnsi="宋体" w:cs="宋体"/>
                <w:szCs w:val="21"/>
              </w:rPr>
              <w:t>7</w:t>
            </w:r>
            <w:r>
              <w:rPr>
                <w:rFonts w:ascii="宋体" w:hAnsi="宋体" w:cs="宋体"/>
                <w:szCs w:val="21"/>
              </w:rPr>
              <w:t>分。</w:t>
            </w:r>
          </w:p>
        </w:tc>
        <w:tc>
          <w:tcPr>
            <w:tcW w:w="510" w:type="pct"/>
            <w:noWrap w:val="0"/>
            <w:vAlign w:val="center"/>
          </w:tcPr>
          <w:p>
            <w:pPr>
              <w:adjustRightInd w:val="0"/>
              <w:snapToGrid w:val="0"/>
              <w:spacing w:line="0" w:lineRule="atLeast"/>
              <w:rPr>
                <w:rFonts w:ascii="宋体" w:hAnsi="宋体" w:cs="宋体"/>
                <w:szCs w:val="21"/>
              </w:rPr>
            </w:pPr>
            <w:r>
              <w:rPr>
                <w:rFonts w:hint="eastAsia"/>
              </w:rPr>
              <w:t>提供的相应工作经历及证书复印件加盖公章</w:t>
            </w:r>
          </w:p>
        </w:tc>
        <w:tc>
          <w:tcPr>
            <w:tcW w:w="451" w:type="pct"/>
            <w:noWrap w:val="0"/>
            <w:vAlign w:val="center"/>
          </w:tcPr>
          <w:p>
            <w:pPr>
              <w:widowControl/>
              <w:adjustRightInd w:val="0"/>
              <w:snapToGrid w:val="0"/>
              <w:spacing w:line="0" w:lineRule="atLeast"/>
              <w:jc w:val="center"/>
              <w:rPr>
                <w:rFonts w:ascii="宋体" w:hAnsi="宋体" w:cs="宋体"/>
                <w:szCs w:val="21"/>
              </w:rPr>
            </w:pPr>
            <w:r>
              <w:rPr>
                <w:rFonts w:hint="eastAsia" w:ascii="宋体" w:hAnsi="宋体" w:cs="宋体"/>
                <w:szCs w:val="21"/>
              </w:rPr>
              <w:t>20分</w:t>
            </w: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widowControl/>
              <w:adjustRightInd w:val="0"/>
              <w:snapToGrid w:val="0"/>
              <w:spacing w:line="0" w:lineRule="atLeast"/>
              <w:jc w:val="center"/>
              <w:rPr>
                <w:rFonts w:ascii="宋体" w:hAnsi="宋体" w:cs="宋体"/>
                <w:szCs w:val="21"/>
              </w:rPr>
            </w:pPr>
          </w:p>
        </w:tc>
        <w:tc>
          <w:tcPr>
            <w:tcW w:w="354" w:type="pct"/>
            <w:noWrap w:val="0"/>
            <w:vAlign w:val="center"/>
          </w:tcPr>
          <w:p>
            <w:pPr>
              <w:widowControl/>
              <w:adjustRightInd w:val="0"/>
              <w:snapToGrid w:val="0"/>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2" w:hRule="atLeast"/>
          <w:jc w:val="center"/>
        </w:trPr>
        <w:tc>
          <w:tcPr>
            <w:tcW w:w="236" w:type="pct"/>
            <w:noWrap w:val="0"/>
            <w:vAlign w:val="center"/>
          </w:tcPr>
          <w:p>
            <w:pPr>
              <w:widowControl/>
              <w:adjustRightInd w:val="0"/>
              <w:snapToGrid w:val="0"/>
              <w:spacing w:line="0" w:lineRule="atLeast"/>
              <w:jc w:val="center"/>
              <w:rPr>
                <w:rFonts w:ascii="宋体" w:hAnsi="宋体" w:cs="宋体"/>
                <w:szCs w:val="21"/>
              </w:rPr>
            </w:pPr>
            <w:r>
              <w:rPr>
                <w:rFonts w:ascii="宋体" w:hAnsi="宋体" w:cs="宋体"/>
                <w:szCs w:val="21"/>
              </w:rPr>
              <w:t>3</w:t>
            </w:r>
          </w:p>
        </w:tc>
        <w:tc>
          <w:tcPr>
            <w:tcW w:w="326" w:type="pct"/>
            <w:noWrap w:val="0"/>
            <w:vAlign w:val="center"/>
          </w:tcPr>
          <w:p>
            <w:pPr>
              <w:spacing w:line="0" w:lineRule="atLeast"/>
              <w:jc w:val="center"/>
              <w:rPr>
                <w:rFonts w:ascii="宋体" w:hAnsi="宋体" w:cs="宋体"/>
                <w:szCs w:val="21"/>
              </w:rPr>
            </w:pPr>
            <w:r>
              <w:rPr>
                <w:rFonts w:hint="eastAsia" w:ascii="宋体" w:hAnsi="宋体" w:cs="宋体"/>
                <w:szCs w:val="21"/>
              </w:rPr>
              <w:t>技术服务方案评审</w:t>
            </w:r>
          </w:p>
        </w:tc>
        <w:tc>
          <w:tcPr>
            <w:tcW w:w="1338" w:type="pct"/>
            <w:noWrap w:val="0"/>
            <w:vAlign w:val="center"/>
          </w:tcPr>
          <w:p>
            <w:pPr>
              <w:spacing w:line="0" w:lineRule="atLeast"/>
              <w:rPr>
                <w:rFonts w:ascii="宋体" w:hAnsi="宋体" w:cs="宋体"/>
                <w:szCs w:val="21"/>
              </w:rPr>
            </w:pPr>
            <w:r>
              <w:rPr>
                <w:rFonts w:hint="eastAsia" w:ascii="宋体" w:hAnsi="宋体" w:cs="宋体"/>
                <w:szCs w:val="21"/>
              </w:rPr>
              <w:t>针对对本项目工作内容的理解是否全面、准确，提出的技术思路是否达到技术要求，进行横向比较评分：</w:t>
            </w:r>
          </w:p>
          <w:p>
            <w:pPr>
              <w:spacing w:line="0" w:lineRule="atLeas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宏观环境研究和本体条件分析技术思路，分值1</w:t>
            </w:r>
            <w:r>
              <w:rPr>
                <w:rFonts w:ascii="宋体" w:hAnsi="宋体" w:cs="宋体"/>
                <w:szCs w:val="21"/>
              </w:rPr>
              <w:t>0</w:t>
            </w:r>
            <w:r>
              <w:rPr>
                <w:rFonts w:hint="eastAsia" w:ascii="宋体" w:hAnsi="宋体" w:cs="宋体"/>
                <w:szCs w:val="21"/>
              </w:rPr>
              <w:t>分，优得7-</w:t>
            </w:r>
            <w:r>
              <w:rPr>
                <w:rFonts w:ascii="宋体" w:hAnsi="宋体" w:cs="宋体"/>
                <w:szCs w:val="21"/>
              </w:rPr>
              <w:t>10</w:t>
            </w:r>
            <w:r>
              <w:rPr>
                <w:rFonts w:hint="eastAsia" w:ascii="宋体" w:hAnsi="宋体" w:cs="宋体"/>
                <w:szCs w:val="21"/>
              </w:rPr>
              <w:t>分、中得4-</w:t>
            </w:r>
            <w:r>
              <w:rPr>
                <w:rFonts w:ascii="宋体" w:hAnsi="宋体" w:cs="宋体"/>
                <w:szCs w:val="21"/>
              </w:rPr>
              <w:t>6</w:t>
            </w:r>
            <w:r>
              <w:rPr>
                <w:rFonts w:hint="eastAsia" w:ascii="宋体" w:hAnsi="宋体" w:cs="宋体"/>
                <w:szCs w:val="21"/>
              </w:rPr>
              <w:t>分、差得1-</w:t>
            </w:r>
            <w:r>
              <w:rPr>
                <w:rFonts w:ascii="宋体" w:hAnsi="宋体" w:cs="宋体"/>
                <w:szCs w:val="21"/>
              </w:rPr>
              <w:t>3</w:t>
            </w:r>
            <w:r>
              <w:rPr>
                <w:rFonts w:hint="eastAsia" w:ascii="宋体" w:hAnsi="宋体" w:cs="宋体"/>
                <w:szCs w:val="21"/>
              </w:rPr>
              <w:t>分；</w:t>
            </w:r>
          </w:p>
          <w:p>
            <w:pPr>
              <w:spacing w:line="0" w:lineRule="atLeas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市场调研及租金评估技术思路，分值1</w:t>
            </w:r>
            <w:r>
              <w:rPr>
                <w:rFonts w:ascii="宋体" w:hAnsi="宋体" w:cs="宋体"/>
                <w:szCs w:val="21"/>
              </w:rPr>
              <w:t>0</w:t>
            </w:r>
            <w:r>
              <w:rPr>
                <w:rFonts w:hint="eastAsia" w:ascii="宋体" w:hAnsi="宋体" w:cs="宋体"/>
                <w:szCs w:val="21"/>
              </w:rPr>
              <w:t>分，优得7-10分、中得4-6分、差得1-3分；</w:t>
            </w:r>
          </w:p>
          <w:p>
            <w:pPr>
              <w:spacing w:line="0" w:lineRule="atLeast"/>
              <w:rPr>
                <w:rFonts w:hint="eastAsia"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经济测算技术思路，分值2</w:t>
            </w:r>
            <w:r>
              <w:rPr>
                <w:rFonts w:ascii="宋体" w:hAnsi="宋体" w:cs="宋体"/>
                <w:szCs w:val="21"/>
              </w:rPr>
              <w:t>0</w:t>
            </w:r>
            <w:r>
              <w:rPr>
                <w:rFonts w:hint="eastAsia" w:ascii="宋体" w:hAnsi="宋体" w:cs="宋体"/>
                <w:szCs w:val="21"/>
              </w:rPr>
              <w:t>分，优得</w:t>
            </w:r>
            <w:r>
              <w:rPr>
                <w:rFonts w:ascii="宋体" w:hAnsi="宋体" w:cs="宋体"/>
                <w:szCs w:val="21"/>
              </w:rPr>
              <w:t>15</w:t>
            </w:r>
            <w:r>
              <w:rPr>
                <w:rFonts w:hint="eastAsia" w:ascii="宋体" w:hAnsi="宋体" w:cs="宋体"/>
                <w:szCs w:val="21"/>
              </w:rPr>
              <w:t>-</w:t>
            </w:r>
            <w:r>
              <w:rPr>
                <w:rFonts w:ascii="宋体" w:hAnsi="宋体" w:cs="宋体"/>
                <w:szCs w:val="21"/>
              </w:rPr>
              <w:t>20</w:t>
            </w:r>
            <w:r>
              <w:rPr>
                <w:rFonts w:hint="eastAsia" w:ascii="宋体" w:hAnsi="宋体" w:cs="宋体"/>
                <w:szCs w:val="21"/>
              </w:rPr>
              <w:t>分、中得</w:t>
            </w:r>
            <w:r>
              <w:rPr>
                <w:rFonts w:ascii="宋体" w:hAnsi="宋体" w:cs="宋体"/>
                <w:szCs w:val="21"/>
              </w:rPr>
              <w:t>8</w:t>
            </w:r>
            <w:r>
              <w:rPr>
                <w:rFonts w:hint="eastAsia" w:ascii="宋体" w:hAnsi="宋体" w:cs="宋体"/>
                <w:szCs w:val="21"/>
              </w:rPr>
              <w:t>-</w:t>
            </w:r>
            <w:r>
              <w:rPr>
                <w:rFonts w:ascii="宋体" w:hAnsi="宋体" w:cs="宋体"/>
                <w:szCs w:val="21"/>
              </w:rPr>
              <w:t>14</w:t>
            </w:r>
            <w:r>
              <w:rPr>
                <w:rFonts w:hint="eastAsia" w:ascii="宋体" w:hAnsi="宋体" w:cs="宋体"/>
                <w:szCs w:val="21"/>
              </w:rPr>
              <w:t>分、差得1-</w:t>
            </w:r>
            <w:r>
              <w:rPr>
                <w:rFonts w:ascii="宋体" w:hAnsi="宋体" w:cs="宋体"/>
                <w:szCs w:val="21"/>
              </w:rPr>
              <w:t>7</w:t>
            </w:r>
            <w:r>
              <w:rPr>
                <w:rFonts w:hint="eastAsia" w:ascii="宋体" w:hAnsi="宋体" w:cs="宋体"/>
                <w:szCs w:val="21"/>
              </w:rPr>
              <w:t>分。</w:t>
            </w:r>
          </w:p>
        </w:tc>
        <w:tc>
          <w:tcPr>
            <w:tcW w:w="510" w:type="pct"/>
            <w:noWrap w:val="0"/>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提供技术服务方案，并加盖工章</w:t>
            </w:r>
          </w:p>
        </w:tc>
        <w:tc>
          <w:tcPr>
            <w:tcW w:w="451" w:type="pct"/>
            <w:noWrap w:val="0"/>
            <w:vAlign w:val="center"/>
          </w:tcPr>
          <w:p>
            <w:pPr>
              <w:spacing w:line="0" w:lineRule="atLeast"/>
              <w:jc w:val="center"/>
              <w:rPr>
                <w:rFonts w:ascii="宋体" w:hAnsi="宋体" w:cs="宋体"/>
                <w:szCs w:val="21"/>
              </w:rPr>
            </w:pPr>
            <w:r>
              <w:rPr>
                <w:rFonts w:hint="eastAsia" w:ascii="宋体" w:hAnsi="宋体" w:cs="宋体"/>
                <w:szCs w:val="21"/>
              </w:rPr>
              <w:t>4</w:t>
            </w:r>
            <w:r>
              <w:rPr>
                <w:rFonts w:ascii="宋体" w:hAnsi="宋体" w:cs="宋体"/>
                <w:szCs w:val="21"/>
              </w:rPr>
              <w:t>0</w:t>
            </w:r>
            <w:r>
              <w:rPr>
                <w:rFonts w:hint="eastAsia" w:ascii="宋体" w:hAnsi="宋体" w:cs="宋体"/>
                <w:szCs w:val="21"/>
              </w:rPr>
              <w:t>分</w:t>
            </w:r>
          </w:p>
        </w:tc>
        <w:tc>
          <w:tcPr>
            <w:tcW w:w="357" w:type="pct"/>
            <w:noWrap w:val="0"/>
            <w:vAlign w:val="center"/>
          </w:tcPr>
          <w:p>
            <w:pPr>
              <w:spacing w:line="0" w:lineRule="atLeast"/>
              <w:jc w:val="center"/>
              <w:rPr>
                <w:rFonts w:ascii="宋体" w:hAnsi="宋体" w:cs="宋体"/>
                <w:szCs w:val="21"/>
              </w:rPr>
            </w:pPr>
          </w:p>
        </w:tc>
        <w:tc>
          <w:tcPr>
            <w:tcW w:w="357" w:type="pct"/>
            <w:noWrap w:val="0"/>
            <w:vAlign w:val="center"/>
          </w:tcPr>
          <w:p>
            <w:pPr>
              <w:spacing w:line="0" w:lineRule="atLeast"/>
              <w:jc w:val="center"/>
              <w:rPr>
                <w:rFonts w:ascii="宋体" w:hAnsi="宋体" w:cs="宋体"/>
                <w:szCs w:val="21"/>
              </w:rPr>
            </w:pPr>
          </w:p>
        </w:tc>
        <w:tc>
          <w:tcPr>
            <w:tcW w:w="357" w:type="pct"/>
            <w:noWrap w:val="0"/>
            <w:vAlign w:val="center"/>
          </w:tcPr>
          <w:p>
            <w:pPr>
              <w:spacing w:line="0" w:lineRule="atLeast"/>
              <w:jc w:val="center"/>
              <w:rPr>
                <w:rFonts w:ascii="宋体" w:hAnsi="宋体" w:cs="宋体"/>
                <w:szCs w:val="21"/>
              </w:rPr>
            </w:pPr>
          </w:p>
        </w:tc>
        <w:tc>
          <w:tcPr>
            <w:tcW w:w="357" w:type="pct"/>
            <w:noWrap w:val="0"/>
            <w:vAlign w:val="center"/>
          </w:tcPr>
          <w:p>
            <w:pPr>
              <w:spacing w:line="0" w:lineRule="atLeast"/>
              <w:jc w:val="center"/>
              <w:rPr>
                <w:rFonts w:ascii="宋体" w:hAnsi="宋体" w:cs="宋体"/>
                <w:szCs w:val="21"/>
              </w:rPr>
            </w:pPr>
          </w:p>
        </w:tc>
        <w:tc>
          <w:tcPr>
            <w:tcW w:w="357" w:type="pct"/>
            <w:noWrap w:val="0"/>
            <w:vAlign w:val="center"/>
          </w:tcPr>
          <w:p>
            <w:pPr>
              <w:spacing w:line="0" w:lineRule="atLeast"/>
              <w:jc w:val="center"/>
              <w:rPr>
                <w:rFonts w:ascii="宋体" w:hAnsi="宋体" w:cs="宋体"/>
                <w:szCs w:val="21"/>
              </w:rPr>
            </w:pPr>
          </w:p>
        </w:tc>
        <w:tc>
          <w:tcPr>
            <w:tcW w:w="354" w:type="pct"/>
            <w:noWrap w:val="0"/>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jc w:val="center"/>
        </w:trPr>
        <w:tc>
          <w:tcPr>
            <w:tcW w:w="236" w:type="pct"/>
            <w:noWrap w:val="0"/>
            <w:vAlign w:val="center"/>
          </w:tcPr>
          <w:p>
            <w:pPr>
              <w:widowControl/>
              <w:adjustRightInd w:val="0"/>
              <w:snapToGrid w:val="0"/>
              <w:spacing w:line="0" w:lineRule="atLeast"/>
              <w:jc w:val="center"/>
              <w:rPr>
                <w:rFonts w:ascii="宋体" w:hAnsi="宋体" w:cs="宋体"/>
                <w:szCs w:val="21"/>
              </w:rPr>
            </w:pPr>
            <w:r>
              <w:rPr>
                <w:rFonts w:ascii="宋体" w:hAnsi="宋体" w:cs="宋体"/>
                <w:szCs w:val="21"/>
              </w:rPr>
              <w:t>4</w:t>
            </w:r>
          </w:p>
        </w:tc>
        <w:tc>
          <w:tcPr>
            <w:tcW w:w="326" w:type="pct"/>
            <w:noWrap w:val="0"/>
            <w:vAlign w:val="center"/>
          </w:tcPr>
          <w:p>
            <w:pPr>
              <w:spacing w:line="0" w:lineRule="atLeast"/>
              <w:jc w:val="center"/>
              <w:rPr>
                <w:rFonts w:ascii="宋体" w:hAnsi="宋体" w:cs="宋体"/>
                <w:szCs w:val="21"/>
              </w:rPr>
            </w:pPr>
            <w:r>
              <w:rPr>
                <w:rFonts w:hint="eastAsia" w:ascii="宋体" w:hAnsi="宋体" w:cs="宋体"/>
                <w:szCs w:val="21"/>
              </w:rPr>
              <w:t>报价</w:t>
            </w:r>
          </w:p>
          <w:p>
            <w:pPr>
              <w:spacing w:line="0" w:lineRule="atLeast"/>
              <w:jc w:val="center"/>
              <w:rPr>
                <w:rFonts w:ascii="宋体" w:hAnsi="宋体" w:cs="宋体"/>
                <w:szCs w:val="21"/>
              </w:rPr>
            </w:pPr>
            <w:r>
              <w:rPr>
                <w:rFonts w:hint="eastAsia" w:ascii="宋体" w:hAnsi="宋体" w:cs="宋体"/>
                <w:szCs w:val="21"/>
              </w:rPr>
              <w:t>得分</w:t>
            </w:r>
          </w:p>
        </w:tc>
        <w:tc>
          <w:tcPr>
            <w:tcW w:w="1338" w:type="pct"/>
            <w:noWrap w:val="0"/>
            <w:vAlign w:val="center"/>
          </w:tcPr>
          <w:p>
            <w:pPr>
              <w:spacing w:line="0" w:lineRule="atLeast"/>
              <w:rPr>
                <w:rFonts w:ascii="宋体" w:hAnsi="宋体" w:cs="宋体"/>
                <w:szCs w:val="21"/>
              </w:rPr>
            </w:pPr>
            <w:r>
              <w:rPr>
                <w:rFonts w:hint="eastAsia" w:ascii="宋体" w:hAnsi="宋体" w:cs="宋体"/>
                <w:szCs w:val="21"/>
              </w:rPr>
              <w:t>报价得分</w:t>
            </w:r>
            <w:r>
              <w:rPr>
                <w:rFonts w:ascii="宋体" w:hAnsi="宋体" w:cs="宋体"/>
                <w:szCs w:val="21"/>
              </w:rPr>
              <w:t>=</w:t>
            </w:r>
            <w:r>
              <w:rPr>
                <w:rFonts w:hint="eastAsia" w:ascii="宋体" w:hAnsi="宋体" w:cs="宋体"/>
                <w:szCs w:val="21"/>
              </w:rPr>
              <w:t>2</w:t>
            </w:r>
            <w:r>
              <w:rPr>
                <w:rFonts w:ascii="宋体" w:hAnsi="宋体" w:cs="宋体"/>
                <w:szCs w:val="21"/>
              </w:rPr>
              <w:t>0*（</w:t>
            </w:r>
            <w:r>
              <w:rPr>
                <w:rFonts w:hint="eastAsia" w:ascii="宋体" w:hAnsi="宋体" w:cs="宋体"/>
                <w:szCs w:val="21"/>
              </w:rPr>
              <w:t>基准报价</w:t>
            </w:r>
            <w:r>
              <w:rPr>
                <w:rFonts w:ascii="宋体" w:hAnsi="宋体" w:cs="宋体"/>
                <w:szCs w:val="21"/>
              </w:rPr>
              <w:t>/</w:t>
            </w:r>
            <w:r>
              <w:rPr>
                <w:rFonts w:hint="eastAsia" w:ascii="宋体" w:hAnsi="宋体" w:cs="宋体"/>
                <w:szCs w:val="21"/>
              </w:rPr>
              <w:t>投标</w:t>
            </w:r>
            <w:r>
              <w:rPr>
                <w:rFonts w:ascii="宋体" w:hAnsi="宋体" w:cs="宋体"/>
                <w:szCs w:val="21"/>
              </w:rPr>
              <w:t>报价）</w:t>
            </w:r>
          </w:p>
          <w:p>
            <w:pPr>
              <w:spacing w:line="0" w:lineRule="atLeast"/>
              <w:rPr>
                <w:rFonts w:ascii="宋体" w:hAnsi="宋体" w:cs="宋体"/>
                <w:szCs w:val="21"/>
              </w:rPr>
            </w:pPr>
            <w:r>
              <w:rPr>
                <w:rFonts w:hint="eastAsia" w:ascii="宋体" w:hAnsi="宋体" w:cs="宋体"/>
                <w:szCs w:val="21"/>
              </w:rPr>
              <w:t>基准报价</w:t>
            </w:r>
            <w:r>
              <w:rPr>
                <w:rFonts w:ascii="宋体" w:hAnsi="宋体" w:cs="宋体"/>
                <w:szCs w:val="21"/>
              </w:rPr>
              <w:t>=</w:t>
            </w:r>
            <w:r>
              <w:rPr>
                <w:rFonts w:hint="eastAsia" w:ascii="宋体" w:hAnsi="宋体" w:cs="宋体"/>
                <w:szCs w:val="21"/>
              </w:rPr>
              <w:t>各有效投标人中的最低报价为基准报价</w:t>
            </w:r>
          </w:p>
        </w:tc>
        <w:tc>
          <w:tcPr>
            <w:tcW w:w="510" w:type="pct"/>
            <w:noWrap w:val="0"/>
            <w:vAlign w:val="center"/>
          </w:tcPr>
          <w:p>
            <w:pPr>
              <w:adjustRightInd w:val="0"/>
              <w:snapToGrid w:val="0"/>
              <w:spacing w:line="0" w:lineRule="atLeast"/>
              <w:jc w:val="center"/>
              <w:rPr>
                <w:rFonts w:ascii="宋体" w:hAnsi="宋体" w:cs="宋体"/>
                <w:szCs w:val="21"/>
              </w:rPr>
            </w:pPr>
            <w:r>
              <w:rPr>
                <w:rFonts w:hint="eastAsia" w:ascii="宋体" w:hAnsi="宋体" w:cs="宋体"/>
                <w:szCs w:val="21"/>
              </w:rPr>
              <w:t>提供响应报价，并加盖公章</w:t>
            </w:r>
          </w:p>
        </w:tc>
        <w:tc>
          <w:tcPr>
            <w:tcW w:w="451" w:type="pct"/>
            <w:noWrap w:val="0"/>
            <w:vAlign w:val="center"/>
          </w:tcPr>
          <w:p>
            <w:pPr>
              <w:spacing w:line="0" w:lineRule="atLeast"/>
              <w:jc w:val="center"/>
              <w:rPr>
                <w:rFonts w:ascii="宋体" w:hAnsi="宋体" w:cs="宋体"/>
                <w:szCs w:val="21"/>
              </w:rPr>
            </w:pPr>
            <w:r>
              <w:rPr>
                <w:rFonts w:hint="eastAsia" w:ascii="宋体" w:hAnsi="宋体" w:cs="宋体"/>
                <w:szCs w:val="21"/>
              </w:rPr>
              <w:t>2</w:t>
            </w:r>
            <w:r>
              <w:rPr>
                <w:rFonts w:ascii="宋体" w:hAnsi="宋体" w:cs="宋体"/>
                <w:szCs w:val="21"/>
              </w:rPr>
              <w:t>0</w:t>
            </w:r>
            <w:r>
              <w:rPr>
                <w:rFonts w:hint="eastAsia" w:ascii="宋体" w:hAnsi="宋体" w:cs="宋体"/>
                <w:szCs w:val="21"/>
              </w:rPr>
              <w:t>分</w:t>
            </w:r>
          </w:p>
        </w:tc>
        <w:tc>
          <w:tcPr>
            <w:tcW w:w="357" w:type="pct"/>
            <w:noWrap w:val="0"/>
            <w:vAlign w:val="center"/>
          </w:tcPr>
          <w:p>
            <w:pPr>
              <w:spacing w:line="0" w:lineRule="atLeast"/>
              <w:jc w:val="center"/>
              <w:rPr>
                <w:rFonts w:ascii="宋体" w:hAnsi="宋体" w:cs="宋体"/>
                <w:szCs w:val="21"/>
              </w:rPr>
            </w:pPr>
          </w:p>
        </w:tc>
        <w:tc>
          <w:tcPr>
            <w:tcW w:w="357" w:type="pct"/>
            <w:noWrap w:val="0"/>
            <w:vAlign w:val="center"/>
          </w:tcPr>
          <w:p>
            <w:pPr>
              <w:spacing w:line="0" w:lineRule="atLeast"/>
              <w:jc w:val="center"/>
              <w:rPr>
                <w:rFonts w:ascii="宋体" w:hAnsi="宋体" w:cs="宋体"/>
                <w:szCs w:val="21"/>
              </w:rPr>
            </w:pPr>
          </w:p>
        </w:tc>
        <w:tc>
          <w:tcPr>
            <w:tcW w:w="357" w:type="pct"/>
            <w:noWrap w:val="0"/>
            <w:vAlign w:val="center"/>
          </w:tcPr>
          <w:p>
            <w:pPr>
              <w:spacing w:line="0" w:lineRule="atLeast"/>
              <w:jc w:val="center"/>
              <w:rPr>
                <w:rFonts w:ascii="宋体" w:hAnsi="宋体" w:cs="宋体"/>
                <w:szCs w:val="21"/>
              </w:rPr>
            </w:pPr>
          </w:p>
        </w:tc>
        <w:tc>
          <w:tcPr>
            <w:tcW w:w="357" w:type="pct"/>
            <w:noWrap w:val="0"/>
            <w:vAlign w:val="center"/>
          </w:tcPr>
          <w:p>
            <w:pPr>
              <w:spacing w:line="0" w:lineRule="atLeast"/>
              <w:jc w:val="center"/>
              <w:rPr>
                <w:rFonts w:ascii="宋体" w:hAnsi="宋体" w:cs="宋体"/>
                <w:szCs w:val="21"/>
              </w:rPr>
            </w:pPr>
          </w:p>
        </w:tc>
        <w:tc>
          <w:tcPr>
            <w:tcW w:w="357" w:type="pct"/>
            <w:noWrap w:val="0"/>
            <w:vAlign w:val="center"/>
          </w:tcPr>
          <w:p>
            <w:pPr>
              <w:spacing w:line="0" w:lineRule="atLeast"/>
              <w:jc w:val="center"/>
              <w:rPr>
                <w:rFonts w:ascii="宋体" w:hAnsi="宋体" w:cs="宋体"/>
                <w:szCs w:val="21"/>
              </w:rPr>
            </w:pPr>
          </w:p>
        </w:tc>
        <w:tc>
          <w:tcPr>
            <w:tcW w:w="354" w:type="pct"/>
            <w:noWrap w:val="0"/>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409" w:type="pct"/>
            <w:gridSpan w:val="4"/>
            <w:noWrap w:val="0"/>
            <w:vAlign w:val="center"/>
          </w:tcPr>
          <w:p>
            <w:pPr>
              <w:widowControl/>
              <w:adjustRightInd w:val="0"/>
              <w:snapToGrid w:val="0"/>
              <w:spacing w:line="0" w:lineRule="atLeast"/>
              <w:jc w:val="center"/>
              <w:rPr>
                <w:rFonts w:ascii="宋体" w:hAnsi="宋体" w:cs="宋体"/>
                <w:szCs w:val="21"/>
              </w:rPr>
            </w:pPr>
            <w:r>
              <w:rPr>
                <w:rFonts w:hint="eastAsia" w:ascii="宋体" w:hAnsi="宋体" w:cs="宋体"/>
                <w:szCs w:val="21"/>
              </w:rPr>
              <w:t>合计</w:t>
            </w:r>
          </w:p>
        </w:tc>
        <w:tc>
          <w:tcPr>
            <w:tcW w:w="451" w:type="pct"/>
            <w:noWrap w:val="0"/>
            <w:vAlign w:val="center"/>
          </w:tcPr>
          <w:p>
            <w:pPr>
              <w:widowControl/>
              <w:adjustRightInd w:val="0"/>
              <w:snapToGrid w:val="0"/>
              <w:spacing w:line="0" w:lineRule="atLeast"/>
              <w:jc w:val="center"/>
              <w:rPr>
                <w:rFonts w:ascii="宋体" w:hAnsi="宋体" w:cs="宋体"/>
                <w:szCs w:val="21"/>
              </w:rPr>
            </w:pPr>
            <w:r>
              <w:rPr>
                <w:rFonts w:hint="eastAsia" w:ascii="宋体" w:hAnsi="宋体" w:cs="宋体"/>
                <w:szCs w:val="21"/>
              </w:rPr>
              <w:t>100分</w:t>
            </w:r>
          </w:p>
        </w:tc>
        <w:tc>
          <w:tcPr>
            <w:tcW w:w="357" w:type="pct"/>
            <w:noWrap w:val="0"/>
            <w:vAlign w:val="center"/>
          </w:tcPr>
          <w:p>
            <w:pPr>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4" w:type="pct"/>
            <w:noWrap w:val="0"/>
            <w:vAlign w:val="center"/>
          </w:tcPr>
          <w:p>
            <w:pPr>
              <w:adjustRightInd w:val="0"/>
              <w:snapToGrid w:val="0"/>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409" w:type="pct"/>
            <w:gridSpan w:val="4"/>
            <w:noWrap w:val="0"/>
            <w:vAlign w:val="center"/>
          </w:tcPr>
          <w:p>
            <w:pPr>
              <w:widowControl/>
              <w:adjustRightInd w:val="0"/>
              <w:snapToGrid w:val="0"/>
              <w:spacing w:line="0" w:lineRule="atLeast"/>
              <w:jc w:val="center"/>
              <w:rPr>
                <w:rFonts w:ascii="宋体" w:hAnsi="宋体" w:cs="宋体"/>
                <w:szCs w:val="21"/>
              </w:rPr>
            </w:pPr>
            <w:r>
              <w:rPr>
                <w:rFonts w:hint="eastAsia" w:ascii="宋体" w:hAnsi="宋体" w:cs="宋体"/>
                <w:b/>
                <w:bCs/>
                <w:szCs w:val="21"/>
              </w:rPr>
              <w:t>拟推荐成交候选供应商（原则推荐评审综合得分最高的单位）</w:t>
            </w:r>
          </w:p>
        </w:tc>
        <w:tc>
          <w:tcPr>
            <w:tcW w:w="451" w:type="pct"/>
            <w:noWrap w:val="0"/>
            <w:vAlign w:val="center"/>
          </w:tcPr>
          <w:p>
            <w:pPr>
              <w:widowControl/>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7" w:type="pct"/>
            <w:noWrap w:val="0"/>
            <w:vAlign w:val="center"/>
          </w:tcPr>
          <w:p>
            <w:pPr>
              <w:adjustRightInd w:val="0"/>
              <w:snapToGrid w:val="0"/>
              <w:spacing w:line="0" w:lineRule="atLeast"/>
              <w:jc w:val="center"/>
              <w:rPr>
                <w:rFonts w:ascii="宋体" w:hAnsi="宋体" w:cs="宋体"/>
                <w:szCs w:val="21"/>
              </w:rPr>
            </w:pPr>
          </w:p>
        </w:tc>
        <w:tc>
          <w:tcPr>
            <w:tcW w:w="354" w:type="pct"/>
            <w:noWrap w:val="0"/>
            <w:vAlign w:val="center"/>
          </w:tcPr>
          <w:p>
            <w:pPr>
              <w:adjustRightInd w:val="0"/>
              <w:snapToGrid w:val="0"/>
              <w:spacing w:line="0" w:lineRule="atLeast"/>
              <w:jc w:val="center"/>
              <w:rPr>
                <w:rFonts w:ascii="宋体" w:hAnsi="宋体" w:cs="宋体"/>
                <w:szCs w:val="21"/>
              </w:rPr>
            </w:pPr>
          </w:p>
        </w:tc>
      </w:tr>
      <w:bookmarkEnd w:id="0"/>
    </w:tbl>
    <w:p>
      <w:pPr>
        <w:ind w:firstLine="420" w:firstLineChars="200"/>
        <w:rPr>
          <w:rFonts w:ascii="黑体" w:hAnsi="黑体" w:eastAsia="黑体"/>
          <w:szCs w:val="21"/>
        </w:rPr>
      </w:pPr>
      <w:r>
        <w:rPr>
          <w:rFonts w:hint="eastAsia" w:ascii="黑体" w:hAnsi="黑体" w:eastAsia="黑体"/>
          <w:szCs w:val="21"/>
        </w:rPr>
        <w:t>备注：1.各项评审打分按照四舍五入，小数点后保留2位进行计算；</w:t>
      </w:r>
    </w:p>
    <w:p>
      <w:pPr>
        <w:rPr>
          <w:rFonts w:ascii="仿宋_GB2312" w:eastAsia="仿宋_GB2312"/>
          <w:b/>
          <w:bCs/>
          <w:sz w:val="30"/>
          <w:szCs w:val="30"/>
        </w:rPr>
      </w:pPr>
      <w:r>
        <w:rPr>
          <w:rFonts w:hint="eastAsia" w:ascii="黑体" w:hAnsi="黑体" w:eastAsia="黑体"/>
          <w:szCs w:val="21"/>
        </w:rPr>
        <w:t xml:space="preserve">          2.若出现拟推荐成交候选供应商票数相同的情况，以未推荐上述单位的评审专家对并列第一的候选供应商既定打分排序作为最终选定依据。</w:t>
      </w:r>
    </w:p>
    <w:p>
      <w:pPr>
        <w:rPr>
          <w:rFonts w:hint="eastAsia" w:ascii="仿宋_GB2312" w:eastAsia="仿宋_GB2312"/>
          <w:b/>
          <w:bCs/>
          <w:sz w:val="30"/>
          <w:szCs w:val="30"/>
        </w:rPr>
      </w:pPr>
    </w:p>
    <w:p>
      <w:pPr>
        <w:rPr>
          <w:rFonts w:hint="eastAsia" w:ascii="仿宋_GB2312" w:eastAsia="仿宋_GB2312"/>
          <w:b/>
          <w:bCs/>
          <w:sz w:val="30"/>
          <w:szCs w:val="30"/>
        </w:rPr>
      </w:pPr>
    </w:p>
    <w:p>
      <w:pPr>
        <w:rPr>
          <w:rFonts w:hint="eastAsia" w:ascii="仿宋_GB2312" w:eastAsia="仿宋_GB2312"/>
          <w:b/>
          <w:bCs/>
          <w:sz w:val="30"/>
          <w:szCs w:val="30"/>
        </w:rPr>
      </w:pPr>
    </w:p>
    <w:p>
      <w:pPr>
        <w:rPr>
          <w:rFonts w:hint="eastAsia" w:ascii="仿宋_GB2312" w:eastAsia="仿宋_GB2312"/>
          <w:b/>
          <w:bCs/>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73543"/>
    <w:rsid w:val="3357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2020-12-31T09:38:00Z</dcterms:created>
  <dc:creator>廖蜀黍</dc:creator>
  <cp:lastModifiedBy>廖蜀黍</cp:lastModifiedBy>
  <dcterms:modified xsi:type="dcterms:W3CDTF">2020-12-31T09:38:36Z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