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附件一：响应文件一览表</w:t>
      </w:r>
    </w:p>
    <w:bookmarkEnd w:id="0"/>
    <w:p>
      <w:pPr>
        <w:pStyle w:val="4"/>
        <w:widowControl/>
        <w:spacing w:line="560" w:lineRule="exac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>
      <w:pPr>
        <w:pStyle w:val="4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、资质证书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2019年至今有至少一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项同类工程（房屋建筑工程）监理业绩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提供合同协议书复印件。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履约情况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2019年至今有至少一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项监理相关履约证明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履约证明复印件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以履约证明上载明的时间为准，未体现履约评价时间的，则不予统计。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内容包括不限于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对本项目的理解、拟派遣团队及业绩、响应速度、工期计划及相关服务保证措施等，</w:t>
            </w:r>
            <w:r>
              <w:rPr>
                <w:rFonts w:hint="eastAsia" w:ascii="宋体" w:hAnsi="宋体"/>
                <w:color w:val="000000"/>
                <w:szCs w:val="21"/>
              </w:rPr>
              <w:t>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65C4"/>
    <w:rsid w:val="302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2020-12-16T06:10:00Z</dcterms:created>
  <dc:creator>廖蜀黍</dc:creator>
  <cp:lastModifiedBy>廖蜀黍</cp:lastModifiedBy>
  <dcterms:modified xsi:type="dcterms:W3CDTF">2020-12-16T06:10:54Z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