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00" w:lineRule="auto"/>
        <w:jc w:val="center"/>
        <w:outlineLvl w:val="0"/>
        <w:rPr>
          <w:rFonts w:ascii="宋体" w:hAnsi="宋体"/>
          <w:b/>
          <w:bCs/>
          <w:color w:val="000000"/>
          <w:sz w:val="28"/>
        </w:rPr>
      </w:pPr>
      <w:r>
        <w:rPr>
          <w:rFonts w:hint="eastAsia" w:ascii="宋体" w:hAnsi="宋体"/>
          <w:b/>
          <w:bCs/>
          <w:color w:val="000000"/>
          <w:sz w:val="28"/>
        </w:rPr>
        <w:t>评</w:t>
      </w:r>
      <w:r>
        <w:rPr>
          <w:rFonts w:hint="eastAsia" w:ascii="宋体" w:hAnsi="宋体"/>
          <w:b/>
          <w:bCs/>
          <w:color w:val="000000"/>
          <w:sz w:val="28"/>
          <w:lang w:val="en-US" w:eastAsia="zh-CN"/>
        </w:rPr>
        <w:t>审</w:t>
      </w:r>
      <w:r>
        <w:rPr>
          <w:rFonts w:hint="eastAsia" w:ascii="宋体" w:hAnsi="宋体"/>
          <w:b/>
          <w:bCs/>
          <w:color w:val="000000"/>
          <w:sz w:val="28"/>
        </w:rPr>
        <w:t>标准</w:t>
      </w:r>
    </w:p>
    <w:tbl>
      <w:tblPr>
        <w:tblStyle w:val="4"/>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60"/>
        <w:gridCol w:w="1484"/>
        <w:gridCol w:w="743"/>
        <w:gridCol w:w="1188"/>
        <w:gridCol w:w="5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highlight w:val="none"/>
              </w:rPr>
            </w:pPr>
            <w:bookmarkStart w:id="0" w:name="InsertEnd"/>
            <w:bookmarkEnd w:id="0"/>
            <w:r>
              <w:rPr>
                <w:rFonts w:hint="eastAsia" w:ascii="宋体" w:hAnsi="宋体" w:cs="宋体"/>
                <w:b/>
                <w:bCs/>
                <w:szCs w:val="21"/>
                <w:highlight w:val="none"/>
              </w:rPr>
              <w:t>序号</w:t>
            </w:r>
          </w:p>
        </w:tc>
        <w:tc>
          <w:tcPr>
            <w:tcW w:w="1060" w:type="dxa"/>
            <w:tcBorders>
              <w:top w:val="single" w:color="auto" w:sz="4" w:space="0"/>
              <w:left w:val="nil"/>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评分项</w:t>
            </w:r>
          </w:p>
        </w:tc>
        <w:tc>
          <w:tcPr>
            <w:tcW w:w="8464" w:type="dxa"/>
            <w:gridSpan w:val="4"/>
            <w:tcBorders>
              <w:top w:val="single" w:color="auto" w:sz="4" w:space="0"/>
              <w:left w:val="nil"/>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1</w:t>
            </w:r>
          </w:p>
        </w:tc>
        <w:tc>
          <w:tcPr>
            <w:tcW w:w="1060" w:type="dxa"/>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价格部分20分</w:t>
            </w:r>
          </w:p>
        </w:tc>
        <w:tc>
          <w:tcPr>
            <w:tcW w:w="8464" w:type="dxa"/>
            <w:gridSpan w:val="4"/>
            <w:tcBorders>
              <w:top w:val="single" w:color="auto" w:sz="4" w:space="0"/>
              <w:left w:val="nil"/>
              <w:bottom w:val="single" w:color="auto" w:sz="4" w:space="0"/>
              <w:right w:val="single" w:color="auto" w:sz="4" w:space="0"/>
            </w:tcBorders>
          </w:tcPr>
          <w:p>
            <w:pPr>
              <w:ind w:firstLine="316" w:firstLineChars="150"/>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投标报价得分=(评标基准价/有效投标报价)×价格分权值</w:t>
            </w:r>
          </w:p>
          <w:p>
            <w:pPr>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w:t>
            </w:r>
          </w:p>
          <w:p>
            <w:pPr>
              <w:numPr>
                <w:ilvl w:val="0"/>
                <w:numId w:val="1"/>
              </w:numPr>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评标价是指按照招标文件的要求通过商务和技术初步审核并调整后的最终价格。</w:t>
            </w:r>
          </w:p>
          <w:p>
            <w:pPr>
              <w:numPr>
                <w:ilvl w:val="0"/>
                <w:numId w:val="1"/>
              </w:numPr>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价格评分仅限于有效投标人，</w:t>
            </w:r>
            <w:r>
              <w:rPr>
                <w:rFonts w:hint="eastAsia" w:ascii="宋体" w:hAnsi="宋体" w:cs="宋体"/>
                <w:color w:val="000000" w:themeColor="text1"/>
                <w:szCs w:val="21"/>
                <w:highlight w:val="none"/>
                <w14:textFill>
                  <w14:solidFill>
                    <w14:schemeClr w14:val="tx1"/>
                  </w14:solidFill>
                </w14:textFill>
              </w:rPr>
              <w:t>当价格分&lt;0时，取0。</w:t>
            </w:r>
          </w:p>
          <w:p>
            <w:pPr>
              <w:numPr>
                <w:ilvl w:val="0"/>
                <w:numId w:val="1"/>
              </w:numPr>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工信部联企业【2011】300号要求或财库〔2020〕46号或财库〔2017〕141号文件要求的投标人价格给予6%的扣除，用扣除后的价格参与评审。</w:t>
            </w:r>
            <w:r>
              <w:rPr>
                <w:rFonts w:hint="eastAsia" w:ascii="宋体" w:hAnsi="宋体" w:cs="宋体"/>
                <w:bCs/>
                <w:color w:val="000000" w:themeColor="text1"/>
                <w:szCs w:val="21"/>
                <w:highlight w:val="none"/>
                <w14:textFill>
                  <w14:solidFill>
                    <w14:schemeClr w14:val="tx1"/>
                  </w14:solidFill>
                </w14:textFill>
              </w:rPr>
              <w:br w:type="textWrapping"/>
            </w:r>
            <w:r>
              <w:rPr>
                <w:rFonts w:hint="eastAsia" w:ascii="宋体" w:hAnsi="宋体" w:cs="宋体"/>
                <w:bCs/>
                <w:color w:val="000000" w:themeColor="text1"/>
                <w:szCs w:val="21"/>
                <w:highlight w:val="none"/>
                <w14:textFill>
                  <w14:solidFill>
                    <w14:schemeClr w14:val="tx1"/>
                  </w14:solidFill>
                </w14:textFill>
              </w:rPr>
              <w:t>3.1如符合工信部联企业【2011】300号要求的投标人应提供《中小企业声明函》，否则不予扣除。</w:t>
            </w:r>
            <w:r>
              <w:rPr>
                <w:rFonts w:hint="eastAsia" w:ascii="宋体" w:hAnsi="宋体" w:cs="宋体"/>
                <w:bCs/>
                <w:color w:val="000000" w:themeColor="text1"/>
                <w:szCs w:val="21"/>
                <w:highlight w:val="none"/>
                <w14:textFill>
                  <w14:solidFill>
                    <w14:schemeClr w14:val="tx1"/>
                  </w14:solidFill>
                </w14:textFill>
              </w:rPr>
              <w:br w:type="textWrapping"/>
            </w:r>
            <w:r>
              <w:rPr>
                <w:rFonts w:hint="eastAsia" w:ascii="宋体" w:hAnsi="宋体" w:cs="宋体"/>
                <w:bCs/>
                <w:color w:val="000000" w:themeColor="text1"/>
                <w:szCs w:val="21"/>
                <w:highlight w:val="none"/>
                <w14:textFill>
                  <w14:solidFill>
                    <w14:schemeClr w14:val="tx1"/>
                  </w14:solidFill>
                </w14:textFill>
              </w:rPr>
              <w:t xml:space="preserve">3.2如符合财库〔2017〕141号文件要求的投标人应提供《残疾人福利性单位声明函》原件加盖投标人公章，否则不予扣除。 </w:t>
            </w:r>
          </w:p>
          <w:p>
            <w:pPr>
              <w:ind w:left="420" w:leftChars="200"/>
              <w:jc w:val="left"/>
              <w:rPr>
                <w:rFonts w:ascii="宋体" w:hAnsi="宋体" w:cs="宋体"/>
                <w:b/>
                <w:bCs/>
                <w:szCs w:val="21"/>
                <w:highlight w:val="none"/>
              </w:rPr>
            </w:pPr>
            <w:r>
              <w:rPr>
                <w:rFonts w:hint="eastAsia" w:ascii="宋体" w:hAnsi="宋体" w:cs="宋体"/>
                <w:bCs/>
                <w:color w:val="000000" w:themeColor="text1"/>
                <w:szCs w:val="21"/>
                <w:highlight w:val="none"/>
                <w14:textFill>
                  <w14:solidFill>
                    <w14:schemeClr w14:val="tx1"/>
                  </w14:solidFill>
                </w14:textFill>
              </w:rPr>
              <w:t>3.3如符合国发[2003]7号和财库[2014]68号要求的监狱企业应当提供《监狱企业声明函》及由省级以上监狱管理局、戒毒管理局（含新疆生产建设兵团）出具的属于监狱企业的证明文件复印件加盖投标人法人公章，否则不予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2</w:t>
            </w:r>
          </w:p>
        </w:tc>
        <w:tc>
          <w:tcPr>
            <w:tcW w:w="1060" w:type="dxa"/>
            <w:tcBorders>
              <w:top w:val="single" w:color="auto" w:sz="4" w:space="0"/>
              <w:left w:val="nil"/>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rPr>
              <w:t>技术部分</w:t>
            </w:r>
          </w:p>
        </w:tc>
        <w:tc>
          <w:tcPr>
            <w:tcW w:w="8464" w:type="dxa"/>
            <w:gridSpan w:val="4"/>
            <w:tcBorders>
              <w:top w:val="single" w:color="auto" w:sz="4" w:space="0"/>
              <w:left w:val="nil"/>
              <w:bottom w:val="single" w:color="auto" w:sz="4" w:space="0"/>
              <w:right w:val="single" w:color="auto" w:sz="4" w:space="0"/>
            </w:tcBorders>
          </w:tcPr>
          <w:p>
            <w:pPr>
              <w:jc w:val="center"/>
              <w:rPr>
                <w:rFonts w:ascii="宋体" w:hAnsi="宋体" w:cs="宋体"/>
                <w:b/>
                <w:bCs/>
                <w:szCs w:val="21"/>
                <w:highlight w:val="none"/>
              </w:rPr>
            </w:pPr>
            <w:r>
              <w:rPr>
                <w:rFonts w:hint="eastAsia" w:ascii="宋体" w:hAnsi="宋体" w:cs="宋体"/>
                <w:b/>
                <w:bCs/>
                <w:szCs w:val="21"/>
                <w:highlight w:val="none"/>
                <w:lang w:val="en-US" w:eastAsia="zh-CN"/>
              </w:rPr>
              <w:t>50</w:t>
            </w:r>
            <w:r>
              <w:rPr>
                <w:rFonts w:hint="eastAsia" w:ascii="宋体" w:hAnsi="宋体" w:cs="宋体"/>
                <w:b/>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restart"/>
            <w:tcBorders>
              <w:top w:val="nil"/>
              <w:left w:val="single" w:color="auto" w:sz="4" w:space="0"/>
              <w:right w:val="single" w:color="auto" w:sz="4" w:space="0"/>
            </w:tcBorders>
          </w:tcPr>
          <w:p>
            <w:pPr>
              <w:jc w:val="center"/>
              <w:rPr>
                <w:rFonts w:ascii="宋体" w:hAnsi="宋体" w:cs="宋体"/>
                <w:szCs w:val="21"/>
                <w:highlight w:val="none"/>
              </w:rPr>
            </w:pPr>
          </w:p>
        </w:tc>
        <w:tc>
          <w:tcPr>
            <w:tcW w:w="1060"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序号</w:t>
            </w:r>
          </w:p>
        </w:tc>
        <w:tc>
          <w:tcPr>
            <w:tcW w:w="1484"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评分因素</w:t>
            </w:r>
          </w:p>
        </w:tc>
        <w:tc>
          <w:tcPr>
            <w:tcW w:w="743"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权重</w:t>
            </w:r>
          </w:p>
        </w:tc>
        <w:tc>
          <w:tcPr>
            <w:tcW w:w="1188"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评分方式</w:t>
            </w:r>
          </w:p>
        </w:tc>
        <w:tc>
          <w:tcPr>
            <w:tcW w:w="5049"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1484"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用户需求响应程度</w:t>
            </w:r>
          </w:p>
        </w:tc>
        <w:tc>
          <w:tcPr>
            <w:tcW w:w="74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10</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pStyle w:val="3"/>
              <w:tabs>
                <w:tab w:val="left" w:pos="312"/>
                <w:tab w:val="left" w:pos="720"/>
              </w:tabs>
              <w:rPr>
                <w:rFonts w:ascii="宋体" w:hAnsi="宋体" w:cs="宋体"/>
                <w:szCs w:val="21"/>
                <w:highlight w:val="none"/>
              </w:rPr>
            </w:pPr>
            <w:r>
              <w:rPr>
                <w:rFonts w:hint="eastAsia" w:ascii="宋体" w:hAnsi="宋体" w:cs="宋体"/>
                <w:szCs w:val="21"/>
                <w:highlight w:val="none"/>
              </w:rPr>
              <w:t>根据投标人用户需求响应程度进行评定，满足100%服务需求得10分；满足80%以上服务需求得</w:t>
            </w:r>
            <w:r>
              <w:rPr>
                <w:rFonts w:hint="eastAsia" w:ascii="宋体" w:hAnsi="宋体" w:cs="宋体"/>
                <w:szCs w:val="21"/>
                <w:highlight w:val="none"/>
                <w:lang w:val="en-US" w:eastAsia="zh-CN"/>
              </w:rPr>
              <w:t>8</w:t>
            </w:r>
            <w:r>
              <w:rPr>
                <w:rFonts w:hint="eastAsia" w:ascii="宋体" w:hAnsi="宋体" w:cs="宋体"/>
                <w:szCs w:val="21"/>
                <w:highlight w:val="none"/>
              </w:rPr>
              <w:t>分；满足60%以上服务需求得</w:t>
            </w:r>
            <w:r>
              <w:rPr>
                <w:rFonts w:hint="eastAsia" w:ascii="宋体" w:hAnsi="宋体" w:cs="宋体"/>
                <w:szCs w:val="21"/>
                <w:highlight w:val="none"/>
                <w:lang w:val="en-US" w:eastAsia="zh-CN"/>
              </w:rPr>
              <w:t>6</w:t>
            </w:r>
            <w:r>
              <w:rPr>
                <w:rFonts w:hint="eastAsia" w:ascii="宋体" w:hAnsi="宋体" w:cs="宋体"/>
                <w:szCs w:val="21"/>
                <w:highlight w:val="none"/>
              </w:rPr>
              <w:t>分；满足服务需求低于60%的不得分。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2</w:t>
            </w:r>
          </w:p>
        </w:tc>
        <w:tc>
          <w:tcPr>
            <w:tcW w:w="1484"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项目的理解和认识情况</w:t>
            </w:r>
          </w:p>
        </w:tc>
        <w:tc>
          <w:tcPr>
            <w:tcW w:w="7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val="en-US" w:eastAsia="zh-CN"/>
              </w:rPr>
              <w:t>2</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pStyle w:val="3"/>
              <w:tabs>
                <w:tab w:val="left" w:pos="312"/>
                <w:tab w:val="left" w:pos="720"/>
              </w:tabs>
              <w:rPr>
                <w:rFonts w:ascii="宋体" w:hAnsi="宋体" w:cs="宋体"/>
                <w:szCs w:val="21"/>
                <w:highlight w:val="none"/>
              </w:rPr>
            </w:pPr>
            <w:r>
              <w:rPr>
                <w:rFonts w:hint="eastAsia" w:ascii="宋体" w:hAnsi="宋体" w:cs="宋体"/>
                <w:szCs w:val="21"/>
                <w:highlight w:val="none"/>
              </w:rPr>
              <w:t>根据投标人对项目的理解和认识情况，对工作措施、工作方法、工作手段、工作流程等方面进行评审。</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根据投标人项目服务方案响应情况横向对比打分。评审标准：</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优：服务方案完善可行、内容全面具体、针对性强、可操作性强，得1</w:t>
            </w:r>
            <w:r>
              <w:rPr>
                <w:rFonts w:hint="eastAsia" w:ascii="宋体" w:hAnsi="宋体" w:cs="宋体"/>
                <w:szCs w:val="21"/>
                <w:highlight w:val="none"/>
                <w:lang w:val="en-US" w:eastAsia="zh-CN"/>
              </w:rPr>
              <w:t>2</w:t>
            </w:r>
            <w:r>
              <w:rPr>
                <w:rFonts w:hint="eastAsia" w:ascii="宋体" w:hAnsi="宋体" w:cs="宋体"/>
                <w:szCs w:val="21"/>
                <w:highlight w:val="none"/>
              </w:rPr>
              <w:t>分；</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良：服务方案内容较全面、针对性较强、可操作性较强，得</w:t>
            </w:r>
            <w:r>
              <w:rPr>
                <w:rFonts w:hint="eastAsia" w:ascii="宋体" w:hAnsi="宋体" w:cs="宋体"/>
                <w:szCs w:val="21"/>
                <w:highlight w:val="none"/>
                <w:lang w:val="en-US" w:eastAsia="zh-CN"/>
              </w:rPr>
              <w:t>8</w:t>
            </w:r>
            <w:r>
              <w:rPr>
                <w:rFonts w:hint="eastAsia" w:ascii="宋体" w:hAnsi="宋体" w:cs="宋体"/>
                <w:szCs w:val="21"/>
                <w:highlight w:val="none"/>
              </w:rPr>
              <w:t>分；</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中：服务方案内容完整性、针对性、可操作性均一般，得</w:t>
            </w:r>
            <w:r>
              <w:rPr>
                <w:rFonts w:hint="eastAsia" w:ascii="宋体" w:hAnsi="宋体" w:cs="宋体"/>
                <w:szCs w:val="21"/>
                <w:highlight w:val="none"/>
                <w:lang w:val="en-US" w:eastAsia="zh-CN"/>
              </w:rPr>
              <w:t>5</w:t>
            </w:r>
            <w:r>
              <w:rPr>
                <w:rFonts w:hint="eastAsia" w:ascii="宋体" w:hAnsi="宋体" w:cs="宋体"/>
                <w:szCs w:val="21"/>
                <w:highlight w:val="none"/>
              </w:rPr>
              <w:t>分；</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差：服务方案内容不科学、不完整、针对性较弱，得1分。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ascii="宋体" w:hAnsi="宋体" w:cs="宋体"/>
                <w:szCs w:val="21"/>
                <w:highlight w:val="none"/>
              </w:rPr>
              <w:t>2</w:t>
            </w:r>
          </w:p>
        </w:tc>
        <w:tc>
          <w:tcPr>
            <w:tcW w:w="1484"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辅导计划编制、工作进度计划及进度保证措施</w:t>
            </w:r>
          </w:p>
        </w:tc>
        <w:tc>
          <w:tcPr>
            <w:tcW w:w="7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rPr>
              <w:t>1</w:t>
            </w:r>
            <w:r>
              <w:rPr>
                <w:rFonts w:hint="eastAsia" w:ascii="宋体" w:hAnsi="宋体" w:cs="宋体"/>
                <w:szCs w:val="21"/>
                <w:highlight w:val="none"/>
                <w:lang w:val="en-US" w:eastAsia="zh-CN"/>
              </w:rPr>
              <w:t>2</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pStyle w:val="3"/>
              <w:tabs>
                <w:tab w:val="left" w:pos="312"/>
                <w:tab w:val="left" w:pos="720"/>
              </w:tabs>
              <w:rPr>
                <w:rFonts w:ascii="宋体" w:hAnsi="宋体" w:cs="宋体"/>
                <w:szCs w:val="21"/>
                <w:highlight w:val="none"/>
              </w:rPr>
            </w:pPr>
            <w:r>
              <w:rPr>
                <w:rFonts w:hint="eastAsia" w:ascii="宋体" w:hAnsi="宋体" w:cs="宋体"/>
                <w:szCs w:val="21"/>
                <w:highlight w:val="none"/>
              </w:rPr>
              <w:t>1.根据投标人辅导计划编制进行评定，内容科学完善、思路清晰的得</w:t>
            </w:r>
            <w:r>
              <w:rPr>
                <w:rFonts w:hint="eastAsia" w:ascii="宋体" w:hAnsi="宋体" w:cs="宋体"/>
                <w:szCs w:val="21"/>
                <w:highlight w:val="none"/>
                <w:lang w:val="en-US" w:eastAsia="zh-CN"/>
              </w:rPr>
              <w:t>6</w:t>
            </w:r>
            <w:r>
              <w:rPr>
                <w:rFonts w:hint="eastAsia" w:ascii="宋体" w:hAnsi="宋体" w:cs="宋体"/>
                <w:szCs w:val="21"/>
                <w:highlight w:val="none"/>
              </w:rPr>
              <w:t>分；内容较科学完善、思路较清晰的得</w:t>
            </w:r>
            <w:r>
              <w:rPr>
                <w:rFonts w:hint="eastAsia" w:ascii="宋体" w:hAnsi="宋体" w:cs="宋体"/>
                <w:szCs w:val="21"/>
                <w:highlight w:val="none"/>
                <w:lang w:val="en-US" w:eastAsia="zh-CN"/>
              </w:rPr>
              <w:t>4</w:t>
            </w:r>
            <w:r>
              <w:rPr>
                <w:rFonts w:hint="eastAsia" w:ascii="宋体" w:hAnsi="宋体" w:cs="宋体"/>
                <w:szCs w:val="21"/>
                <w:highlight w:val="none"/>
              </w:rPr>
              <w:t>分；内容基本科学完善、思路基本清晰的得</w:t>
            </w:r>
            <w:r>
              <w:rPr>
                <w:rFonts w:hint="eastAsia" w:ascii="宋体" w:hAnsi="宋体" w:cs="宋体"/>
                <w:szCs w:val="21"/>
                <w:highlight w:val="none"/>
                <w:lang w:val="en-US" w:eastAsia="zh-CN"/>
              </w:rPr>
              <w:t>2</w:t>
            </w:r>
            <w:r>
              <w:rPr>
                <w:rFonts w:hint="eastAsia" w:ascii="宋体" w:hAnsi="宋体" w:cs="宋体"/>
                <w:szCs w:val="21"/>
                <w:highlight w:val="none"/>
              </w:rPr>
              <w:t>分；内容不够科学完善、思路不够清晰的得1分；未作说明的不得分。</w:t>
            </w:r>
          </w:p>
          <w:p>
            <w:pPr>
              <w:pStyle w:val="3"/>
              <w:tabs>
                <w:tab w:val="left" w:pos="312"/>
                <w:tab w:val="left" w:pos="720"/>
              </w:tabs>
              <w:rPr>
                <w:rFonts w:ascii="宋体" w:hAnsi="宋体" w:cs="宋体"/>
                <w:szCs w:val="21"/>
                <w:highlight w:val="none"/>
              </w:rPr>
            </w:pPr>
            <w:r>
              <w:rPr>
                <w:rFonts w:hint="eastAsia" w:ascii="宋体" w:hAnsi="宋体" w:cs="宋体"/>
                <w:szCs w:val="21"/>
                <w:highlight w:val="none"/>
              </w:rPr>
              <w:t>2.根据投标人的工作进度计划及进度保证措施进行评定，计划科学合理、进度有充分保障的得</w:t>
            </w:r>
            <w:r>
              <w:rPr>
                <w:rFonts w:hint="eastAsia" w:ascii="宋体" w:hAnsi="宋体" w:cs="宋体"/>
                <w:szCs w:val="21"/>
                <w:highlight w:val="none"/>
                <w:lang w:val="en-US" w:eastAsia="zh-CN"/>
              </w:rPr>
              <w:t>6</w:t>
            </w:r>
            <w:r>
              <w:rPr>
                <w:rFonts w:hint="eastAsia" w:ascii="宋体" w:hAnsi="宋体" w:cs="宋体"/>
                <w:szCs w:val="21"/>
                <w:highlight w:val="none"/>
              </w:rPr>
              <w:t>分；计划较科学合理、进度较有保障的得</w:t>
            </w:r>
            <w:r>
              <w:rPr>
                <w:rFonts w:hint="eastAsia" w:ascii="宋体" w:hAnsi="宋体" w:cs="宋体"/>
                <w:szCs w:val="21"/>
                <w:highlight w:val="none"/>
                <w:lang w:val="en-US" w:eastAsia="zh-CN"/>
              </w:rPr>
              <w:t>4</w:t>
            </w:r>
            <w:r>
              <w:rPr>
                <w:rFonts w:hint="eastAsia" w:ascii="宋体" w:hAnsi="宋体" w:cs="宋体"/>
                <w:szCs w:val="21"/>
                <w:highlight w:val="none"/>
              </w:rPr>
              <w:t>分；计划不够科学合理、进度保障不充分的得1分。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3</w:t>
            </w:r>
          </w:p>
        </w:tc>
        <w:tc>
          <w:tcPr>
            <w:tcW w:w="1484"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项目的重点、难点及相关应对措施</w:t>
            </w:r>
          </w:p>
        </w:tc>
        <w:tc>
          <w:tcPr>
            <w:tcW w:w="74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10</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pStyle w:val="3"/>
              <w:tabs>
                <w:tab w:val="left" w:pos="312"/>
                <w:tab w:val="left" w:pos="720"/>
              </w:tabs>
              <w:rPr>
                <w:rStyle w:val="7"/>
                <w:rFonts w:eastAsia="宋体" w:cs="宋体"/>
                <w:bCs w:val="0"/>
                <w:sz w:val="21"/>
                <w:szCs w:val="21"/>
                <w:highlight w:val="none"/>
              </w:rPr>
            </w:pPr>
            <w:r>
              <w:rPr>
                <w:rFonts w:hint="eastAsia" w:ascii="宋体" w:hAnsi="宋体" w:cs="宋体"/>
                <w:szCs w:val="21"/>
                <w:highlight w:val="none"/>
              </w:rPr>
              <w:t>根据投标人对本项目的重点、难点及相关应对措施进行评定，内容完善、与实际符合度高的得10分；内容完善、与实际符合度较高的得5分；内容不够完善、与实际符合较低的得1分。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4</w:t>
            </w:r>
          </w:p>
        </w:tc>
        <w:tc>
          <w:tcPr>
            <w:tcW w:w="1484" w:type="dxa"/>
            <w:tcBorders>
              <w:top w:val="single" w:color="auto" w:sz="4" w:space="0"/>
              <w:left w:val="nil"/>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项目推进过程中的质量措施</w:t>
            </w:r>
          </w:p>
        </w:tc>
        <w:tc>
          <w:tcPr>
            <w:tcW w:w="7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6</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pStyle w:val="3"/>
              <w:tabs>
                <w:tab w:val="left" w:pos="312"/>
                <w:tab w:val="left" w:pos="720"/>
              </w:tabs>
              <w:rPr>
                <w:rFonts w:ascii="宋体" w:hAnsi="宋体" w:cs="宋体"/>
                <w:szCs w:val="21"/>
                <w:highlight w:val="none"/>
              </w:rPr>
            </w:pPr>
            <w:r>
              <w:rPr>
                <w:rFonts w:hint="eastAsia" w:ascii="宋体" w:hAnsi="宋体" w:cs="宋体"/>
                <w:szCs w:val="21"/>
                <w:highlight w:val="none"/>
              </w:rPr>
              <w:t>根据投标人的对项目推进过程中的质量措施进行评定，内容完善、有充分保障的得</w:t>
            </w:r>
            <w:r>
              <w:rPr>
                <w:rFonts w:hint="eastAsia" w:ascii="宋体" w:hAnsi="宋体" w:cs="宋体"/>
                <w:szCs w:val="21"/>
                <w:highlight w:val="none"/>
                <w:lang w:val="en-US" w:eastAsia="zh-CN"/>
              </w:rPr>
              <w:t>6</w:t>
            </w:r>
            <w:r>
              <w:rPr>
                <w:rFonts w:hint="eastAsia" w:ascii="宋体" w:hAnsi="宋体" w:cs="宋体"/>
                <w:szCs w:val="21"/>
                <w:highlight w:val="none"/>
              </w:rPr>
              <w:t>分；内容较完善、质量较有保障的得3分；计划不够科学合理、进度保障不充分的得1分。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3</w:t>
            </w:r>
          </w:p>
        </w:tc>
        <w:tc>
          <w:tcPr>
            <w:tcW w:w="1060" w:type="dxa"/>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rPr>
              <w:t>商务部分</w:t>
            </w:r>
          </w:p>
        </w:tc>
        <w:tc>
          <w:tcPr>
            <w:tcW w:w="8464"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b/>
                <w:bCs/>
                <w:szCs w:val="21"/>
                <w:highlight w:val="none"/>
              </w:rPr>
            </w:pPr>
            <w:r>
              <w:rPr>
                <w:rFonts w:hint="eastAsia" w:ascii="宋体" w:hAnsi="宋体" w:cs="宋体"/>
                <w:b/>
                <w:bCs/>
                <w:szCs w:val="21"/>
                <w:highlight w:val="none"/>
                <w:lang w:val="en-US" w:eastAsia="zh-CN"/>
              </w:rPr>
              <w:t>30</w:t>
            </w:r>
            <w:r>
              <w:rPr>
                <w:rFonts w:hint="eastAsia" w:ascii="宋体" w:hAnsi="宋体" w:cs="宋体"/>
                <w:b/>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restart"/>
            <w:tcBorders>
              <w:top w:val="nil"/>
              <w:left w:val="single" w:color="auto" w:sz="4" w:space="0"/>
              <w:right w:val="single" w:color="auto" w:sz="4" w:space="0"/>
            </w:tcBorders>
          </w:tcPr>
          <w:p>
            <w:pPr>
              <w:jc w:val="center"/>
              <w:rPr>
                <w:rFonts w:ascii="宋体" w:hAnsi="宋体" w:cs="宋体"/>
                <w:szCs w:val="21"/>
                <w:highlight w:val="none"/>
              </w:rPr>
            </w:pPr>
          </w:p>
        </w:tc>
        <w:tc>
          <w:tcPr>
            <w:tcW w:w="1060"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序号</w:t>
            </w:r>
          </w:p>
        </w:tc>
        <w:tc>
          <w:tcPr>
            <w:tcW w:w="1484"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评分因素</w:t>
            </w:r>
          </w:p>
        </w:tc>
        <w:tc>
          <w:tcPr>
            <w:tcW w:w="743"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权重</w:t>
            </w:r>
          </w:p>
        </w:tc>
        <w:tc>
          <w:tcPr>
            <w:tcW w:w="1188"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评分方式</w:t>
            </w:r>
          </w:p>
        </w:tc>
        <w:tc>
          <w:tcPr>
            <w:tcW w:w="5049" w:type="dxa"/>
            <w:tcBorders>
              <w:top w:val="single" w:color="auto" w:sz="4" w:space="0"/>
              <w:left w:val="nil"/>
              <w:bottom w:val="single" w:color="auto" w:sz="4" w:space="0"/>
              <w:right w:val="single" w:color="auto" w:sz="4" w:space="0"/>
            </w:tcBorders>
          </w:tcPr>
          <w:p>
            <w:pPr>
              <w:jc w:val="center"/>
              <w:rPr>
                <w:rFonts w:ascii="宋体" w:hAnsi="宋体" w:cs="宋体"/>
                <w:szCs w:val="21"/>
                <w:highlight w:val="none"/>
              </w:rPr>
            </w:pPr>
            <w:r>
              <w:rPr>
                <w:rFonts w:hint="eastAsia" w:ascii="宋体" w:hAnsi="宋体" w:cs="宋体"/>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w:t>
            </w:r>
          </w:p>
        </w:tc>
        <w:tc>
          <w:tcPr>
            <w:tcW w:w="148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项目人员</w:t>
            </w:r>
          </w:p>
        </w:tc>
        <w:tc>
          <w:tcPr>
            <w:tcW w:w="7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9</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tcPr>
          <w:p>
            <w:pPr>
              <w:widowControl/>
              <w:snapToGrid w:val="0"/>
              <w:rPr>
                <w:rFonts w:ascii="宋体" w:hAnsi="宋体" w:cs="宋体"/>
                <w:szCs w:val="21"/>
                <w:highlight w:val="none"/>
              </w:rPr>
            </w:pPr>
            <w:r>
              <w:rPr>
                <w:rFonts w:hint="eastAsia" w:ascii="宋体" w:hAnsi="宋体" w:cs="宋体"/>
                <w:szCs w:val="21"/>
                <w:highlight w:val="none"/>
              </w:rPr>
              <w:t>（1）3人以上的项目团队，项目服务团队拥有中级及以上职称或管理咨询师证书的，每有</w:t>
            </w:r>
            <w:r>
              <w:rPr>
                <w:rFonts w:hint="eastAsia" w:ascii="宋体" w:hAnsi="宋体" w:cs="宋体"/>
                <w:szCs w:val="21"/>
                <w:highlight w:val="none"/>
                <w:u w:val="single"/>
              </w:rPr>
              <w:t xml:space="preserve"> </w:t>
            </w:r>
            <w:r>
              <w:rPr>
                <w:rFonts w:ascii="宋体" w:hAnsi="宋体" w:cs="宋体"/>
                <w:szCs w:val="21"/>
                <w:highlight w:val="none"/>
                <w:u w:val="single"/>
              </w:rPr>
              <w:t>1</w:t>
            </w:r>
            <w:r>
              <w:rPr>
                <w:rFonts w:hint="eastAsia" w:ascii="宋体" w:hAnsi="宋体" w:cs="宋体"/>
                <w:szCs w:val="21"/>
                <w:highlight w:val="none"/>
                <w:u w:val="single"/>
              </w:rPr>
              <w:t xml:space="preserve"> </w:t>
            </w:r>
            <w:r>
              <w:rPr>
                <w:rFonts w:hint="eastAsia" w:ascii="宋体" w:hAnsi="宋体" w:cs="宋体"/>
                <w:szCs w:val="21"/>
                <w:highlight w:val="none"/>
              </w:rPr>
              <w:t>名得3分，最多得9分，没有不得分。</w:t>
            </w:r>
          </w:p>
          <w:p>
            <w:pPr>
              <w:jc w:val="left"/>
              <w:rPr>
                <w:rFonts w:ascii="宋体" w:hAnsi="宋体" w:cs="宋体"/>
                <w:b/>
                <w:bCs/>
                <w:szCs w:val="21"/>
                <w:highlight w:val="none"/>
              </w:rPr>
            </w:pPr>
            <w:r>
              <w:rPr>
                <w:rFonts w:hint="eastAsia" w:ascii="宋体" w:hAnsi="宋体" w:cs="宋体"/>
                <w:b/>
                <w:bCs/>
                <w:szCs w:val="21"/>
                <w:highlight w:val="none"/>
              </w:rPr>
              <w:t xml:space="preserve">评分依据：要求提供相关证书及证明材料复印件作为依据，不提供作无效处理。 </w:t>
            </w:r>
          </w:p>
          <w:p>
            <w:pPr>
              <w:jc w:val="left"/>
              <w:rPr>
                <w:rFonts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2</w:t>
            </w:r>
          </w:p>
        </w:tc>
        <w:tc>
          <w:tcPr>
            <w:tcW w:w="148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类似业绩及机构综合实力</w:t>
            </w:r>
          </w:p>
        </w:tc>
        <w:tc>
          <w:tcPr>
            <w:tcW w:w="74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15</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tcPr>
          <w:p>
            <w:pPr>
              <w:widowControl/>
              <w:adjustRightInd w:val="0"/>
              <w:spacing w:line="360" w:lineRule="atLeast"/>
              <w:jc w:val="left"/>
              <w:textAlignment w:val="baseline"/>
              <w:rPr>
                <w:rFonts w:ascii="宋体" w:hAnsi="宋体" w:cs="宋体"/>
                <w:bCs/>
                <w:kern w:val="0"/>
                <w:szCs w:val="21"/>
                <w:highlight w:val="none"/>
              </w:rPr>
            </w:pPr>
            <w:r>
              <w:rPr>
                <w:rFonts w:hint="eastAsia" w:ascii="宋体" w:hAnsi="宋体" w:cs="宋体"/>
                <w:bCs/>
                <w:kern w:val="0"/>
                <w:szCs w:val="21"/>
                <w:highlight w:val="none"/>
              </w:rPr>
              <w:t>根据供应商在近三年内（20</w:t>
            </w:r>
            <w:r>
              <w:rPr>
                <w:rFonts w:ascii="宋体" w:hAnsi="宋体" w:cs="宋体"/>
                <w:bCs/>
                <w:kern w:val="0"/>
                <w:szCs w:val="21"/>
                <w:highlight w:val="none"/>
              </w:rPr>
              <w:t>2</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年1月1日至响应截止时间，以合同签订时间为</w:t>
            </w:r>
            <w:r>
              <w:rPr>
                <w:rFonts w:hint="eastAsia" w:ascii="宋体" w:hAnsi="宋体" w:cs="宋体"/>
                <w:szCs w:val="21"/>
                <w:highlight w:val="none"/>
              </w:rPr>
              <w:t>准）</w:t>
            </w:r>
            <w:r>
              <w:rPr>
                <w:rFonts w:hint="eastAsia" w:ascii="宋体" w:hAnsi="宋体" w:cs="宋体"/>
                <w:szCs w:val="21"/>
                <w:highlight w:val="none"/>
                <w:lang w:val="en-US" w:eastAsia="zh-CN"/>
              </w:rPr>
              <w:t>6S</w:t>
            </w:r>
            <w:r>
              <w:rPr>
                <w:rFonts w:hint="eastAsia" w:ascii="宋体" w:hAnsi="宋体" w:cs="宋体"/>
                <w:szCs w:val="21"/>
                <w:highlight w:val="none"/>
                <w:lang w:eastAsia="zh-CN"/>
              </w:rPr>
              <w:t>（或以上）</w:t>
            </w:r>
            <w:r>
              <w:rPr>
                <w:rFonts w:hint="eastAsia" w:ascii="宋体" w:hAnsi="宋体" w:cs="宋体"/>
                <w:szCs w:val="21"/>
                <w:highlight w:val="none"/>
              </w:rPr>
              <w:t>管理项目</w:t>
            </w:r>
            <w:r>
              <w:rPr>
                <w:rFonts w:hint="eastAsia" w:ascii="宋体" w:hAnsi="宋体" w:cs="宋体"/>
                <w:bCs/>
                <w:kern w:val="0"/>
                <w:szCs w:val="21"/>
                <w:highlight w:val="none"/>
              </w:rPr>
              <w:t>业绩，每提供一个得</w:t>
            </w:r>
            <w:r>
              <w:rPr>
                <w:rFonts w:hint="eastAsia" w:ascii="宋体" w:hAnsi="宋体" w:cs="宋体"/>
                <w:bCs/>
                <w:kern w:val="0"/>
                <w:szCs w:val="21"/>
                <w:highlight w:val="none"/>
                <w:lang w:val="en-US" w:eastAsia="zh-CN"/>
              </w:rPr>
              <w:t>3</w:t>
            </w:r>
            <w:r>
              <w:rPr>
                <w:rFonts w:hint="eastAsia" w:ascii="宋体" w:hAnsi="宋体" w:cs="宋体"/>
                <w:bCs/>
                <w:kern w:val="0"/>
                <w:szCs w:val="21"/>
                <w:highlight w:val="none"/>
              </w:rPr>
              <w:t>分，最高得</w:t>
            </w:r>
            <w:r>
              <w:rPr>
                <w:rFonts w:ascii="宋体" w:hAnsi="宋体" w:cs="宋体"/>
                <w:bCs/>
                <w:kern w:val="0"/>
                <w:szCs w:val="21"/>
                <w:highlight w:val="none"/>
              </w:rPr>
              <w:t>15</w:t>
            </w:r>
            <w:r>
              <w:rPr>
                <w:rFonts w:hint="eastAsia" w:ascii="宋体" w:hAnsi="宋体" w:cs="宋体"/>
                <w:bCs/>
                <w:kern w:val="0"/>
                <w:szCs w:val="21"/>
                <w:highlight w:val="none"/>
              </w:rPr>
              <w:t>分；</w:t>
            </w:r>
            <w:bookmarkStart w:id="1" w:name="_GoBack"/>
            <w:bookmarkEnd w:id="1"/>
          </w:p>
          <w:p>
            <w:pPr>
              <w:jc w:val="left"/>
              <w:rPr>
                <w:rFonts w:ascii="宋体" w:hAnsi="宋体" w:cs="宋体"/>
                <w:szCs w:val="21"/>
                <w:highlight w:val="none"/>
              </w:rPr>
            </w:pPr>
            <w:r>
              <w:rPr>
                <w:rFonts w:hint="eastAsia" w:ascii="宋体" w:hAnsi="宋体" w:cs="宋体"/>
                <w:bCs/>
                <w:kern w:val="0"/>
                <w:szCs w:val="21"/>
                <w:highlight w:val="none"/>
              </w:rPr>
              <w:t>注：业绩以三级以上医院案例为准</w:t>
            </w:r>
            <w:r>
              <w:rPr>
                <w:rFonts w:hint="eastAsia" w:ascii="宋体" w:hAnsi="宋体" w:cs="宋体"/>
                <w:bCs/>
                <w:kern w:val="0"/>
                <w:szCs w:val="21"/>
                <w:highlight w:val="none"/>
                <w:lang w:val="en-US" w:eastAsia="zh-CN"/>
              </w:rPr>
              <w:t>,同一家医院提供一份合同，重复无效；</w:t>
            </w:r>
            <w:r>
              <w:rPr>
                <w:rFonts w:hint="eastAsia" w:ascii="宋体" w:hAnsi="宋体" w:cs="宋体"/>
                <w:bCs/>
                <w:kern w:val="0"/>
                <w:szCs w:val="21"/>
                <w:highlight w:val="none"/>
              </w:rPr>
              <w:t>需提供项目合同关键页复印件。</w:t>
            </w:r>
          </w:p>
          <w:p>
            <w:pPr>
              <w:jc w:val="left"/>
              <w:rPr>
                <w:rFonts w:ascii="宋体" w:hAnsi="宋体" w:cs="宋体"/>
                <w:szCs w:val="21"/>
                <w:highlight w:val="none"/>
              </w:rPr>
            </w:pPr>
            <w:r>
              <w:rPr>
                <w:rFonts w:hint="eastAsia" w:ascii="宋体" w:hAnsi="宋体" w:cs="宋体"/>
                <w:b/>
                <w:bCs/>
                <w:szCs w:val="21"/>
                <w:highlight w:val="none"/>
              </w:rPr>
              <w:t>证明材料：要求提供合同关键页扫描件加盖投标人公章，原件备查，不清晰或未提供不得分。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8" w:type="dxa"/>
            <w:vMerge w:val="continue"/>
            <w:tcBorders>
              <w:left w:val="single" w:color="auto" w:sz="4" w:space="0"/>
              <w:right w:val="single" w:color="auto" w:sz="4" w:space="0"/>
            </w:tcBorders>
            <w:vAlign w:val="center"/>
          </w:tcPr>
          <w:p>
            <w:pPr>
              <w:widowControl/>
              <w:jc w:val="left"/>
              <w:rPr>
                <w:rFonts w:ascii="宋体" w:hAnsi="宋体" w:cs="宋体"/>
                <w:szCs w:val="21"/>
                <w:highlight w:val="none"/>
              </w:rPr>
            </w:pPr>
          </w:p>
        </w:tc>
        <w:tc>
          <w:tcPr>
            <w:tcW w:w="106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3</w:t>
            </w:r>
          </w:p>
        </w:tc>
        <w:tc>
          <w:tcPr>
            <w:tcW w:w="148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企业诚信</w:t>
            </w:r>
          </w:p>
        </w:tc>
        <w:tc>
          <w:tcPr>
            <w:tcW w:w="74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highlight w:val="none"/>
                <w:lang w:eastAsia="zh-CN"/>
              </w:rPr>
            </w:pPr>
            <w:r>
              <w:rPr>
                <w:rFonts w:hint="eastAsia" w:ascii="宋体" w:hAnsi="宋体" w:cs="宋体"/>
                <w:highlight w:val="none"/>
                <w:lang w:val="en-US" w:eastAsia="zh-CN"/>
              </w:rPr>
              <w:t>6</w:t>
            </w: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宋体"/>
                <w:strike/>
                <w:szCs w:val="21"/>
                <w:highlight w:val="none"/>
              </w:rPr>
            </w:pPr>
            <w:r>
              <w:rPr>
                <w:rFonts w:hint="eastAsia" w:ascii="宋体" w:hAnsi="宋体" w:cs="宋体"/>
                <w:szCs w:val="21"/>
                <w:highlight w:val="none"/>
              </w:rPr>
              <w:t>专家打分</w:t>
            </w:r>
          </w:p>
        </w:tc>
        <w:tc>
          <w:tcPr>
            <w:tcW w:w="5049" w:type="dxa"/>
            <w:tcBorders>
              <w:top w:val="single" w:color="auto" w:sz="4" w:space="0"/>
              <w:left w:val="nil"/>
              <w:bottom w:val="single" w:color="auto" w:sz="4" w:space="0"/>
              <w:right w:val="single" w:color="auto" w:sz="4" w:space="0"/>
            </w:tcBorders>
            <w:vAlign w:val="center"/>
          </w:tcPr>
          <w:p>
            <w:pPr>
              <w:rPr>
                <w:rFonts w:ascii="宋体" w:hAnsi="宋体" w:cs="宋体"/>
                <w:szCs w:val="21"/>
                <w:highlight w:val="none"/>
              </w:rPr>
            </w:pPr>
            <w:r>
              <w:rPr>
                <w:rFonts w:hint="eastAsia" w:ascii="宋体" w:hAnsi="宋体" w:cs="宋体"/>
                <w:szCs w:val="21"/>
                <w:highlight w:val="none"/>
              </w:rPr>
              <w:t>根据深财购〔2013〕27号和深财购函〔2016〕315号文相关规定：</w:t>
            </w:r>
          </w:p>
          <w:p>
            <w:pPr>
              <w:ind w:firstLine="420" w:firstLineChars="200"/>
              <w:rPr>
                <w:rFonts w:ascii="宋体" w:hAnsi="宋体" w:cs="宋体"/>
                <w:szCs w:val="21"/>
                <w:highlight w:val="none"/>
              </w:rPr>
            </w:pPr>
            <w:r>
              <w:rPr>
                <w:rFonts w:hint="eastAsia" w:ascii="宋体" w:hAnsi="宋体" w:cs="宋体"/>
                <w:szCs w:val="21"/>
                <w:highlight w:val="none"/>
              </w:rPr>
              <w:t>投标人未出现过上述文件规定情形的或受过行政处罚，修正行政处罚期已满，可参与政府采购投标活动的，得</w:t>
            </w:r>
            <w:r>
              <w:rPr>
                <w:rFonts w:hint="eastAsia" w:ascii="宋体" w:hAnsi="宋体" w:cs="宋体"/>
                <w:szCs w:val="21"/>
                <w:highlight w:val="none"/>
                <w:lang w:val="en-US" w:eastAsia="zh-CN"/>
              </w:rPr>
              <w:t>6</w:t>
            </w:r>
            <w:r>
              <w:rPr>
                <w:rFonts w:hint="eastAsia" w:ascii="宋体" w:hAnsi="宋体" w:cs="宋体"/>
                <w:szCs w:val="21"/>
                <w:highlight w:val="none"/>
              </w:rPr>
              <w:t>分；</w:t>
            </w:r>
          </w:p>
          <w:p>
            <w:pPr>
              <w:ind w:firstLine="420" w:firstLineChars="200"/>
              <w:rPr>
                <w:rFonts w:ascii="宋体" w:hAnsi="宋体" w:cs="宋体"/>
                <w:szCs w:val="21"/>
                <w:highlight w:val="none"/>
              </w:rPr>
            </w:pPr>
            <w:r>
              <w:rPr>
                <w:rFonts w:hint="eastAsia" w:ascii="宋体" w:hAnsi="宋体" w:cs="宋体"/>
                <w:szCs w:val="21"/>
                <w:highlight w:val="none"/>
              </w:rPr>
              <w:t>投标人被行政主管部门禁止参与政府采购活动或未被禁止参与政府采购活动，但受过警告、罚款、没收违法所得等行政处罚以及不正当理由放弃中标资格，得0分。</w:t>
            </w:r>
          </w:p>
          <w:p>
            <w:pPr>
              <w:rPr>
                <w:rFonts w:ascii="宋体" w:hAnsi="宋体" w:cs="宋体"/>
                <w:szCs w:val="21"/>
                <w:highlight w:val="none"/>
              </w:rPr>
            </w:pPr>
            <w:r>
              <w:rPr>
                <w:rFonts w:hint="eastAsia" w:ascii="宋体" w:hAnsi="宋体" w:cs="宋体"/>
                <w:b/>
                <w:bCs/>
                <w:szCs w:val="21"/>
                <w:highlight w:val="none"/>
              </w:rPr>
              <w:t>（以提供诚信承诺为准）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840A3"/>
    <w:multiLevelType w:val="multilevel"/>
    <w:tmpl w:val="435840A3"/>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MzUxNTYxN2U0MDg5YTE1ODRkOGU4ZDdiNWU0MTAifQ=="/>
  </w:docVars>
  <w:rsids>
    <w:rsidRoot w:val="000B5A93"/>
    <w:rsid w:val="000B5A93"/>
    <w:rsid w:val="00175E40"/>
    <w:rsid w:val="005217AB"/>
    <w:rsid w:val="02396C08"/>
    <w:rsid w:val="0320006C"/>
    <w:rsid w:val="04A15406"/>
    <w:rsid w:val="06B14962"/>
    <w:rsid w:val="071A76DA"/>
    <w:rsid w:val="0D5374B9"/>
    <w:rsid w:val="0DDC2142"/>
    <w:rsid w:val="107B1AAE"/>
    <w:rsid w:val="1EE21405"/>
    <w:rsid w:val="255B2F57"/>
    <w:rsid w:val="30ED14F3"/>
    <w:rsid w:val="32176326"/>
    <w:rsid w:val="35FB0AE5"/>
    <w:rsid w:val="361A6DCF"/>
    <w:rsid w:val="394F28BA"/>
    <w:rsid w:val="3B0E6588"/>
    <w:rsid w:val="3B1B741F"/>
    <w:rsid w:val="3F6F7501"/>
    <w:rsid w:val="409C42CA"/>
    <w:rsid w:val="46066BDC"/>
    <w:rsid w:val="47D120C7"/>
    <w:rsid w:val="490F7AD2"/>
    <w:rsid w:val="4BC90379"/>
    <w:rsid w:val="4CF277EC"/>
    <w:rsid w:val="530105F6"/>
    <w:rsid w:val="551B20E0"/>
    <w:rsid w:val="589A3EFD"/>
    <w:rsid w:val="592B4413"/>
    <w:rsid w:val="5E3C33BE"/>
    <w:rsid w:val="608B796E"/>
    <w:rsid w:val="61E17D65"/>
    <w:rsid w:val="63472BAF"/>
    <w:rsid w:val="63855AE5"/>
    <w:rsid w:val="648A509B"/>
    <w:rsid w:val="672E4E33"/>
    <w:rsid w:val="6DB2074B"/>
    <w:rsid w:val="71DA6B49"/>
    <w:rsid w:val="7CD6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rFonts w:ascii="宋体" w:hAnsi="宋体"/>
      <w:sz w:val="28"/>
    </w:rPr>
  </w:style>
  <w:style w:type="paragraph" w:styleId="3">
    <w:name w:val="annotation text"/>
    <w:basedOn w:val="1"/>
    <w:qFormat/>
    <w:uiPriority w:val="0"/>
    <w:pPr>
      <w:jc w:val="left"/>
    </w:pPr>
  </w:style>
  <w:style w:type="paragraph" w:customStyle="1" w:styleId="6">
    <w:name w:val="表格文字"/>
    <w:basedOn w:val="1"/>
    <w:qFormat/>
    <w:uiPriority w:val="0"/>
    <w:pPr>
      <w:spacing w:before="25" w:after="25"/>
      <w:jc w:val="left"/>
    </w:pPr>
    <w:rPr>
      <w:bCs/>
      <w:spacing w:val="10"/>
      <w:kern w:val="0"/>
      <w:sz w:val="24"/>
    </w:rPr>
  </w:style>
  <w:style w:type="character" w:customStyle="1" w:styleId="7">
    <w:name w:val="标题 1 Char"/>
    <w:qFormat/>
    <w:uiPriority w:val="0"/>
    <w:rPr>
      <w:rFonts w:ascii="宋体" w:hAnsi="宋体" w:eastAsia="黑体"/>
      <w:b/>
      <w:bCs/>
      <w:kern w:val="44"/>
      <w:sz w:val="28"/>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1550</Words>
  <Characters>1632</Characters>
  <Lines>12</Lines>
  <Paragraphs>3</Paragraphs>
  <TotalTime>5</TotalTime>
  <ScaleCrop>false</ScaleCrop>
  <LinksUpToDate>false</LinksUpToDate>
  <CharactersWithSpaces>1636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2023-06-26T04:09:00Z</dcterms:created>
  <dc:creator>LENOVO</dc:creator>
  <cp:lastModifiedBy>ZCB</cp:lastModifiedBy>
  <cp:lastPrinted>2021-06-04T06:11:00Z</cp:lastPrinted>
  <dcterms:modified xsi:type="dcterms:W3CDTF">2024-04-09T03:49:58Z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BDA664AD9A9946BE82C9F0D2B020E83D</vt:lpwstr>
  </property>
</Properties>
</file>