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XM2024053</w:t>
      </w:r>
      <w:r>
        <w:rPr>
          <w:rFonts w:hint="eastAsia"/>
          <w:b/>
          <w:sz w:val="52"/>
          <w:szCs w:val="52"/>
          <w:lang w:val="en-US" w:eastAsia="zh-CN"/>
        </w:rPr>
        <w:t>8</w:t>
      </w:r>
      <w:r>
        <w:rPr>
          <w:rFonts w:hint="eastAsia"/>
          <w:b/>
          <w:sz w:val="52"/>
          <w:szCs w:val="52"/>
          <w:lang w:val="zh-CN"/>
        </w:rPr>
        <w:t>）</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w:t>
      </w:r>
      <w:r>
        <w:rPr>
          <w:rFonts w:hint="eastAsia"/>
          <w:sz w:val="28"/>
          <w:szCs w:val="28"/>
          <w:lang w:eastAsia="zh-CN"/>
        </w:rPr>
        <w:t>号码</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center"/>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北京中医药大学深圳医院（龙岗）关于医用专科材料议价公告</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根据规定，我院近期将对一批医用专科材料进行院内公开招标，欢迎符合资质要求的供应商积极参与竞争。</w:t>
      </w:r>
      <w:r>
        <w:rPr>
          <w:rFonts w:hint="eastAsia" w:ascii="楷体_GB2312" w:hAnsi="宋体" w:eastAsia="楷体_GB2312" w:cs="宋体"/>
          <w:sz w:val="24"/>
          <w:lang w:eastAsia="zh-CN"/>
        </w:rPr>
        <w:t>供应商</w:t>
      </w:r>
      <w:r>
        <w:rPr>
          <w:rFonts w:hint="eastAsia" w:ascii="楷体_GB2312" w:hAnsi="宋体" w:eastAsia="楷体_GB2312" w:cs="宋体"/>
          <w:sz w:val="24"/>
        </w:rPr>
        <w:t>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签订供货合同。</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（证件、资料全部加盖公章）</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highlight w:val="none"/>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w:t>
      </w:r>
      <w:r>
        <w:rPr>
          <w:rFonts w:hint="eastAsia" w:ascii="楷体_GB2312" w:hAnsi="宋体" w:eastAsia="楷体_GB2312" w:cs="宋体"/>
          <w:sz w:val="24"/>
          <w:highlight w:val="none"/>
          <w:lang w:val="en-US" w:eastAsia="zh-CN"/>
        </w:rPr>
        <w:t>为记录名单。注：“信用中国”“中国政府采购网”“深圳信用网”以及“深圳市政府采购监管网”为供应商信用信息的查询渠道</w:t>
      </w:r>
      <w:r>
        <w:rPr>
          <w:rFonts w:hint="eastAsia" w:ascii="楷体_GB2312" w:hAnsi="宋体" w:eastAsia="楷体_GB2312" w:cs="宋体"/>
          <w:sz w:val="24"/>
          <w:highlight w:val="none"/>
        </w:rPr>
        <w:t>。</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二、</w:t>
      </w:r>
      <w:r>
        <w:rPr>
          <w:rFonts w:hint="eastAsia" w:ascii="楷体_GB2312" w:hAnsi="宋体" w:eastAsia="楷体_GB2312" w:cs="宋体"/>
          <w:sz w:val="24"/>
          <w:highlight w:val="none"/>
        </w:rPr>
        <w:t>招标评定</w:t>
      </w:r>
      <w:r>
        <w:rPr>
          <w:rFonts w:hint="eastAsia" w:ascii="楷体_GB2312" w:hAnsi="宋体" w:eastAsia="楷体_GB2312" w:cs="宋体"/>
          <w:sz w:val="24"/>
          <w:highlight w:val="none"/>
          <w:lang w:eastAsia="zh-CN"/>
        </w:rPr>
        <w:t>第一轮采用</w:t>
      </w:r>
      <w:r>
        <w:rPr>
          <w:rFonts w:hint="eastAsia" w:ascii="楷体_GB2312" w:hAnsi="宋体" w:eastAsia="楷体_GB2312" w:cs="宋体"/>
          <w:sz w:val="24"/>
          <w:highlight w:val="none"/>
        </w:rPr>
        <w:t>综合评分</w:t>
      </w:r>
      <w:r>
        <w:rPr>
          <w:rFonts w:hint="eastAsia" w:ascii="楷体_GB2312" w:hAnsi="宋体" w:eastAsia="楷体_GB2312" w:cs="宋体"/>
          <w:sz w:val="24"/>
          <w:highlight w:val="none"/>
          <w:lang w:eastAsia="zh-CN"/>
        </w:rPr>
        <w:t>法，第二轮采用</w:t>
      </w:r>
      <w:r>
        <w:rPr>
          <w:rFonts w:hint="eastAsia" w:ascii="楷体_GB2312" w:hAnsi="宋体" w:eastAsia="楷体_GB2312" w:cs="宋体"/>
          <w:sz w:val="24"/>
          <w:highlight w:val="none"/>
        </w:rPr>
        <w:t>竞价</w:t>
      </w:r>
      <w:r>
        <w:rPr>
          <w:rFonts w:hint="eastAsia" w:ascii="楷体_GB2312" w:hAnsi="宋体" w:eastAsia="楷体_GB2312" w:cs="宋体"/>
          <w:sz w:val="24"/>
          <w:highlight w:val="none"/>
          <w:lang w:eastAsia="zh-CN"/>
        </w:rPr>
        <w:t>或议价</w:t>
      </w:r>
      <w:r>
        <w:rPr>
          <w:rFonts w:hint="eastAsia" w:ascii="楷体_GB2312" w:hAnsi="宋体" w:eastAsia="楷体_GB2312" w:cs="宋体"/>
          <w:sz w:val="24"/>
          <w:highlight w:val="none"/>
        </w:rPr>
        <w:t>的采购方式。</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三</w:t>
      </w:r>
      <w:r>
        <w:rPr>
          <w:rFonts w:hint="eastAsia" w:ascii="楷体_GB2312" w:hAnsi="宋体" w:eastAsia="楷体_GB2312" w:cs="宋体"/>
          <w:sz w:val="24"/>
          <w:highlight w:val="none"/>
        </w:rPr>
        <w:t>、谈判时间和地点：另</w:t>
      </w:r>
      <w:r>
        <w:rPr>
          <w:rFonts w:hint="eastAsia" w:ascii="楷体_GB2312" w:hAnsi="宋体" w:eastAsia="楷体_GB2312" w:cs="宋体"/>
          <w:sz w:val="24"/>
          <w:highlight w:val="none"/>
          <w:lang w:eastAsia="zh-CN"/>
        </w:rPr>
        <w:t>行</w:t>
      </w:r>
      <w:r>
        <w:rPr>
          <w:rFonts w:hint="eastAsia" w:ascii="楷体_GB2312" w:hAnsi="宋体" w:eastAsia="楷体_GB2312" w:cs="宋体"/>
          <w:sz w:val="24"/>
          <w:highlight w:val="none"/>
        </w:rPr>
        <w:t>通知。</w:t>
      </w:r>
    </w:p>
    <w:p>
      <w:pPr>
        <w:widowControl/>
        <w:ind w:firstLine="480" w:firstLineChars="200"/>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四、报名时间及地点：</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（一）报名时间：详见公告。</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（二）报名方式：详见附件（</w:t>
      </w:r>
      <w:r>
        <w:rPr>
          <w:rFonts w:hint="eastAsia" w:ascii="楷体_GB2312" w:hAnsi="宋体" w:eastAsia="楷体_GB2312" w:cs="宋体"/>
          <w:sz w:val="24"/>
          <w:highlight w:val="none"/>
          <w:lang w:val="en-US" w:eastAsia="zh-CN"/>
        </w:rPr>
        <w:t>线上报名流程）</w:t>
      </w:r>
      <w:r>
        <w:rPr>
          <w:rFonts w:hint="eastAsia" w:ascii="楷体_GB2312" w:hAnsi="宋体" w:eastAsia="楷体_GB2312" w:cs="宋体"/>
          <w:sz w:val="24"/>
          <w:highlight w:val="none"/>
          <w:lang w:eastAsia="zh-CN"/>
        </w:rPr>
        <w:t>。</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（三）递交资料地点：北京中医药大学深圳医院（龙岗）科教楼招采办</w:t>
      </w:r>
      <w:r>
        <w:rPr>
          <w:rFonts w:hint="eastAsia" w:ascii="楷体_GB2312" w:hAnsi="宋体" w:eastAsia="楷体_GB2312" w:cs="宋体"/>
          <w:sz w:val="24"/>
          <w:highlight w:val="none"/>
          <w:lang w:val="en-US" w:eastAsia="zh-CN"/>
        </w:rPr>
        <w:t>317室</w:t>
      </w:r>
      <w:r>
        <w:rPr>
          <w:rFonts w:hint="eastAsia" w:ascii="楷体_GB2312" w:hAnsi="宋体" w:eastAsia="楷体_GB2312" w:cs="宋体"/>
          <w:sz w:val="24"/>
          <w:highlight w:val="none"/>
          <w:lang w:eastAsia="zh-CN"/>
        </w:rPr>
        <w:t>。</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五</w:t>
      </w:r>
      <w:r>
        <w:rPr>
          <w:rFonts w:hint="eastAsia" w:ascii="楷体_GB2312" w:hAnsi="宋体" w:eastAsia="楷体_GB2312" w:cs="宋体"/>
          <w:sz w:val="24"/>
          <w:highlight w:val="none"/>
        </w:rPr>
        <w:t>、联系电话</w:t>
      </w:r>
      <w:r>
        <w:rPr>
          <w:rFonts w:hint="eastAsia" w:ascii="楷体_GB2312" w:hAnsi="宋体" w:eastAsia="楷体_GB2312" w:cs="宋体"/>
          <w:sz w:val="24"/>
          <w:highlight w:val="none"/>
          <w:lang w:eastAsia="zh-CN"/>
        </w:rPr>
        <w:t>：</w:t>
      </w:r>
      <w:r>
        <w:rPr>
          <w:rFonts w:hint="eastAsia" w:ascii="楷体_GB2312" w:hAnsi="宋体" w:eastAsia="楷体_GB2312" w:cs="宋体"/>
          <w:sz w:val="24"/>
          <w:highlight w:val="none"/>
        </w:rPr>
        <w:t>0755-28338833转3318，廖老师。</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注明：参与我院医用耗材公开招标的公司必须严格遵守相关条款</w:t>
      </w:r>
      <w:r>
        <w:rPr>
          <w:rFonts w:hint="eastAsia" w:ascii="楷体_GB2312" w:hAnsi="宋体" w:eastAsia="楷体_GB2312" w:cs="宋体"/>
          <w:sz w:val="24"/>
          <w:lang w:eastAsia="zh-CN"/>
        </w:rPr>
        <w:t>，如提供虚假材料，移交上级有关部门处理并列入不良记录名单且三年内不得在我院投标；上述每一条款必须实质性满足和响应，否则投标无效；政策性原因：若因政府统一招标，将按政府招标结果执行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p>
    <w:p>
      <w:pPr>
        <w:widowControl/>
        <w:jc w:val="right"/>
        <w:rPr>
          <w:rFonts w:hint="eastAsia" w:ascii="楷体_GB2312" w:hAnsi="宋体" w:eastAsia="楷体_GB2312" w:cs="宋体"/>
          <w:sz w:val="24"/>
        </w:rPr>
      </w:pPr>
    </w:p>
    <w:p>
      <w:pPr>
        <w:widowControl/>
        <w:jc w:val="right"/>
        <w:rPr>
          <w:rFonts w:hint="eastAsia" w:ascii="楷体_GB2312" w:hAnsi="宋体" w:eastAsia="楷体_GB2312"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30"/>
        <w:gridCol w:w="1227"/>
        <w:gridCol w:w="1230"/>
        <w:gridCol w:w="1396"/>
        <w:gridCol w:w="1061"/>
        <w:gridCol w:w="1230"/>
        <w:gridCol w:w="1384"/>
        <w:gridCol w:w="1384"/>
        <w:gridCol w:w="1230"/>
        <w:gridCol w:w="1230"/>
        <w:gridCol w:w="1230"/>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包类</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采购项目名称</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参数需求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（如：使用功能）</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最高限价（元）</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最高限价单位</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本次采购周期需求量</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采购总金额（支付上限）</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是否需设置阳光平台采购为资格准入（是/否）</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需求科室</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腹壁吻合器</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适用于腹腔镜手术中缝线抓取，实现腹壁切口或戳卡洞口缝合。</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45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340</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244800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普通外科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08"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微导管</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适用于血管内选择性及超选择性插管术使用，用于诊断或治疗。</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1900000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神经外科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颈动脉球囊扩张导管</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适用于颈动脉阻塞疾病患者的经皮血管腔内成技术。</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7680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307200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神经外科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颅内取栓支架</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适用于在缺血性卒中患者血栓取出。</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19630.62</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785224.8</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神经外科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08"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颅骨固定系统</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用于开颅术中手术形成的游离骨瓣的链接和固定</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神经外科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聚醚醚酮颅骨修补系统</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适用于颅骨缺损修补重建的外科治疗</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104900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314700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神经外科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内固定钛网板系统</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用于重建、修复或固定外伤及其它原因所致颅骨、颌面骨缺损或骨折内固定</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99000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神经外科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硬膜修补材料</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产品用于颅脑和脊椎手术中修补和复原硬膜缺损</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17385</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173850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神经外科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08"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脑脊液分流器及其组件</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适用于颅内压力监护仪PSO-3000（品牌：法国索菲萨）</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37050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套</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111150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神经外科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颅内压探头</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适用于颅内压力监护仪PSO-3001（品牌：法国索菲萨）</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套</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123000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神经外科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08"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经导管植入式无导线起搏系统</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可在右心室内感知患者心脏的电活动，监测心动过缓心律，并针对心动过缓提供起搏治疗</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158000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158000.00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植入式心电事件监测器</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用于记录皮下心电图，可自动激活和由患者激活的植入式监测系统。</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19900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59700.00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测量球囊导管</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用于测量心血管结构,适用于那些患有心血管缺损,而且只有通过精确测量才能正确选择封堵器尺寸的患者。</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3983</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59745.00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血管封合器</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适用于闭合因动脉穿刺操作而引起的股动脉开口。</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2358</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26.00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61308.00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冠状动脉预装带膜支架系统</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可用于长期植入冠状动脉或主动脉—冠状动脉旁路血管腔中，以治疗：1）冠状动脉瘤；2）冠状动脉旁路静脉血管桥的动脉瘤；3）急性冠状动脉穿孔；4）急性冠状动脉破裂</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66000.00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氧化膜封堵器器材</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用于房间隔缺损的介入治疗。</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70000.00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一次性使用输注导管包</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用于将治疗药液注入患者的外周血管中。</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54000.00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固有导丝冠脉刻痕球囊扩张导管</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适用于对冠状动脉缺血患者的冠状动脉狭窄部分进行球囊扩张，以改善心肌灌注。</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条</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51600.00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冠状动脉棘突球囊导管</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用于PTCA(经皮冠状动脉腔内成形术)中对于血管狭窄病变进行扩张治疗，以及支架置入后的后扩张处理。</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4691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56292.00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一次性使用激光光纤导管</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适用于支架内再狭窄的内膜减容、球囊难以通过或扩张的病变及桥血管病变。</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34000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条</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68000.00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导管切开刀</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用于颈静脉植入式器械的植入手术中将导管切开后取出。</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180.00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54000.00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滤器回收套件</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适用于在永久性植入腔静脉防止发生或复发肺栓塞。</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53000.00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滤器回收套件</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适用于在永久性植入腔静脉防止发生或复发肺栓塞。</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10600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5.00 </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53000.00 </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心病科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一次性使用雾化管</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适用于患者雾化治疗时使用</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45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28650</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51570</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眼科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棉片</w:t>
            </w:r>
          </w:p>
        </w:tc>
        <w:tc>
          <w:tcPr>
            <w:tcW w:w="4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适用于对皮肤、创面进行清洁处理。</w:t>
            </w:r>
          </w:p>
        </w:tc>
        <w:tc>
          <w:tcPr>
            <w:tcW w:w="3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袋</w:t>
            </w:r>
          </w:p>
        </w:tc>
        <w:tc>
          <w:tcPr>
            <w:tcW w:w="45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30204</w:t>
            </w:r>
          </w:p>
        </w:tc>
        <w:tc>
          <w:tcPr>
            <w:tcW w:w="4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286938</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眼科</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numPr>
          <w:ilvl w:val="0"/>
          <w:numId w:val="2"/>
        </w:numPr>
        <w:jc w:val="both"/>
        <w:rPr>
          <w:rFonts w:hint="eastAsia" w:ascii="宋体" w:hAnsi="宋体"/>
          <w:b/>
          <w:color w:val="FF0000"/>
          <w:sz w:val="24"/>
          <w:lang w:eastAsia="zh-CN"/>
        </w:rPr>
      </w:pPr>
      <w:r>
        <w:rPr>
          <w:rFonts w:hint="eastAsia" w:ascii="宋体" w:hAnsi="宋体"/>
          <w:b/>
          <w:color w:val="FF0000"/>
          <w:sz w:val="24"/>
          <w:lang w:eastAsia="zh-CN"/>
        </w:rPr>
        <w:t>打包类产品，需满足包类产品目录的</w:t>
      </w:r>
      <w:r>
        <w:rPr>
          <w:rFonts w:hint="eastAsia" w:ascii="宋体" w:hAnsi="宋体"/>
          <w:b/>
          <w:color w:val="FF0000"/>
          <w:sz w:val="24"/>
          <w:lang w:val="en-US" w:eastAsia="zh-CN"/>
        </w:rPr>
        <w:t>100</w:t>
      </w:r>
      <w:r>
        <w:rPr>
          <w:rFonts w:hint="eastAsia" w:ascii="宋体" w:hAnsi="宋体"/>
          <w:b/>
          <w:color w:val="FF0000"/>
          <w:sz w:val="24"/>
          <w:lang w:eastAsia="zh-CN"/>
        </w:rPr>
        <w:t>%。（未满足包类项目</w:t>
      </w:r>
      <w:r>
        <w:rPr>
          <w:rFonts w:hint="eastAsia" w:ascii="宋体" w:hAnsi="宋体"/>
          <w:b/>
          <w:color w:val="FF0000"/>
          <w:sz w:val="24"/>
          <w:lang w:val="en-US" w:eastAsia="zh-CN"/>
        </w:rPr>
        <w:t>100%投标的，属于无效投标</w:t>
      </w:r>
      <w:r>
        <w:rPr>
          <w:rFonts w:hint="eastAsia" w:ascii="宋体" w:hAnsi="宋体"/>
          <w:b/>
          <w:color w:val="FF0000"/>
          <w:sz w:val="24"/>
          <w:lang w:eastAsia="zh-CN"/>
        </w:rPr>
        <w:t>）。</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二、若投标报价高于最高限价（单价），则此投标报价无效。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三、</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四、采购需求中若设置阳光平台为资格准入的产品，投标产品需</w:t>
      </w:r>
      <w:r>
        <w:rPr>
          <w:rFonts w:hint="eastAsia" w:ascii="宋体" w:hAnsi="宋体"/>
          <w:b/>
          <w:color w:val="FF0000"/>
          <w:sz w:val="24"/>
          <w:lang w:val="en-US" w:eastAsia="zh-CN"/>
        </w:rPr>
        <w:t>在阳光平台下单采购，无阳光平台代码的视为无效投标。</w:t>
      </w:r>
      <w:r>
        <w:rPr>
          <w:rFonts w:hint="eastAsia" w:ascii="宋体" w:hAnsi="宋体"/>
          <w:b/>
          <w:color w:val="FF0000"/>
          <w:sz w:val="24"/>
          <w:lang w:eastAsia="zh-CN"/>
        </w:rPr>
        <w:t>（注意：投标商在入围后，通过议价或竞价后达成的最终价格，产品仍需遵循本规则，否则将视为无效投标）</w:t>
      </w:r>
    </w:p>
    <w:p>
      <w:pPr>
        <w:rPr>
          <w:rFonts w:hint="eastAsia" w:ascii="宋体" w:hAnsi="宋体"/>
          <w:b/>
          <w:color w:val="FF0000"/>
          <w:sz w:val="24"/>
          <w:lang w:eastAsia="zh-CN"/>
        </w:rPr>
      </w:pPr>
      <w:r>
        <w:rPr>
          <w:rFonts w:hint="eastAsia" w:ascii="宋体" w:hAnsi="宋体"/>
          <w:b/>
          <w:color w:val="FF0000"/>
          <w:sz w:val="24"/>
          <w:lang w:eastAsia="zh-CN"/>
        </w:rPr>
        <w:t>五、为保障投标公平性，投标商对每个需求产品有且只能提供一个有效投标品牌。</w:t>
      </w:r>
    </w:p>
    <w:p>
      <w:pPr>
        <w:rPr>
          <w:rFonts w:hint="eastAsia" w:ascii="宋体" w:hAnsi="宋体"/>
          <w:b/>
          <w:color w:val="FF0000"/>
          <w:sz w:val="24"/>
          <w:lang w:eastAsia="zh-CN"/>
        </w:rPr>
      </w:pPr>
      <w:r>
        <w:rPr>
          <w:rFonts w:hint="eastAsia" w:ascii="宋体" w:hAnsi="宋体"/>
          <w:b/>
          <w:color w:val="FF0000"/>
          <w:sz w:val="24"/>
          <w:lang w:eastAsia="zh-CN"/>
        </w:rPr>
        <w:t>六、需求为国产产品的，投标产品只允许国产产品投标，需求产品为进口产品的，原则上不得歧视国产产品投标。</w:t>
      </w:r>
    </w:p>
    <w:p>
      <w:pPr>
        <w:rPr>
          <w:rFonts w:hint="default"/>
          <w:lang w:val="en-US" w:eastAsia="zh-CN"/>
        </w:rPr>
      </w:pPr>
      <w:r>
        <w:rPr>
          <w:rFonts w:hint="eastAsia" w:ascii="宋体" w:hAnsi="宋体"/>
          <w:b/>
          <w:color w:val="FF0000"/>
          <w:sz w:val="24"/>
          <w:lang w:eastAsia="zh-CN"/>
        </w:rPr>
        <w:t>七、该表提供的信息将作为签订合同的依据，如有错误或漏写，后果严重且责任自负，提交后不得随意更改。</w:t>
      </w:r>
    </w:p>
    <w:p>
      <w:pPr>
        <w:pStyle w:val="17"/>
        <w:numPr>
          <w:ilvl w:val="0"/>
          <w:numId w:val="0"/>
        </w:numPr>
        <w:ind w:leftChars="0"/>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b/>
          <w:color w:val="FF0000"/>
          <w:sz w:val="24"/>
          <w:lang w:eastAsia="zh-CN"/>
        </w:rPr>
        <w:t>八、需求单位：北京中医药大学深圳医院（龙岗）。</w:t>
      </w: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en-US" w:eastAsia="zh-CN"/>
              </w:rPr>
              <w:t>1</w:t>
            </w: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2》授权人近一个月内的社保缴纳证明</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 xml:space="preserve">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highlight w:val="none"/>
                <w:lang w:val="en-US" w:eastAsia="zh-CN"/>
              </w:rPr>
            </w:pPr>
            <w:r>
              <w:rPr>
                <w:rFonts w:hint="eastAsia" w:ascii="仿宋_GB2312" w:eastAsia="仿宋_GB2312"/>
                <w:sz w:val="24"/>
                <w:highlight w:val="none"/>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highlight w:val="none"/>
              </w:rPr>
            </w:pPr>
            <w:r>
              <w:rPr>
                <w:rFonts w:hint="eastAsia"/>
                <w:highlight w:val="none"/>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highlight w:val="none"/>
                <w:lang w:val="en-US" w:eastAsia="zh-CN"/>
              </w:rPr>
            </w:pPr>
            <w:r>
              <w:rPr>
                <w:rFonts w:hint="eastAsia"/>
                <w:highlight w:val="none"/>
                <w:lang w:val="en-US" w:eastAsia="zh-CN"/>
              </w:rPr>
              <w:t>A一</w:t>
            </w:r>
            <w:r>
              <w:rPr>
                <w:rFonts w:hint="eastAsia"/>
                <w:highlight w:val="none"/>
                <w:lang w:eastAsia="zh-CN"/>
              </w:rPr>
              <w:t>正本交至</w:t>
            </w:r>
            <w:r>
              <w:rPr>
                <w:rFonts w:hint="default"/>
                <w:highlight w:val="none"/>
              </w:rPr>
              <w:t>科教楼</w:t>
            </w:r>
            <w:r>
              <w:rPr>
                <w:rFonts w:hint="eastAsia"/>
                <w:highlight w:val="none"/>
                <w:lang w:eastAsia="zh-CN"/>
              </w:rPr>
              <w:t>三</w:t>
            </w:r>
            <w:r>
              <w:rPr>
                <w:rFonts w:hint="default"/>
                <w:highlight w:val="none"/>
              </w:rPr>
              <w:t>楼</w:t>
            </w:r>
            <w:r>
              <w:rPr>
                <w:rFonts w:hint="eastAsia"/>
                <w:highlight w:val="none"/>
                <w:lang w:val="en-US" w:eastAsia="zh-CN"/>
              </w:rPr>
              <w:t>317</w:t>
            </w:r>
            <w:r>
              <w:rPr>
                <w:rFonts w:hint="default"/>
                <w:highlight w:val="none"/>
              </w:rPr>
              <w:t>室</w:t>
            </w:r>
            <w:r>
              <w:rPr>
                <w:rFonts w:hint="eastAsia"/>
                <w:highlight w:val="none"/>
                <w:lang w:eastAsia="zh-CN"/>
              </w:rPr>
              <w:t>招标采购办公室</w:t>
            </w:r>
            <w:r>
              <w:rPr>
                <w:rFonts w:hint="eastAsia"/>
                <w:highlight w:val="none"/>
                <w:lang w:val="en-US" w:eastAsia="zh-CN"/>
              </w:rPr>
              <w:t xml:space="preserve"> </w:t>
            </w:r>
            <w:r>
              <w:rPr>
                <w:rFonts w:hint="eastAsia"/>
                <w:highlight w:val="none"/>
                <w:lang w:eastAsia="zh-CN"/>
              </w:rPr>
              <w:t>廖老师</w:t>
            </w:r>
            <w:r>
              <w:rPr>
                <w:rFonts w:hint="eastAsia"/>
                <w:highlight w:val="none"/>
                <w:lang w:val="en-US" w:eastAsia="zh-CN"/>
              </w:rPr>
              <w:t xml:space="preserve"> </w:t>
            </w:r>
            <w:r>
              <w:rPr>
                <w:rFonts w:hint="eastAsia"/>
                <w:highlight w:val="none"/>
                <w:lang w:eastAsia="zh-CN"/>
              </w:rPr>
              <w:t>处</w:t>
            </w:r>
            <w:r>
              <w:rPr>
                <w:rFonts w:hint="eastAsia"/>
                <w:highlight w:val="none"/>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eastAsia="宋体"/>
                <w:highlight w:val="none"/>
                <w:lang w:eastAsia="zh-CN"/>
              </w:rPr>
            </w:pPr>
            <w:r>
              <w:rPr>
                <w:rFonts w:hint="eastAsia"/>
                <w:highlight w:val="none"/>
                <w:lang w:val="en-US" w:eastAsia="zh-CN"/>
              </w:rPr>
              <w:t>B</w:t>
            </w:r>
            <w:r>
              <w:rPr>
                <w:rFonts w:hint="default"/>
                <w:highlight w:val="none"/>
              </w:rPr>
              <w:t>招标</w:t>
            </w:r>
            <w:r>
              <w:rPr>
                <w:rFonts w:hint="eastAsia"/>
                <w:highlight w:val="none"/>
                <w:lang w:eastAsia="zh-CN"/>
              </w:rPr>
              <w:t>现场</w:t>
            </w:r>
            <w:r>
              <w:rPr>
                <w:rFonts w:hint="default"/>
                <w:highlight w:val="none"/>
              </w:rPr>
              <w:t>带</w:t>
            </w:r>
            <w:r>
              <w:rPr>
                <w:rFonts w:hint="eastAsia"/>
                <w:highlight w:val="none"/>
                <w:lang w:val="en-US" w:eastAsia="zh-CN"/>
              </w:rPr>
              <w:t>3份</w:t>
            </w:r>
            <w:r>
              <w:rPr>
                <w:rFonts w:hint="eastAsia"/>
                <w:highlight w:val="none"/>
                <w:lang w:eastAsia="zh-CN"/>
              </w:rPr>
              <w:t>报价和</w:t>
            </w:r>
            <w:r>
              <w:rPr>
                <w:rFonts w:hint="eastAsia"/>
                <w:highlight w:val="none"/>
                <w:lang w:val="en-US" w:eastAsia="zh-CN"/>
              </w:rPr>
              <w:t>1份公司自评要素表（密封1）、5</w:t>
            </w:r>
            <w:r>
              <w:rPr>
                <w:rFonts w:hint="default"/>
                <w:highlight w:val="none"/>
              </w:rPr>
              <w:t>副</w:t>
            </w:r>
            <w:r>
              <w:rPr>
                <w:rFonts w:hint="eastAsia"/>
                <w:highlight w:val="none"/>
                <w:lang w:eastAsia="zh-CN"/>
              </w:rPr>
              <w:t>本（</w:t>
            </w:r>
            <w:r>
              <w:rPr>
                <w:rFonts w:hint="default"/>
                <w:highlight w:val="none"/>
              </w:rPr>
              <w:t>密封</w:t>
            </w:r>
            <w:r>
              <w:rPr>
                <w:rFonts w:hint="eastAsia"/>
                <w:highlight w:val="none"/>
                <w:lang w:val="en-US" w:eastAsia="zh-CN"/>
              </w:rPr>
              <w:t>2</w:t>
            </w:r>
            <w:r>
              <w:rPr>
                <w:rFonts w:hint="eastAsia"/>
                <w:highlight w:val="none"/>
                <w:lang w:eastAsia="zh-CN"/>
              </w:rPr>
              <w:t>）、</w:t>
            </w:r>
            <w:r>
              <w:rPr>
                <w:rFonts w:hint="eastAsia"/>
                <w:highlight w:val="none"/>
                <w:lang w:val="en-US" w:eastAsia="zh-CN"/>
              </w:rPr>
              <w:t>excel版产品报价及投标文件PDF电子版（u盘，招标现场上交）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highlight w:val="none"/>
                <w:shd w:val="clear" w:fill="FFFFFF"/>
                <w:lang w:val="en-US" w:eastAsia="zh-CN"/>
              </w:rPr>
            </w:pPr>
            <w:r>
              <w:rPr>
                <w:rFonts w:hint="eastAsia" w:ascii="Helvetica" w:hAnsi="Helvetica" w:eastAsia="宋体" w:cs="Helvetica"/>
                <w:i w:val="0"/>
                <w:iCs w:val="0"/>
                <w:caps w:val="0"/>
                <w:color w:val="212121"/>
                <w:spacing w:val="0"/>
                <w:sz w:val="22"/>
                <w:szCs w:val="22"/>
                <w:highlight w:val="none"/>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highlight w:val="none"/>
                <w:shd w:val="clear" w:fill="FFFFFF"/>
                <w:lang w:val="en-US" w:eastAsia="zh-CN"/>
              </w:rPr>
              <w:t>需含1.公司序号及产品名称2.投标公司3.价格</w:t>
            </w:r>
            <w:r>
              <w:rPr>
                <w:rFonts w:hint="eastAsia" w:ascii="Helvetica" w:hAnsi="Helvetica" w:eastAsia="宋体" w:cs="Helvetica"/>
                <w:i w:val="0"/>
                <w:iCs w:val="0"/>
                <w:caps w:val="0"/>
                <w:color w:val="212121"/>
                <w:spacing w:val="0"/>
                <w:sz w:val="22"/>
                <w:szCs w:val="22"/>
                <w:highlight w:val="none"/>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highlight w:val="none"/>
                <w:shd w:val="clear" w:fill="FFFFFF"/>
                <w:lang w:val="en-US" w:eastAsia="zh-CN"/>
              </w:rPr>
            </w:pPr>
            <w:r>
              <w:rPr>
                <w:rFonts w:hint="eastAsia" w:ascii="Helvetica" w:hAnsi="Helvetica" w:eastAsia="宋体" w:cs="Helvetica"/>
                <w:i w:val="0"/>
                <w:iCs w:val="0"/>
                <w:caps w:val="0"/>
                <w:color w:val="212121"/>
                <w:spacing w:val="0"/>
                <w:sz w:val="22"/>
                <w:szCs w:val="22"/>
                <w:highlight w:val="none"/>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注意流程（重点）具体以</w:t>
            </w:r>
            <w:r>
              <w:rPr>
                <w:rFonts w:hint="eastAsia" w:ascii="仿宋_GB2312" w:eastAsia="仿宋_GB2312"/>
                <w:sz w:val="24"/>
                <w:highlight w:val="yellow"/>
                <w:lang w:val="en-US" w:eastAsia="zh-CN"/>
              </w:rPr>
              <w:t>qq群</w:t>
            </w:r>
            <w:r>
              <w:rPr>
                <w:rFonts w:hint="eastAsia" w:ascii="仿宋_GB2312" w:eastAsia="仿宋_GB2312"/>
                <w:sz w:val="24"/>
                <w:highlight w:val="yellow"/>
                <w:lang w:eastAsia="zh-CN"/>
              </w:rPr>
              <w:t>实际通知为准</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153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2100"/>
        <w:gridCol w:w="3268"/>
        <w:gridCol w:w="3130"/>
        <w:gridCol w:w="771"/>
        <w:gridCol w:w="771"/>
        <w:gridCol w:w="771"/>
        <w:gridCol w:w="771"/>
        <w:gridCol w:w="771"/>
        <w:gridCol w:w="771"/>
        <w:gridCol w:w="518"/>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4273" w:type="dxa"/>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c>
          <w:tcPr>
            <w:tcW w:w="1028"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2"/>
                <w:szCs w:val="22"/>
                <w:u w:val="none"/>
                <w:lang w:val="en-US" w:eastAsia="zh-CN" w:bidi="ar"/>
              </w:rPr>
            </w:pPr>
            <w:r>
              <w:rPr>
                <w:rFonts w:hint="eastAsia" w:ascii="仿宋_GB2312" w:hAnsi="宋体" w:eastAsia="仿宋_GB2312" w:cs="仿宋_GB2312"/>
                <w:b/>
                <w:bCs/>
                <w:i w:val="0"/>
                <w:iCs w:val="0"/>
                <w:color w:val="FF0000"/>
                <w:kern w:val="0"/>
                <w:sz w:val="22"/>
                <w:szCs w:val="22"/>
                <w:u w:val="none"/>
                <w:lang w:val="en-US" w:eastAsia="zh-CN" w:bidi="ar"/>
              </w:rPr>
              <w:t>页码</w:t>
            </w:r>
            <w:r>
              <w:rPr>
                <w:rFonts w:hint="eastAsia" w:ascii="仿宋_GB2312" w:hAnsi="宋体" w:eastAsia="仿宋_GB2312" w:cs="仿宋_GB2312"/>
                <w:b/>
                <w:bCs/>
                <w:i w:val="0"/>
                <w:iCs w:val="0"/>
                <w:color w:val="FF0000"/>
                <w:kern w:val="0"/>
                <w:sz w:val="16"/>
                <w:szCs w:val="16"/>
                <w:u w:val="none"/>
                <w:lang w:val="en-US" w:eastAsia="zh-CN" w:bidi="ar"/>
              </w:rPr>
              <w:t>（必须填写）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P5-P9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4820" w:type="pct"/>
        <w:tblInd w:w="0" w:type="dxa"/>
        <w:tblLayout w:type="fixed"/>
        <w:tblCellMar>
          <w:top w:w="0" w:type="dxa"/>
          <w:left w:w="108" w:type="dxa"/>
          <w:bottom w:w="0" w:type="dxa"/>
          <w:right w:w="108" w:type="dxa"/>
        </w:tblCellMar>
      </w:tblPr>
      <w:tblGrid>
        <w:gridCol w:w="2407"/>
        <w:gridCol w:w="1080"/>
        <w:gridCol w:w="765"/>
        <w:gridCol w:w="592"/>
        <w:gridCol w:w="436"/>
        <w:gridCol w:w="436"/>
        <w:gridCol w:w="436"/>
        <w:gridCol w:w="436"/>
        <w:gridCol w:w="920"/>
        <w:gridCol w:w="880"/>
        <w:gridCol w:w="888"/>
        <w:gridCol w:w="891"/>
        <w:gridCol w:w="1525"/>
        <w:gridCol w:w="1620"/>
        <w:gridCol w:w="1215"/>
      </w:tblGrid>
      <w:tr>
        <w:tblPrEx>
          <w:tblCellMar>
            <w:top w:w="0" w:type="dxa"/>
            <w:left w:w="108" w:type="dxa"/>
            <w:bottom w:w="0" w:type="dxa"/>
            <w:right w:w="108" w:type="dxa"/>
          </w:tblCellMar>
        </w:tblPrEx>
        <w:trPr>
          <w:trHeight w:val="229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产品注册证名称</w:t>
            </w: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注册证号</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生产企业</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注册证规格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包装规格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eastAsia="zh-CN"/>
              </w:rPr>
              <w:t>最小计量</w:t>
            </w:r>
            <w:r>
              <w:rPr>
                <w:rFonts w:hint="eastAsia" w:ascii="宋体" w:hAnsi="宋体" w:cs="宋体"/>
                <w:b/>
                <w:bCs/>
                <w:color w:val="FF0000"/>
                <w:kern w:val="0"/>
                <w:sz w:val="22"/>
                <w:szCs w:val="22"/>
              </w:rPr>
              <w:t>单位</w:t>
            </w: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000000" w:themeColor="text1"/>
                <w:szCs w:val="21"/>
                <w:lang w:eastAsia="zh-CN"/>
                <w14:textFill>
                  <w14:solidFill>
                    <w14:schemeClr w14:val="tx1"/>
                  </w14:solidFill>
                </w14:textFill>
              </w:rPr>
              <w:t>采购文件中产品的最高限价</w:t>
            </w:r>
            <w:r>
              <w:rPr>
                <w:rFonts w:hint="eastAsia" w:ascii="宋体" w:hAnsi="宋体" w:cs="宋体"/>
                <w:b/>
                <w:bCs/>
                <w:color w:val="000000" w:themeColor="text1"/>
                <w:szCs w:val="21"/>
                <w14:textFill>
                  <w14:solidFill>
                    <w14:schemeClr w14:val="tx1"/>
                  </w14:solidFill>
                </w14:textFill>
              </w:rPr>
              <w:t>金额</w:t>
            </w:r>
            <w:r>
              <w:rPr>
                <w:rFonts w:hint="eastAsia" w:ascii="宋体" w:hAnsi="宋体" w:cs="宋体"/>
                <w:b/>
                <w:bCs/>
                <w:color w:val="000000" w:themeColor="text1"/>
                <w:kern w:val="0"/>
                <w:sz w:val="22"/>
                <w:szCs w:val="22"/>
                <w14:textFill>
                  <w14:solidFill>
                    <w14:schemeClr w14:val="tx1"/>
                  </w14:solidFill>
                </w14:textFill>
              </w:rPr>
              <w:t>（元）</w:t>
            </w: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auto"/>
                <w:kern w:val="0"/>
                <w:sz w:val="22"/>
                <w:szCs w:val="22"/>
                <w:lang w:eastAsia="zh-CN"/>
              </w:rPr>
              <w:t>采购文件中需求为（国产</w:t>
            </w:r>
            <w:r>
              <w:rPr>
                <w:rFonts w:hint="eastAsia" w:ascii="宋体" w:hAnsi="宋体" w:cs="宋体"/>
                <w:b/>
                <w:bCs/>
                <w:color w:val="auto"/>
                <w:kern w:val="0"/>
                <w:sz w:val="22"/>
                <w:szCs w:val="22"/>
                <w:lang w:val="en-US" w:eastAsia="zh-CN"/>
              </w:rPr>
              <w:t>/进口</w:t>
            </w:r>
            <w:r>
              <w:rPr>
                <w:rFonts w:hint="eastAsia" w:ascii="宋体" w:hAnsi="宋体" w:cs="宋体"/>
                <w:b/>
                <w:bCs/>
                <w:color w:val="auto"/>
                <w:kern w:val="0"/>
                <w:sz w:val="22"/>
                <w:szCs w:val="22"/>
                <w:lang w:eastAsia="zh-CN"/>
              </w:rPr>
              <w:t>）</w:t>
            </w: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rPr>
              <w:t>产地/品牌</w:t>
            </w: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auto"/>
                <w:kern w:val="0"/>
                <w:sz w:val="22"/>
                <w:szCs w:val="22"/>
                <w:lang w:eastAsia="zh-CN"/>
              </w:rPr>
              <w:t>采购文件中</w:t>
            </w:r>
            <w:r>
              <w:rPr>
                <w:rFonts w:hint="eastAsia" w:ascii="宋体" w:hAnsi="宋体" w:cs="宋体"/>
                <w:b/>
                <w:bCs/>
                <w:color w:val="auto"/>
                <w:kern w:val="0"/>
                <w:sz w:val="22"/>
                <w:szCs w:val="22"/>
                <w:lang w:val="en-US" w:eastAsia="zh-CN"/>
              </w:rPr>
              <w:t>是否设置阳光平台采购为资格准入（是/否）</w:t>
            </w: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FF0000"/>
                <w:kern w:val="0"/>
                <w:sz w:val="22"/>
                <w:szCs w:val="22"/>
                <w:lang w:eastAsia="zh-CN"/>
              </w:rPr>
              <w:t>是否响应阳光平台采购（响应</w:t>
            </w:r>
            <w:r>
              <w:rPr>
                <w:rFonts w:hint="eastAsia" w:ascii="宋体" w:hAnsi="宋体" w:cs="宋体"/>
                <w:b/>
                <w:bCs/>
                <w:color w:val="FF0000"/>
                <w:kern w:val="0"/>
                <w:sz w:val="22"/>
                <w:szCs w:val="22"/>
                <w:lang w:val="en-US" w:eastAsia="zh-CN"/>
              </w:rPr>
              <w:t>/不响应</w:t>
            </w:r>
            <w:r>
              <w:rPr>
                <w:rFonts w:hint="eastAsia" w:ascii="宋体" w:hAnsi="宋体" w:cs="宋体"/>
                <w:b/>
                <w:bCs/>
                <w:color w:val="FF0000"/>
                <w:kern w:val="0"/>
                <w:sz w:val="22"/>
                <w:szCs w:val="22"/>
                <w:lang w:eastAsia="zh-CN"/>
              </w:rPr>
              <w:t>）</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000000" w:themeColor="text1"/>
                <w:kern w:val="0"/>
                <w:sz w:val="22"/>
                <w:szCs w:val="22"/>
                <w:lang w:eastAsia="zh-CN"/>
                <w14:textFill>
                  <w14:solidFill>
                    <w14:schemeClr w14:val="tx1"/>
                  </w14:solidFill>
                </w14:textFill>
              </w:rPr>
              <w:t>备注</w:t>
            </w:r>
          </w:p>
        </w:tc>
      </w:tr>
      <w:tr>
        <w:tblPrEx>
          <w:tblCellMar>
            <w:top w:w="0" w:type="dxa"/>
            <w:left w:w="108" w:type="dxa"/>
            <w:bottom w:w="0" w:type="dxa"/>
            <w:right w:w="108" w:type="dxa"/>
          </w:tblCellMar>
        </w:tblPrEx>
        <w:trPr>
          <w:trHeight w:val="55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2.产品表为入围报价，入围报价不得高于最高限价</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9"/>
        <w:gridCol w:w="1070"/>
        <w:gridCol w:w="913"/>
        <w:gridCol w:w="6187"/>
        <w:gridCol w:w="241"/>
        <w:gridCol w:w="2284"/>
        <w:gridCol w:w="2969"/>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000" w:type="pct"/>
            <w:gridSpan w:val="8"/>
            <w:tcBorders>
              <w:top w:val="nil"/>
              <w:left w:val="nil"/>
              <w:bottom w:val="nil"/>
              <w:right w:val="nil"/>
            </w:tcBorders>
            <w:shd w:val="clear" w:color="auto" w:fill="auto"/>
            <w:vAlign w:val="center"/>
          </w:tcPr>
          <w:p>
            <w:pPr>
              <w:jc w:val="center"/>
              <w:rPr>
                <w:rFonts w:hint="eastAsia" w:eastAsia="宋体"/>
                <w:b/>
                <w:sz w:val="28"/>
                <w:szCs w:val="28"/>
                <w:lang w:eastAsia="zh-CN"/>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w:t>
            </w:r>
            <w:r>
              <w:rPr>
                <w:rFonts w:hint="eastAsia"/>
                <w:b/>
                <w:sz w:val="28"/>
                <w:szCs w:val="28"/>
                <w:lang w:eastAsia="zh-CN"/>
              </w:rPr>
              <w:t>参数响应表</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tbl>
            <w:tblPr>
              <w:tblStyle w:val="12"/>
              <w:tblpPr w:leftFromText="180" w:rightFromText="180" w:vertAnchor="text" w:horzAnchor="page" w:tblpX="1247" w:tblpY="402"/>
              <w:tblOverlap w:val="never"/>
              <w:tblW w:w="44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6"/>
              <w:gridCol w:w="833"/>
              <w:gridCol w:w="2538"/>
              <w:gridCol w:w="1048"/>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50" w:type="pct"/>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18" w:type="pct"/>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969" w:type="pct"/>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项目一览表</w:t>
                  </w:r>
                  <w:r>
                    <w:rPr>
                      <w:rFonts w:hint="eastAsia" w:ascii="宋体" w:hAnsi="宋体" w:cs="宋体"/>
                      <w:b/>
                      <w:bCs/>
                      <w:color w:val="000000"/>
                      <w:kern w:val="0"/>
                      <w:sz w:val="22"/>
                      <w:szCs w:val="22"/>
                      <w:lang w:val="en-US" w:eastAsia="zh-CN" w:bidi="ar-SA"/>
                    </w:rPr>
                    <w:t>中参数要求</w:t>
                  </w:r>
                </w:p>
              </w:tc>
              <w:tc>
                <w:tcPr>
                  <w:tcW w:w="400" w:type="pct"/>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18"/>
                      <w:szCs w:val="18"/>
                      <w:lang w:val="en-US" w:eastAsia="zh-CN" w:bidi="ar-SA"/>
                    </w:rPr>
                    <w:t>是否响应（是/否）</w:t>
                  </w:r>
                </w:p>
              </w:tc>
              <w:tc>
                <w:tcPr>
                  <w:tcW w:w="1959" w:type="pct"/>
                  <w:shd w:val="clear" w:color="auto" w:fill="auto"/>
                  <w:vAlign w:val="center"/>
                </w:tcPr>
                <w:p>
                  <w:pPr>
                    <w:widowControl/>
                    <w:jc w:val="center"/>
                    <w:rPr>
                      <w:rFonts w:hint="eastAsia" w:ascii="宋体" w:hAnsi="宋体" w:cs="宋体"/>
                      <w:b/>
                      <w:bCs/>
                      <w:color w:val="FF0000"/>
                      <w:szCs w:val="21"/>
                      <w:lang w:eastAsia="zh-CN"/>
                    </w:rPr>
                  </w:pPr>
                  <w:r>
                    <w:rPr>
                      <w:rFonts w:hint="eastAsia" w:ascii="宋体" w:hAnsi="宋体" w:cs="宋体"/>
                      <w:b/>
                      <w:bCs/>
                      <w:color w:val="FF0000"/>
                      <w:szCs w:val="21"/>
                      <w:lang w:eastAsia="zh-CN"/>
                    </w:rPr>
                    <w:t>佐证材料页面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50" w:type="pct"/>
                  <w:shd w:val="clear" w:color="auto" w:fill="auto"/>
                  <w:noWrap/>
                  <w:vAlign w:val="center"/>
                </w:tcPr>
                <w:p>
                  <w:pPr>
                    <w:widowControl/>
                    <w:jc w:val="center"/>
                    <w:rPr>
                      <w:rFonts w:hint="eastAsia" w:ascii="宋体" w:hAnsi="宋体" w:cs="宋体"/>
                      <w:b/>
                      <w:bCs/>
                      <w:color w:val="000000"/>
                      <w:kern w:val="0"/>
                      <w:sz w:val="22"/>
                      <w:szCs w:val="22"/>
                    </w:rPr>
                  </w:pPr>
                </w:p>
              </w:tc>
              <w:tc>
                <w:tcPr>
                  <w:tcW w:w="318" w:type="pct"/>
                  <w:shd w:val="clear" w:color="auto" w:fill="auto"/>
                  <w:vAlign w:val="center"/>
                </w:tcPr>
                <w:p>
                  <w:pPr>
                    <w:widowControl/>
                    <w:jc w:val="center"/>
                    <w:rPr>
                      <w:rFonts w:hint="eastAsia" w:ascii="宋体" w:hAnsi="宋体" w:cs="宋体"/>
                      <w:b/>
                      <w:bCs/>
                      <w:color w:val="auto"/>
                      <w:kern w:val="0"/>
                      <w:sz w:val="22"/>
                      <w:szCs w:val="22"/>
                    </w:rPr>
                  </w:pPr>
                </w:p>
              </w:tc>
              <w:tc>
                <w:tcPr>
                  <w:tcW w:w="969" w:type="pct"/>
                  <w:shd w:val="clear" w:color="auto" w:fill="auto"/>
                  <w:vAlign w:val="center"/>
                </w:tcPr>
                <w:p>
                  <w:pPr>
                    <w:widowControl/>
                    <w:jc w:val="center"/>
                    <w:rPr>
                      <w:rFonts w:hint="eastAsia" w:ascii="宋体" w:hAnsi="宋体" w:cs="宋体"/>
                      <w:b/>
                      <w:bCs/>
                      <w:color w:val="000000"/>
                      <w:kern w:val="0"/>
                      <w:sz w:val="22"/>
                      <w:szCs w:val="22"/>
                    </w:rPr>
                  </w:pPr>
                </w:p>
              </w:tc>
              <w:tc>
                <w:tcPr>
                  <w:tcW w:w="400" w:type="pct"/>
                  <w:shd w:val="clear" w:color="auto" w:fill="auto"/>
                  <w:vAlign w:val="center"/>
                </w:tcPr>
                <w:p>
                  <w:pPr>
                    <w:widowControl/>
                    <w:jc w:val="center"/>
                    <w:rPr>
                      <w:rFonts w:hint="eastAsia" w:ascii="宋体" w:hAnsi="宋体" w:cs="宋体"/>
                      <w:b/>
                      <w:bCs/>
                      <w:color w:val="FF0000"/>
                      <w:szCs w:val="21"/>
                      <w:lang w:eastAsia="zh-CN"/>
                    </w:rPr>
                  </w:pPr>
                </w:p>
              </w:tc>
              <w:tc>
                <w:tcPr>
                  <w:tcW w:w="1959" w:type="pct"/>
                  <w:shd w:val="clear" w:color="auto" w:fill="auto"/>
                  <w:vAlign w:val="center"/>
                </w:tcPr>
                <w:p>
                  <w:pPr>
                    <w:widowControl/>
                    <w:jc w:val="center"/>
                    <w:rPr>
                      <w:rFonts w:hint="default" w:ascii="宋体" w:hAnsi="宋体" w:cs="宋体"/>
                      <w:b/>
                      <w:bCs/>
                      <w:color w:val="FF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964" w:firstLineChars="400"/>
              <w:jc w:val="left"/>
              <w:textAlignment w:val="center"/>
              <w:rPr>
                <w:rFonts w:hint="eastAsia" w:ascii="宋体" w:hAnsi="宋体" w:eastAsia="宋体" w:cs="宋体"/>
                <w:b/>
                <w:bCs/>
                <w:i w:val="0"/>
                <w:iCs w:val="0"/>
                <w:color w:val="000000"/>
                <w:kern w:val="0"/>
                <w:sz w:val="36"/>
                <w:szCs w:val="36"/>
                <w:u w:val="single"/>
                <w:lang w:val="en-US" w:eastAsia="zh-CN" w:bidi="ar"/>
              </w:rPr>
            </w:pP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r>
              <w:rPr>
                <w:rFonts w:hint="eastAsia" w:ascii="宋体" w:hAnsi="宋体" w:cs="宋体"/>
                <w:b/>
                <w:bCs/>
                <w:color w:val="000000"/>
                <w:kern w:val="0"/>
                <w:sz w:val="22"/>
                <w:szCs w:val="22"/>
                <w:lang w:val="en-US" w:eastAsia="zh-CN" w:bidi="ar-SA"/>
              </w:rPr>
              <w:t>（若一个产品涉及多条参数要求的，需分小点进行材料佐证及响应）</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参标公司法</w:t>
            </w:r>
            <w:r>
              <w:rPr>
                <w:rFonts w:hint="eastAsia" w:ascii="宋体" w:hAnsi="宋体" w:cs="宋体"/>
                <w:i w:val="0"/>
                <w:iCs w:val="0"/>
                <w:color w:val="000000"/>
                <w:kern w:val="0"/>
                <w:sz w:val="22"/>
                <w:szCs w:val="22"/>
                <w:highlight w:val="none"/>
                <w:u w:val="none"/>
                <w:lang w:val="en-US" w:eastAsia="zh-CN" w:bidi="ar"/>
              </w:rPr>
              <w:t>定代表人</w:t>
            </w:r>
            <w:r>
              <w:rPr>
                <w:rFonts w:hint="eastAsia" w:ascii="宋体" w:hAnsi="宋体" w:eastAsia="宋体" w:cs="宋体"/>
                <w:i w:val="0"/>
                <w:iCs w:val="0"/>
                <w:color w:val="000000"/>
                <w:kern w:val="0"/>
                <w:sz w:val="22"/>
                <w:szCs w:val="22"/>
                <w:highlight w:val="none"/>
                <w:u w:val="none"/>
                <w:lang w:val="en-US" w:eastAsia="zh-CN" w:bidi="ar"/>
              </w:rPr>
              <w:t>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2133"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1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价格的发票</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合同</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9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2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（注意：产品名称及序号需明确填写，每个包类的投标产品需对应一个分值要素自评表）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3"/>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（合同或发票）（厂家）</w:t>
      </w:r>
    </w:p>
    <w:p>
      <w:pPr>
        <w:pStyle w:val="16"/>
        <w:numPr>
          <w:ilvl w:val="0"/>
          <w:numId w:val="3"/>
        </w:numPr>
        <w:ind w:left="0" w:leftChars="0" w:firstLine="0" w:firstLineChars="0"/>
        <w:rPr>
          <w:rFonts w:hint="eastAsia"/>
          <w:sz w:val="24"/>
          <w:szCs w:val="24"/>
        </w:rPr>
      </w:pPr>
      <w:r>
        <w:rPr>
          <w:rFonts w:hint="eastAsia"/>
          <w:sz w:val="24"/>
          <w:szCs w:val="24"/>
        </w:rPr>
        <w:t>售后服务响应表</w:t>
      </w:r>
    </w:p>
    <w:p>
      <w:pPr>
        <w:pStyle w:val="16"/>
        <w:numPr>
          <w:ilvl w:val="0"/>
          <w:numId w:val="3"/>
        </w:numPr>
        <w:ind w:left="0" w:leftChars="0" w:firstLine="0" w:firstLineChars="0"/>
        <w:rPr>
          <w:rFonts w:hint="eastAsia"/>
          <w:sz w:val="24"/>
          <w:szCs w:val="24"/>
        </w:rPr>
      </w:pPr>
      <w:r>
        <w:rPr>
          <w:rFonts w:hint="eastAsia"/>
          <w:sz w:val="24"/>
          <w:szCs w:val="24"/>
        </w:rPr>
        <w:t>住所信息对应证件复印件</w:t>
      </w:r>
    </w:p>
    <w:p>
      <w:pPr>
        <w:pStyle w:val="16"/>
        <w:widowControl w:val="0"/>
        <w:numPr>
          <w:ilvl w:val="0"/>
          <w:numId w:val="0"/>
        </w:numPr>
        <w:tabs>
          <w:tab w:val="left" w:pos="312"/>
        </w:tabs>
        <w:jc w:val="both"/>
        <w:rPr>
          <w:rFonts w:hint="default" w:eastAsia="宋体"/>
          <w:sz w:val="24"/>
          <w:szCs w:val="24"/>
          <w:lang w:val="en-US"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lang w:val="en-US" w:eastAsia="zh-CN"/>
        </w:rPr>
        <w:t>4.</w:t>
      </w:r>
      <w:r>
        <w:rPr>
          <w:rFonts w:ascii="宋体" w:hAnsi="宋体" w:eastAsia="宋体" w:cs="宋体"/>
          <w:b/>
          <w:bCs/>
          <w:sz w:val="24"/>
          <w:szCs w:val="24"/>
          <w:highlight w:val="red"/>
        </w:rPr>
        <w:t>注意重点：</w:t>
      </w:r>
      <w:r>
        <w:rPr>
          <w:rFonts w:ascii="宋体" w:hAnsi="宋体" w:eastAsia="宋体" w:cs="宋体"/>
          <w:sz w:val="24"/>
          <w:szCs w:val="24"/>
        </w:rPr>
        <w:t>1个包1份要素自评表即可，表格中的内容都为必填项（包括：投标产品序号、产品名称等）</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w:t>
            </w:r>
            <w:r>
              <w:rPr>
                <w:rFonts w:hint="eastAsia" w:ascii="宋体" w:hAnsi="宋体" w:eastAsia="宋体" w:cs="宋体"/>
                <w:i w:val="0"/>
                <w:color w:val="000000"/>
                <w:kern w:val="0"/>
                <w:sz w:val="20"/>
                <w:szCs w:val="20"/>
                <w:highlight w:val="none"/>
                <w:u w:val="none"/>
                <w:lang w:val="en-US" w:eastAsia="zh-CN" w:bidi="ar"/>
              </w:rPr>
              <w:t>接</w:t>
            </w:r>
            <w:r>
              <w:rPr>
                <w:rFonts w:hint="eastAsia" w:ascii="宋体" w:hAnsi="宋体" w:cs="宋体"/>
                <w:i w:val="0"/>
                <w:color w:val="000000"/>
                <w:kern w:val="0"/>
                <w:sz w:val="20"/>
                <w:szCs w:val="20"/>
                <w:highlight w:val="none"/>
                <w:u w:val="none"/>
                <w:lang w:val="en-US" w:eastAsia="zh-CN" w:bidi="ar"/>
              </w:rPr>
              <w:t>收</w:t>
            </w:r>
            <w:r>
              <w:rPr>
                <w:rFonts w:hint="eastAsia" w:ascii="宋体" w:hAnsi="宋体" w:eastAsia="宋体" w:cs="宋体"/>
                <w:i w:val="0"/>
                <w:color w:val="000000"/>
                <w:kern w:val="0"/>
                <w:sz w:val="20"/>
                <w:szCs w:val="20"/>
                <w:highlight w:val="none"/>
                <w:u w:val="none"/>
                <w:lang w:val="en-US" w:eastAsia="zh-CN" w:bidi="ar"/>
              </w:rPr>
              <w:t>货</w:t>
            </w:r>
            <w:r>
              <w:rPr>
                <w:rFonts w:hint="eastAsia" w:ascii="宋体" w:hAnsi="宋体" w:eastAsia="宋体" w:cs="宋体"/>
                <w:i w:val="0"/>
                <w:color w:val="000000"/>
                <w:kern w:val="0"/>
                <w:sz w:val="20"/>
                <w:szCs w:val="20"/>
                <w:u w:val="none"/>
                <w:lang w:val="en-US" w:eastAsia="zh-CN" w:bidi="ar"/>
              </w:rPr>
              <w:t>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本授权书于</w:t>
      </w:r>
      <w:r>
        <w:rPr>
          <w:rFonts w:hint="eastAsia" w:ascii="宋体" w:hAnsi="宋体" w:cs="宋体"/>
          <w:sz w:val="24"/>
          <w:highlight w:val="none"/>
          <w:lang w:val="en-US" w:eastAsia="zh-CN"/>
        </w:rPr>
        <w:t>2024</w:t>
      </w:r>
      <w:r>
        <w:rPr>
          <w:rFonts w:hint="eastAsia" w:ascii="宋体" w:hAnsi="宋体" w:cs="宋体"/>
          <w:sz w:val="24"/>
          <w:highlight w:val="none"/>
        </w:rPr>
        <w:t>年XX月XX日签字生效，特此声明。</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授权期限为：</w:t>
      </w:r>
      <w:r>
        <w:rPr>
          <w:rFonts w:hint="eastAsia" w:ascii="宋体" w:hAnsi="宋体" w:cs="宋体"/>
          <w:sz w:val="24"/>
          <w:highlight w:val="none"/>
          <w:lang w:val="en-US" w:eastAsia="zh-CN"/>
        </w:rPr>
        <w:t>2024</w:t>
      </w:r>
      <w:r>
        <w:rPr>
          <w:rFonts w:hint="eastAsia" w:ascii="宋体" w:hAnsi="宋体" w:cs="宋体"/>
          <w:sz w:val="24"/>
          <w:highlight w:val="none"/>
        </w:rPr>
        <w:t>年XX月XX日起至本次招标采购期结束。授权期限内无特殊情况不得变更合法代理人（被授权人）。</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供应商法定代表人签字（盖章）：</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被授权人社保缴纳证明（此页需折起）</w:t>
      </w: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厂家产品授权书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法定代表人：</w:t>
      </w:r>
    </w:p>
    <w:p>
      <w:pPr>
        <w:jc w:val="left"/>
        <w:rPr>
          <w:rFonts w:hint="eastAsia"/>
          <w:sz w:val="30"/>
          <w:szCs w:val="30"/>
          <w:lang w:val="en-US" w:eastAsia="zh-CN"/>
        </w:rPr>
      </w:pPr>
      <w:r>
        <w:rPr>
          <w:rFonts w:hint="eastAsia"/>
          <w:sz w:val="30"/>
          <w:szCs w:val="30"/>
          <w:lang w:val="en-US" w:eastAsia="zh-CN"/>
        </w:rPr>
        <w:t>生产厂家公司名称（盖章）：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tabs>
          <w:tab w:val="left" w:pos="4860"/>
          <w:tab w:val="left" w:pos="5400"/>
          <w:tab w:val="left" w:pos="5580"/>
        </w:tabs>
        <w:jc w:val="both"/>
        <w:rPr>
          <w:rFonts w:hint="eastAsia" w:ascii="方正小标宋简体" w:eastAsia="方正小标宋简体"/>
          <w:bCs/>
          <w:sz w:val="44"/>
          <w:szCs w:val="44"/>
        </w:rPr>
      </w:pPr>
    </w:p>
    <w:p>
      <w:pPr>
        <w:tabs>
          <w:tab w:val="left" w:pos="4860"/>
          <w:tab w:val="left" w:pos="5400"/>
          <w:tab w:val="left" w:pos="5580"/>
        </w:tabs>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20" w:lineRule="exact"/>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hint="eastAsia" w:ascii="宋体" w:hAnsi="宋体" w:cs="宋体"/>
          <w:sz w:val="24"/>
        </w:rPr>
      </w:pPr>
      <w:r>
        <w:rPr>
          <w:rFonts w:hint="eastAsia" w:ascii="宋体" w:hAnsi="宋体" w:cs="宋体"/>
          <w:sz w:val="24"/>
        </w:rPr>
        <w:t>7、我公司承诺，不得以回扣、提成、有价证券、现金、信用卡、购物卡等任何形式为采购方工作人员或科室</w:t>
      </w:r>
      <w:r>
        <w:rPr>
          <w:rFonts w:ascii="宋体" w:hAnsi="宋体" w:eastAsia="宋体" w:cs="宋体"/>
          <w:sz w:val="24"/>
          <w:szCs w:val="24"/>
        </w:rPr>
        <w:t>牟</w:t>
      </w:r>
      <w:r>
        <w:rPr>
          <w:rFonts w:hint="eastAsia" w:ascii="宋体" w:hAnsi="宋体" w:cs="宋体"/>
          <w:sz w:val="24"/>
        </w:rPr>
        <w:t>取利益。</w:t>
      </w:r>
    </w:p>
    <w:p>
      <w:pPr>
        <w:spacing w:line="520" w:lineRule="exact"/>
        <w:ind w:firstLine="480" w:firstLineChars="20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我公司承诺</w:t>
      </w:r>
      <w:r>
        <w:rPr>
          <w:rFonts w:hint="eastAsia" w:ascii="宋体" w:hAnsi="宋体" w:cs="宋体"/>
          <w:sz w:val="24"/>
          <w:lang w:eastAsia="zh-CN"/>
        </w:rPr>
        <w:t>及知悉贵单位的需求条款，条款如下：</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1</w:t>
      </w:r>
      <w:r>
        <w:rPr>
          <w:rFonts w:hint="eastAsia" w:ascii="宋体" w:hAnsi="宋体" w:cs="宋体"/>
          <w:b/>
          <w:bCs/>
          <w:sz w:val="24"/>
          <w:lang w:eastAsia="zh-CN"/>
        </w:rPr>
        <w:t>）打包类产品，需满足包类产品目录的</w:t>
      </w:r>
      <w:r>
        <w:rPr>
          <w:rFonts w:hint="eastAsia" w:ascii="宋体" w:hAnsi="宋体" w:cs="宋体"/>
          <w:b/>
          <w:bCs/>
          <w:sz w:val="24"/>
          <w:lang w:val="en-US" w:eastAsia="zh-CN"/>
        </w:rPr>
        <w:t>100</w:t>
      </w:r>
      <w:r>
        <w:rPr>
          <w:rFonts w:hint="eastAsia" w:ascii="宋体" w:hAnsi="宋体" w:cs="宋体"/>
          <w:b/>
          <w:bCs/>
          <w:sz w:val="24"/>
          <w:lang w:eastAsia="zh-CN"/>
        </w:rPr>
        <w:t>%。（未满足包类项目</w:t>
      </w:r>
      <w:r>
        <w:rPr>
          <w:rFonts w:hint="eastAsia" w:ascii="宋体" w:hAnsi="宋体" w:cs="宋体"/>
          <w:b/>
          <w:bCs/>
          <w:sz w:val="24"/>
          <w:lang w:val="en-US" w:eastAsia="zh-CN"/>
        </w:rPr>
        <w:t>100%投标的，属于无效投标</w:t>
      </w:r>
      <w:r>
        <w:rPr>
          <w:rFonts w:hint="eastAsia" w:ascii="宋体" w:hAnsi="宋体" w:cs="宋体"/>
          <w:b/>
          <w:bCs/>
          <w:sz w:val="24"/>
          <w:lang w:eastAsia="zh-CN"/>
        </w:rPr>
        <w:t>）。</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2</w:t>
      </w:r>
      <w:r>
        <w:rPr>
          <w:rFonts w:hint="eastAsia" w:ascii="宋体" w:hAnsi="宋体" w:cs="宋体"/>
          <w:b/>
          <w:bCs/>
          <w:sz w:val="24"/>
          <w:lang w:eastAsia="zh-CN"/>
        </w:rPr>
        <w:t>）若投标报价高于最高限价（单价），则此投标报价无效。</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3</w:t>
      </w:r>
      <w:r>
        <w:rPr>
          <w:rFonts w:hint="eastAsia" w:ascii="宋体" w:hAnsi="宋体" w:cs="宋体"/>
          <w:b/>
          <w:bCs/>
          <w:sz w:val="24"/>
          <w:lang w:eastAsia="zh-CN"/>
        </w:rPr>
        <w:t>）投标人所投产品必须满足产品参数要求,否则按投标无效处理。</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4</w:t>
      </w:r>
      <w:r>
        <w:rPr>
          <w:rFonts w:hint="eastAsia" w:ascii="宋体" w:hAnsi="宋体" w:cs="宋体"/>
          <w:b/>
          <w:bCs/>
          <w:sz w:val="24"/>
          <w:lang w:eastAsia="zh-CN"/>
        </w:rPr>
        <w:t>）采购需求中若设置阳光平台为资格准入的产品，投标产品需</w:t>
      </w:r>
      <w:r>
        <w:rPr>
          <w:rFonts w:hint="eastAsia" w:ascii="宋体" w:hAnsi="宋体" w:cs="宋体"/>
          <w:b/>
          <w:bCs/>
          <w:sz w:val="24"/>
          <w:lang w:val="en-US" w:eastAsia="zh-CN"/>
        </w:rPr>
        <w:t>在阳光平台下单采购，无阳光平台代码的视为无效投标。</w:t>
      </w:r>
      <w:r>
        <w:rPr>
          <w:rFonts w:hint="eastAsia" w:ascii="宋体" w:hAnsi="宋体" w:cs="宋体"/>
          <w:b/>
          <w:bCs/>
          <w:sz w:val="24"/>
          <w:lang w:eastAsia="zh-CN"/>
        </w:rPr>
        <w:t>（注意：投标商在入围后，通过议价或竞价后达成的最终价格，产品仍需遵循本规则，否则将视为无效投标）</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5</w:t>
      </w:r>
      <w:r>
        <w:rPr>
          <w:rFonts w:hint="eastAsia" w:ascii="宋体" w:hAnsi="宋体" w:cs="宋体"/>
          <w:b/>
          <w:bCs/>
          <w:sz w:val="24"/>
          <w:lang w:eastAsia="zh-CN"/>
        </w:rPr>
        <w:t>）为保障投标公平性，投标商对每个需求产品有且只能提供一个有效投标品牌。</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6</w:t>
      </w:r>
      <w:r>
        <w:rPr>
          <w:rFonts w:hint="eastAsia" w:ascii="宋体" w:hAnsi="宋体" w:cs="宋体"/>
          <w:b/>
          <w:bCs/>
          <w:sz w:val="24"/>
          <w:lang w:eastAsia="zh-CN"/>
        </w:rPr>
        <w:t>）需求为国产产品的，投标产品只允许国产产品投标，需求产品为进口产品的，原则上不得歧视国产产品投标。</w:t>
      </w:r>
    </w:p>
    <w:p>
      <w:pPr>
        <w:spacing w:line="520" w:lineRule="exact"/>
        <w:ind w:firstLine="482" w:firstLineChars="200"/>
        <w:rPr>
          <w:rFonts w:hint="eastAsia" w:ascii="宋体" w:hAnsi="宋体" w:cs="宋体"/>
          <w:b/>
          <w:bCs/>
          <w:sz w:val="24"/>
          <w:lang w:val="en-US" w:eastAsia="zh-CN"/>
        </w:rPr>
      </w:pPr>
      <w:r>
        <w:rPr>
          <w:rFonts w:hint="eastAsia" w:ascii="宋体" w:hAnsi="宋体" w:cs="宋体"/>
          <w:b/>
          <w:bCs/>
          <w:sz w:val="24"/>
          <w:lang w:eastAsia="zh-CN"/>
        </w:rPr>
        <w:t>（</w:t>
      </w:r>
      <w:r>
        <w:rPr>
          <w:rFonts w:hint="eastAsia" w:ascii="宋体" w:hAnsi="宋体" w:cs="宋体"/>
          <w:b/>
          <w:bCs/>
          <w:sz w:val="24"/>
          <w:lang w:val="en-US" w:eastAsia="zh-CN"/>
        </w:rPr>
        <w:t>7</w:t>
      </w:r>
      <w:r>
        <w:rPr>
          <w:rFonts w:hint="eastAsia" w:ascii="宋体" w:hAnsi="宋体" w:cs="宋体"/>
          <w:b/>
          <w:bCs/>
          <w:sz w:val="24"/>
          <w:lang w:eastAsia="zh-CN"/>
        </w:rPr>
        <w:t>）需求单位：北京中医药大学深圳医院（龙岗）。</w:t>
      </w:r>
    </w:p>
    <w:p>
      <w:pPr>
        <w:spacing w:line="520" w:lineRule="exact"/>
        <w:ind w:firstLine="482" w:firstLineChars="200"/>
        <w:rPr>
          <w:rFonts w:hint="eastAsia" w:ascii="宋体" w:hAnsi="宋体" w:cs="宋体"/>
          <w:sz w:val="24"/>
          <w:lang w:eastAsia="zh-CN"/>
        </w:rPr>
      </w:pPr>
      <w:r>
        <w:rPr>
          <w:rFonts w:hint="eastAsia" w:ascii="宋体" w:hAnsi="宋体" w:cs="宋体"/>
          <w:b/>
          <w:bCs/>
          <w:sz w:val="24"/>
          <w:lang w:eastAsia="zh-CN"/>
        </w:rPr>
        <w:t>投标产品完全满足需求条款（参数及无效投标等条款），知悉若参数与需求存在偏离，为不诚实投标，</w:t>
      </w:r>
      <w:r>
        <w:rPr>
          <w:rFonts w:hint="eastAsia" w:ascii="宋体" w:hAnsi="宋体" w:cs="宋体"/>
          <w:b/>
          <w:bCs/>
          <w:color w:val="FF0000"/>
          <w:sz w:val="24"/>
          <w:lang w:eastAsia="zh-CN"/>
        </w:rPr>
        <w:t>将</w:t>
      </w:r>
      <w:r>
        <w:rPr>
          <w:rFonts w:hint="eastAsia" w:ascii="宋体" w:hAnsi="宋体" w:cs="宋体"/>
          <w:b/>
          <w:bCs/>
          <w:color w:val="FF0000"/>
          <w:sz w:val="24"/>
          <w:highlight w:val="none"/>
          <w:lang w:eastAsia="zh-CN"/>
        </w:rPr>
        <w:t>被列入北京</w:t>
      </w:r>
      <w:r>
        <w:rPr>
          <w:rFonts w:hint="eastAsia" w:ascii="宋体" w:hAnsi="宋体" w:cs="宋体"/>
          <w:b/>
          <w:bCs/>
          <w:color w:val="FF0000"/>
          <w:sz w:val="24"/>
          <w:lang w:eastAsia="zh-CN"/>
        </w:rPr>
        <w:t>中医院大学深圳医院（龙岗）的供应商黑名单库内</w:t>
      </w:r>
      <w:r>
        <w:rPr>
          <w:rFonts w:hint="eastAsia" w:ascii="宋体" w:hAnsi="宋体" w:cs="宋体"/>
          <w:b/>
          <w:bCs/>
          <w:sz w:val="24"/>
          <w:lang w:eastAsia="zh-CN"/>
        </w:rPr>
        <w:t>。</w:t>
      </w:r>
    </w:p>
    <w:p>
      <w:pPr>
        <w:spacing w:line="520" w:lineRule="exact"/>
        <w:rPr>
          <w:rFonts w:hint="default" w:ascii="宋体" w:hAnsi="宋体" w:cs="宋体"/>
          <w:sz w:val="24"/>
          <w:lang w:val="en-US" w:eastAsia="zh-CN"/>
        </w:rPr>
      </w:pPr>
    </w:p>
    <w:p>
      <w:pPr>
        <w:spacing w:line="520" w:lineRule="exact"/>
        <w:ind w:firstLine="5280" w:firstLineChars="22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w:t>
      </w:r>
      <w:r>
        <w:rPr>
          <w:rFonts w:hint="eastAsia" w:ascii="宋体" w:hAnsi="宋体" w:cs="宋体"/>
          <w:sz w:val="24"/>
          <w:lang w:eastAsia="zh-CN"/>
        </w:rPr>
        <w:t>验收货物</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2023</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w:t>
      </w:r>
      <w:r>
        <w:rPr>
          <w:rFonts w:hint="eastAsia" w:ascii="仿宋_GB2312" w:eastAsia="仿宋_GB2312"/>
          <w:color w:val="000000" w:themeColor="text1"/>
          <w:sz w:val="22"/>
          <w:szCs w:val="22"/>
          <w:highlight w:val="none"/>
          <w:lang w:val="en-US" w:eastAsia="zh-CN"/>
          <w14:textFill>
            <w14:solidFill>
              <w14:schemeClr w14:val="tx1"/>
            </w14:solidFill>
          </w14:textFill>
        </w:rPr>
        <w:t>如投标产品都不</w:t>
      </w:r>
      <w:r>
        <w:rPr>
          <w:rFonts w:hint="eastAsia" w:ascii="仿宋_GB2312" w:eastAsia="仿宋_GB2312"/>
          <w:color w:val="000000" w:themeColor="text1"/>
          <w:sz w:val="22"/>
          <w:szCs w:val="22"/>
          <w:lang w:val="en-US" w:eastAsia="zh-CN"/>
          <w14:textFill>
            <w14:solidFill>
              <w14:schemeClr w14:val="tx1"/>
            </w14:solidFill>
          </w14:textFill>
        </w:rPr>
        <w:t>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w:t>
      </w:r>
      <w:r>
        <w:rPr>
          <w:rFonts w:ascii="宋体" w:hAnsi="宋体" w:eastAsia="宋体" w:cs="宋体"/>
          <w:sz w:val="24"/>
          <w:szCs w:val="24"/>
        </w:rPr>
        <w:t>专</w:t>
      </w:r>
      <w:r>
        <w:rPr>
          <w:rFonts w:hint="eastAsia" w:ascii="仿宋_GB2312" w:eastAsia="仿宋_GB2312"/>
          <w:color w:val="000000" w:themeColor="text1"/>
          <w:sz w:val="22"/>
          <w:szCs w:val="22"/>
          <w:lang w:val="en-US" w:eastAsia="zh-CN"/>
          <w14:textFill>
            <w14:solidFill>
              <w14:schemeClr w14:val="tx1"/>
            </w14:solidFill>
          </w14:textFill>
        </w:rPr>
        <w:t>家秉持认真、谨慎、无倾向性的态度，对本次招标结果承担相应的责任。</w:t>
      </w:r>
    </w:p>
    <w:p>
      <w:pPr>
        <w:numPr>
          <w:ilvl w:val="0"/>
          <w:numId w:val="4"/>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者都不符合现场专家的产品需求，则现场专家需签署意见并对此项目按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备注：（竞价环节的包类项目采取不建立在需求量基础上的合计报价方式）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使用证明仅限含投标产品规格型号及价格的发票或合同或中标通知书。（广东省外不得分）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w:t>
      </w:r>
      <w:r>
        <w:rPr>
          <w:rFonts w:hint="eastAsia" w:asciiTheme="minorEastAsia" w:hAnsiTheme="minorEastAsia"/>
          <w:szCs w:val="21"/>
          <w:lang w:eastAsia="zh-CN"/>
        </w:rPr>
        <w:t>达</w:t>
      </w:r>
      <w:r>
        <w:rPr>
          <w:rFonts w:asciiTheme="minorEastAsia" w:hAnsiTheme="minorEastAsia"/>
          <w:szCs w:val="21"/>
        </w:rPr>
        <w:t>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5.2乙方应保证其提供的货物不存在任何未曾向甲方透露的担保物权，如抵押权、质押权、留置权等。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w:t>
      </w:r>
      <w:r>
        <w:rPr>
          <w:rFonts w:hint="eastAsia" w:asciiTheme="minorEastAsia" w:hAnsiTheme="minorEastAsia"/>
          <w:szCs w:val="21"/>
          <w:lang w:eastAsia="zh-CN"/>
        </w:rPr>
        <w:t>的</w:t>
      </w:r>
      <w:r>
        <w:rPr>
          <w:rFonts w:hint="eastAsia" w:asciiTheme="minorEastAsia" w:hAnsiTheme="minorEastAsia"/>
          <w:szCs w:val="21"/>
        </w:rPr>
        <w:t>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776A3"/>
    <w:multiLevelType w:val="singleLevel"/>
    <w:tmpl w:val="AC6776A3"/>
    <w:lvl w:ilvl="0" w:tentative="0">
      <w:start w:val="1"/>
      <w:numFmt w:val="chineseCounting"/>
      <w:suff w:val="nothing"/>
      <w:lvlText w:val="%1、"/>
      <w:lvlJc w:val="left"/>
      <w:rPr>
        <w:rFonts w:hint="eastAsia"/>
      </w:rPr>
    </w:lvl>
  </w:abstractNum>
  <w:abstractNum w:abstractNumId="1">
    <w:nsid w:val="EE8C308A"/>
    <w:multiLevelType w:val="singleLevel"/>
    <w:tmpl w:val="EE8C308A"/>
    <w:lvl w:ilvl="0" w:tentative="0">
      <w:start w:val="4"/>
      <w:numFmt w:val="decimal"/>
      <w:suff w:val="nothing"/>
      <w:lvlText w:val="（%1）"/>
      <w:lvlJc w:val="left"/>
    </w:lvl>
  </w:abstractNum>
  <w:abstractNum w:abstractNumId="2">
    <w:nsid w:val="44ED23F4"/>
    <w:multiLevelType w:val="singleLevel"/>
    <w:tmpl w:val="44ED23F4"/>
    <w:lvl w:ilvl="0" w:tentative="0">
      <w:start w:val="1"/>
      <w:numFmt w:val="chineseCounting"/>
      <w:suff w:val="nothing"/>
      <w:lvlText w:val="%1、"/>
      <w:lvlJc w:val="left"/>
      <w:rPr>
        <w:rFonts w:hint="eastAsia"/>
      </w:rPr>
    </w:lvl>
  </w:abstractNum>
  <w:abstractNum w:abstractNumId="3">
    <w:nsid w:val="7EEA7A6D"/>
    <w:multiLevelType w:val="singleLevel"/>
    <w:tmpl w:val="7EEA7A6D"/>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C357ED"/>
    <w:rsid w:val="02DA1D28"/>
    <w:rsid w:val="036A4909"/>
    <w:rsid w:val="03925388"/>
    <w:rsid w:val="03E80687"/>
    <w:rsid w:val="045A3810"/>
    <w:rsid w:val="04C0137C"/>
    <w:rsid w:val="05832C09"/>
    <w:rsid w:val="05E0453E"/>
    <w:rsid w:val="06F61A7D"/>
    <w:rsid w:val="081B13AB"/>
    <w:rsid w:val="084B1C29"/>
    <w:rsid w:val="09F15C31"/>
    <w:rsid w:val="0A310FDA"/>
    <w:rsid w:val="0AF26B57"/>
    <w:rsid w:val="0CE3566F"/>
    <w:rsid w:val="0D72563D"/>
    <w:rsid w:val="0E256A4A"/>
    <w:rsid w:val="0E620EE2"/>
    <w:rsid w:val="0E6F41E3"/>
    <w:rsid w:val="0EC23417"/>
    <w:rsid w:val="0EC67C0D"/>
    <w:rsid w:val="0EEA2F23"/>
    <w:rsid w:val="0F243DDF"/>
    <w:rsid w:val="0F4268B0"/>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9B17A41"/>
    <w:rsid w:val="1A0E4CA6"/>
    <w:rsid w:val="1A5D7508"/>
    <w:rsid w:val="1A89451A"/>
    <w:rsid w:val="1AB01369"/>
    <w:rsid w:val="1AF404B4"/>
    <w:rsid w:val="1C662919"/>
    <w:rsid w:val="1D694F1B"/>
    <w:rsid w:val="1D6A1F13"/>
    <w:rsid w:val="1E563025"/>
    <w:rsid w:val="1FFD700C"/>
    <w:rsid w:val="20A807D4"/>
    <w:rsid w:val="21243495"/>
    <w:rsid w:val="22513B6F"/>
    <w:rsid w:val="24097F7B"/>
    <w:rsid w:val="243C79EA"/>
    <w:rsid w:val="24C7565A"/>
    <w:rsid w:val="25437C0F"/>
    <w:rsid w:val="25BA1937"/>
    <w:rsid w:val="26663961"/>
    <w:rsid w:val="26E214A3"/>
    <w:rsid w:val="2767173F"/>
    <w:rsid w:val="276943B2"/>
    <w:rsid w:val="277315B0"/>
    <w:rsid w:val="28FC2868"/>
    <w:rsid w:val="290556B4"/>
    <w:rsid w:val="291B3661"/>
    <w:rsid w:val="29594DAF"/>
    <w:rsid w:val="29905013"/>
    <w:rsid w:val="2A2839CE"/>
    <w:rsid w:val="2B101769"/>
    <w:rsid w:val="2B5A4552"/>
    <w:rsid w:val="2BAB062C"/>
    <w:rsid w:val="2CEE2624"/>
    <w:rsid w:val="2DA15D2F"/>
    <w:rsid w:val="2DDA2D1B"/>
    <w:rsid w:val="2ED70D0E"/>
    <w:rsid w:val="2EF53ED2"/>
    <w:rsid w:val="2F136BB1"/>
    <w:rsid w:val="2F6D73BE"/>
    <w:rsid w:val="2F8D3CD5"/>
    <w:rsid w:val="2FFE70AB"/>
    <w:rsid w:val="306D4751"/>
    <w:rsid w:val="3080317E"/>
    <w:rsid w:val="308A2EA8"/>
    <w:rsid w:val="30B348C3"/>
    <w:rsid w:val="30BB6ADC"/>
    <w:rsid w:val="31027C02"/>
    <w:rsid w:val="33CA5530"/>
    <w:rsid w:val="347F6565"/>
    <w:rsid w:val="354F1186"/>
    <w:rsid w:val="356E62BA"/>
    <w:rsid w:val="35814314"/>
    <w:rsid w:val="36830867"/>
    <w:rsid w:val="36967D4F"/>
    <w:rsid w:val="37390CEE"/>
    <w:rsid w:val="37CF1670"/>
    <w:rsid w:val="387B5A3F"/>
    <w:rsid w:val="38A071A7"/>
    <w:rsid w:val="3A5C6582"/>
    <w:rsid w:val="3A675C6A"/>
    <w:rsid w:val="3B2052A8"/>
    <w:rsid w:val="3B723017"/>
    <w:rsid w:val="3BB30E90"/>
    <w:rsid w:val="3BB44B5F"/>
    <w:rsid w:val="3C46220A"/>
    <w:rsid w:val="3C937993"/>
    <w:rsid w:val="3D581B9C"/>
    <w:rsid w:val="3D7E5628"/>
    <w:rsid w:val="3D804E02"/>
    <w:rsid w:val="3E850321"/>
    <w:rsid w:val="3F9E1D54"/>
    <w:rsid w:val="401F17A1"/>
    <w:rsid w:val="40CB60A0"/>
    <w:rsid w:val="427E13A8"/>
    <w:rsid w:val="42C7547B"/>
    <w:rsid w:val="43BA09C3"/>
    <w:rsid w:val="44790D1E"/>
    <w:rsid w:val="44C164DB"/>
    <w:rsid w:val="44EF5EC4"/>
    <w:rsid w:val="45B8049E"/>
    <w:rsid w:val="45FB45B0"/>
    <w:rsid w:val="45FD1CF9"/>
    <w:rsid w:val="4646736E"/>
    <w:rsid w:val="46937EBD"/>
    <w:rsid w:val="46F846DA"/>
    <w:rsid w:val="48274C8F"/>
    <w:rsid w:val="48DD0570"/>
    <w:rsid w:val="4A303A38"/>
    <w:rsid w:val="4A610B4B"/>
    <w:rsid w:val="4A782462"/>
    <w:rsid w:val="4C0A4C58"/>
    <w:rsid w:val="4C561BFF"/>
    <w:rsid w:val="4C654FF4"/>
    <w:rsid w:val="4CAE696C"/>
    <w:rsid w:val="4D5D39D3"/>
    <w:rsid w:val="4DBC04A6"/>
    <w:rsid w:val="4E392E7F"/>
    <w:rsid w:val="4EAF7C7E"/>
    <w:rsid w:val="4EC20172"/>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A75790"/>
    <w:rsid w:val="58ED2A7C"/>
    <w:rsid w:val="5B4973B1"/>
    <w:rsid w:val="5BFF5F24"/>
    <w:rsid w:val="5C023C3D"/>
    <w:rsid w:val="5C153BB3"/>
    <w:rsid w:val="5D5A1089"/>
    <w:rsid w:val="5E0E7049"/>
    <w:rsid w:val="5E374CA8"/>
    <w:rsid w:val="5E425200"/>
    <w:rsid w:val="5F004CBA"/>
    <w:rsid w:val="5F2C6FD3"/>
    <w:rsid w:val="60ED6DD6"/>
    <w:rsid w:val="610647C6"/>
    <w:rsid w:val="62235498"/>
    <w:rsid w:val="627C1233"/>
    <w:rsid w:val="62EB5430"/>
    <w:rsid w:val="631B3DC6"/>
    <w:rsid w:val="63252F20"/>
    <w:rsid w:val="6328380F"/>
    <w:rsid w:val="635A5A10"/>
    <w:rsid w:val="647D4CC7"/>
    <w:rsid w:val="65880E03"/>
    <w:rsid w:val="65BF5849"/>
    <w:rsid w:val="660C1CCE"/>
    <w:rsid w:val="662231D4"/>
    <w:rsid w:val="664663E8"/>
    <w:rsid w:val="66794763"/>
    <w:rsid w:val="674C1080"/>
    <w:rsid w:val="6812522B"/>
    <w:rsid w:val="68BE4527"/>
    <w:rsid w:val="69931944"/>
    <w:rsid w:val="69A235C0"/>
    <w:rsid w:val="6A3F4898"/>
    <w:rsid w:val="6AB26DFA"/>
    <w:rsid w:val="6C7B0FD1"/>
    <w:rsid w:val="6DCD409B"/>
    <w:rsid w:val="6E553663"/>
    <w:rsid w:val="6E676DE8"/>
    <w:rsid w:val="6F307BB0"/>
    <w:rsid w:val="6F5350B5"/>
    <w:rsid w:val="6F5D510B"/>
    <w:rsid w:val="6FFE038C"/>
    <w:rsid w:val="71947ED4"/>
    <w:rsid w:val="71A5098C"/>
    <w:rsid w:val="722F5C6F"/>
    <w:rsid w:val="72C72385"/>
    <w:rsid w:val="735173D6"/>
    <w:rsid w:val="7386251A"/>
    <w:rsid w:val="738B58D2"/>
    <w:rsid w:val="73B378DD"/>
    <w:rsid w:val="74DC1386"/>
    <w:rsid w:val="75236970"/>
    <w:rsid w:val="75D37D5C"/>
    <w:rsid w:val="766F0203"/>
    <w:rsid w:val="76BE496D"/>
    <w:rsid w:val="77446249"/>
    <w:rsid w:val="781B6892"/>
    <w:rsid w:val="79FE3DB9"/>
    <w:rsid w:val="7B130AA1"/>
    <w:rsid w:val="7C2F6DAB"/>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autoRedefine/>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autoRedefine/>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autoRedefine/>
    <w:qFormat/>
    <w:uiPriority w:val="0"/>
    <w:pPr>
      <w:keepNext/>
      <w:keepLines/>
      <w:spacing w:before="260" w:after="260" w:line="416" w:lineRule="auto"/>
      <w:jc w:val="left"/>
      <w:outlineLvl w:val="2"/>
    </w:pPr>
    <w:rPr>
      <w:b/>
      <w:bCs/>
      <w:sz w:val="24"/>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index 6"/>
    <w:basedOn w:val="1"/>
    <w:next w:val="1"/>
    <w:autoRedefine/>
    <w:qFormat/>
    <w:uiPriority w:val="0"/>
    <w:pPr>
      <w:tabs>
        <w:tab w:val="left" w:pos="426"/>
      </w:tabs>
      <w:ind w:left="2100"/>
    </w:pPr>
  </w:style>
  <w:style w:type="paragraph" w:styleId="6">
    <w:name w:val="Body Text"/>
    <w:basedOn w:val="1"/>
    <w:next w:val="7"/>
    <w:autoRedefine/>
    <w:qFormat/>
    <w:uiPriority w:val="0"/>
    <w:pPr>
      <w:spacing w:after="120"/>
    </w:pPr>
  </w:style>
  <w:style w:type="paragraph" w:customStyle="1" w:styleId="7">
    <w:name w:val="Default"/>
    <w:next w:val="5"/>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autoRedefine/>
    <w:qFormat/>
    <w:uiPriority w:val="0"/>
    <w:rPr>
      <w:rFonts w:ascii="宋体" w:hAnsi="Courier New" w:eastAsiaTheme="minorEastAsia" w:cstheme="minorBidi"/>
      <w:szCs w:val="20"/>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paragraph" w:customStyle="1" w:styleId="16">
    <w:name w:val="_Style 1"/>
    <w:basedOn w:val="1"/>
    <w:autoRedefine/>
    <w:qFormat/>
    <w:uiPriority w:val="99"/>
    <w:pPr>
      <w:ind w:firstLine="420" w:firstLineChars="200"/>
    </w:pPr>
  </w:style>
  <w:style w:type="paragraph" w:customStyle="1" w:styleId="17">
    <w:name w:val="表格文字"/>
    <w:basedOn w:val="1"/>
    <w:autoRedefine/>
    <w:qFormat/>
    <w:uiPriority w:val="0"/>
    <w:pPr>
      <w:spacing w:before="25" w:after="25" w:line="240" w:lineRule="auto"/>
      <w:ind w:firstLine="0"/>
      <w:jc w:val="left"/>
    </w:pPr>
    <w:rPr>
      <w:bCs/>
      <w:spacing w:val="10"/>
      <w:kern w:val="0"/>
      <w:sz w:val="24"/>
    </w:rPr>
  </w:style>
  <w:style w:type="character" w:customStyle="1" w:styleId="18">
    <w:name w:val="页眉 Char"/>
    <w:basedOn w:val="14"/>
    <w:link w:val="10"/>
    <w:autoRedefine/>
    <w:qFormat/>
    <w:uiPriority w:val="99"/>
    <w:rPr>
      <w:sz w:val="18"/>
      <w:szCs w:val="18"/>
    </w:rPr>
  </w:style>
  <w:style w:type="character" w:customStyle="1" w:styleId="19">
    <w:name w:val="页脚 Char"/>
    <w:basedOn w:val="14"/>
    <w:link w:val="9"/>
    <w:autoRedefine/>
    <w:qFormat/>
    <w:uiPriority w:val="99"/>
    <w:rPr>
      <w:sz w:val="18"/>
      <w:szCs w:val="18"/>
    </w:rPr>
  </w:style>
  <w:style w:type="character" w:customStyle="1" w:styleId="20">
    <w:name w:val="纯文本 Char"/>
    <w:basedOn w:val="14"/>
    <w:link w:val="8"/>
    <w:autoRedefine/>
    <w:qFormat/>
    <w:uiPriority w:val="0"/>
    <w:rPr>
      <w:rFonts w:ascii="宋体" w:hAnsi="Courier New"/>
      <w:szCs w:val="20"/>
    </w:rPr>
  </w:style>
  <w:style w:type="paragraph" w:customStyle="1" w:styleId="21">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autoRedefine/>
    <w:qFormat/>
    <w:uiPriority w:val="0"/>
    <w:rPr>
      <w:rFonts w:ascii="Times New Roman" w:hAnsi="Arial" w:eastAsia="宋体" w:cs="Times New Roman"/>
      <w:b/>
      <w:kern w:val="0"/>
      <w:sz w:val="32"/>
      <w:szCs w:val="24"/>
    </w:rPr>
  </w:style>
  <w:style w:type="paragraph" w:styleId="23">
    <w:name w:val="List Paragraph"/>
    <w:basedOn w:val="1"/>
    <w:autoRedefine/>
    <w:qFormat/>
    <w:uiPriority w:val="34"/>
    <w:pPr>
      <w:ind w:firstLine="420" w:firstLineChars="200"/>
    </w:pPr>
  </w:style>
  <w:style w:type="paragraph" w:customStyle="1" w:styleId="24">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autoRedefine/>
    <w:qFormat/>
    <w:uiPriority w:val="0"/>
    <w:rPr>
      <w:rFonts w:hint="default" w:ascii="Times New Roman" w:hAnsi="Times New Roman" w:cs="Times New Roman"/>
      <w:b/>
      <w:bCs/>
      <w:color w:val="000000"/>
      <w:sz w:val="26"/>
      <w:szCs w:val="26"/>
      <w:u w:val="none"/>
    </w:rPr>
  </w:style>
  <w:style w:type="character" w:customStyle="1" w:styleId="26">
    <w:name w:val="font31"/>
    <w:basedOn w:val="14"/>
    <w:autoRedefine/>
    <w:qFormat/>
    <w:uiPriority w:val="0"/>
    <w:rPr>
      <w:rFonts w:hint="eastAsia" w:ascii="宋体" w:hAnsi="宋体" w:eastAsia="宋体" w:cs="宋体"/>
      <w:b/>
      <w:bCs/>
      <w:color w:val="000000"/>
      <w:sz w:val="26"/>
      <w:szCs w:val="26"/>
      <w:u w:val="none"/>
    </w:rPr>
  </w:style>
  <w:style w:type="character" w:customStyle="1" w:styleId="27">
    <w:name w:val="font21"/>
    <w:basedOn w:val="14"/>
    <w:autoRedefine/>
    <w:qFormat/>
    <w:uiPriority w:val="0"/>
    <w:rPr>
      <w:rFonts w:hint="default" w:ascii="Times New Roman" w:hAnsi="Times New Roman" w:cs="Times New Roman"/>
      <w:color w:val="000000"/>
      <w:sz w:val="20"/>
      <w:szCs w:val="20"/>
      <w:u w:val="none"/>
    </w:rPr>
  </w:style>
  <w:style w:type="character" w:customStyle="1" w:styleId="28">
    <w:name w:val="font01"/>
    <w:basedOn w:val="14"/>
    <w:autoRedefine/>
    <w:qFormat/>
    <w:uiPriority w:val="0"/>
    <w:rPr>
      <w:rFonts w:hint="eastAsia" w:ascii="宋体" w:hAnsi="宋体" w:eastAsia="宋体" w:cs="宋体"/>
      <w:color w:val="FF0000"/>
      <w:sz w:val="20"/>
      <w:szCs w:val="20"/>
      <w:u w:val="none"/>
    </w:rPr>
  </w:style>
  <w:style w:type="character" w:customStyle="1" w:styleId="29">
    <w:name w:val="font51"/>
    <w:basedOn w:val="14"/>
    <w:autoRedefine/>
    <w:qFormat/>
    <w:uiPriority w:val="0"/>
    <w:rPr>
      <w:rFonts w:hint="eastAsia" w:ascii="宋体" w:hAnsi="宋体" w:eastAsia="宋体" w:cs="宋体"/>
      <w:color w:val="000000"/>
      <w:sz w:val="20"/>
      <w:szCs w:val="20"/>
      <w:u w:val="none"/>
    </w:rPr>
  </w:style>
  <w:style w:type="character" w:customStyle="1" w:styleId="30">
    <w:name w:val="font61"/>
    <w:basedOn w:val="14"/>
    <w:autoRedefine/>
    <w:qFormat/>
    <w:uiPriority w:val="0"/>
    <w:rPr>
      <w:rFonts w:hint="eastAsia" w:ascii="宋体" w:hAnsi="宋体" w:eastAsia="宋体" w:cs="宋体"/>
      <w:b/>
      <w:bCs/>
      <w:color w:val="000000"/>
      <w:sz w:val="22"/>
      <w:szCs w:val="22"/>
      <w:u w:val="none"/>
    </w:rPr>
  </w:style>
  <w:style w:type="character" w:customStyle="1" w:styleId="31">
    <w:name w:val="font81"/>
    <w:basedOn w:val="14"/>
    <w:autoRedefine/>
    <w:qFormat/>
    <w:uiPriority w:val="0"/>
    <w:rPr>
      <w:rFonts w:ascii="微软雅黑" w:hAnsi="微软雅黑" w:eastAsia="微软雅黑" w:cs="微软雅黑"/>
      <w:color w:val="000000"/>
      <w:sz w:val="18"/>
      <w:szCs w:val="18"/>
      <w:u w:val="none"/>
    </w:rPr>
  </w:style>
  <w:style w:type="paragraph" w:customStyle="1" w:styleId="32">
    <w:name w:val="纯文本1"/>
    <w:basedOn w:val="1"/>
    <w:autoRedefine/>
    <w:qFormat/>
    <w:uiPriority w:val="0"/>
    <w:rPr>
      <w:rFonts w:ascii="宋体" w:hAnsi="Courier New"/>
      <w:szCs w:val="20"/>
    </w:rPr>
  </w:style>
  <w:style w:type="character" w:customStyle="1" w:styleId="33">
    <w:name w:val="font101"/>
    <w:basedOn w:val="14"/>
    <w:autoRedefine/>
    <w:qFormat/>
    <w:uiPriority w:val="0"/>
    <w:rPr>
      <w:rFonts w:hint="eastAsia" w:ascii="宋体" w:hAnsi="宋体" w:eastAsia="宋体" w:cs="宋体"/>
      <w:color w:val="000000"/>
      <w:sz w:val="20"/>
      <w:szCs w:val="20"/>
      <w:u w:val="none"/>
    </w:rPr>
  </w:style>
  <w:style w:type="character" w:customStyle="1" w:styleId="34">
    <w:name w:val="font71"/>
    <w:basedOn w:val="14"/>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31</Pages>
  <Words>17332</Words>
  <Characters>20823</Characters>
  <Lines>64</Lines>
  <Paragraphs>18</Paragraphs>
  <TotalTime>16</TotalTime>
  <ScaleCrop>false</ScaleCrop>
  <LinksUpToDate>false</LinksUpToDate>
  <CharactersWithSpaces>21711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2024-04-24T02:19:43Z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59B8A9F356DE4DC8AC9DCE38084F7E8B_13</vt:lpwstr>
  </property>
  <property fmtid="{D5CDD505-2E9C-101B-9397-08002B2CF9AE}" pid="4" name="commondata">
    <vt:lpwstr>eyJoZGlkIjoiMTc3ZDYxZWIyMzU3ZTQ5Mzc1Y2ViMjBlY2MyYWQ5OGIifQ==</vt:lpwstr>
  </property>
</Properties>
</file>