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rFonts w:ascii="宋体" w:hAnsi="宋体"/>
          <w:b/>
          <w:sz w:val="48"/>
          <w:szCs w:val="48"/>
        </w:rPr>
      </w:pPr>
    </w:p>
    <w:p>
      <w:pPr>
        <w:spacing w:beforeLines="50" w:afterLines="100" w:line="360" w:lineRule="auto"/>
        <w:ind w:left="442" w:hanging="442" w:hangingChars="100"/>
        <w:jc w:val="center"/>
        <w:rPr>
          <w:rFonts w:hint="eastAsia" w:ascii="宋体" w:hAnsi="宋体" w:eastAsia="宋体" w:cs="Times New Roman"/>
          <w:b/>
          <w:color w:val="auto"/>
          <w:sz w:val="44"/>
          <w:szCs w:val="44"/>
          <w:lang w:val="en-US" w:eastAsia="zh-CN"/>
        </w:rPr>
      </w:pPr>
      <w:r>
        <w:rPr>
          <w:rFonts w:hint="eastAsia" w:ascii="宋体" w:hAnsi="宋体" w:eastAsia="宋体" w:cs="Times New Roman"/>
          <w:b/>
          <w:color w:val="auto"/>
          <w:sz w:val="44"/>
          <w:szCs w:val="44"/>
          <w:lang w:val="en-US" w:eastAsia="zh-CN"/>
        </w:rPr>
        <w:t>深圳工业软件园配套道路及排洪渠迁改</w:t>
      </w:r>
    </w:p>
    <w:p>
      <w:pPr>
        <w:spacing w:beforeLines="50" w:afterLines="100" w:line="360" w:lineRule="auto"/>
        <w:ind w:left="442" w:hanging="442" w:hangingChars="100"/>
        <w:jc w:val="center"/>
        <w:rPr>
          <w:rFonts w:hint="default" w:ascii="宋体" w:hAnsi="宋体" w:eastAsia="宋体"/>
          <w:b/>
          <w:sz w:val="44"/>
          <w:szCs w:val="44"/>
          <w:lang w:val="en-US"/>
        </w:rPr>
      </w:pPr>
      <w:r>
        <w:rPr>
          <w:rFonts w:hint="eastAsia" w:ascii="宋体" w:hAnsi="宋体" w:eastAsia="宋体" w:cs="Times New Roman"/>
          <w:b/>
          <w:color w:val="auto"/>
          <w:sz w:val="44"/>
          <w:szCs w:val="44"/>
        </w:rPr>
        <w:t>工程</w:t>
      </w:r>
      <w:r>
        <w:rPr>
          <w:rFonts w:hint="eastAsia" w:ascii="宋体" w:hAnsi="宋体" w:cs="Times New Roman"/>
          <w:b/>
          <w:sz w:val="44"/>
          <w:szCs w:val="44"/>
          <w:lang w:val="en-US" w:eastAsia="zh-CN"/>
        </w:rPr>
        <w:t>勘察</w:t>
      </w:r>
    </w:p>
    <w:p>
      <w:pPr>
        <w:spacing w:beforeLines="50" w:afterLines="100" w:line="360" w:lineRule="auto"/>
        <w:jc w:val="center"/>
        <w:rPr>
          <w:rFonts w:hint="eastAsia" w:ascii="宋体" w:hAnsi="宋体"/>
          <w:b/>
          <w:sz w:val="44"/>
          <w:szCs w:val="44"/>
        </w:rPr>
      </w:pPr>
    </w:p>
    <w:p>
      <w:pPr>
        <w:spacing w:beforeLines="50" w:afterLines="100" w:line="360" w:lineRule="auto"/>
        <w:jc w:val="center"/>
        <w:rPr>
          <w:rFonts w:ascii="宋体" w:hAnsi="宋体"/>
          <w:b/>
          <w:sz w:val="72"/>
          <w:szCs w:val="72"/>
        </w:rPr>
      </w:pPr>
      <w:r>
        <w:rPr>
          <w:rFonts w:hint="eastAsia" w:ascii="宋体" w:hAnsi="宋体"/>
          <w:b/>
          <w:sz w:val="72"/>
          <w:szCs w:val="72"/>
        </w:rPr>
        <w:t>公开招标（自主）文件</w:t>
      </w:r>
      <w:bookmarkStart w:id="19" w:name="_GoBack"/>
      <w:bookmarkEnd w:id="19"/>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adjustRightInd w:val="0"/>
        <w:snapToGrid w:val="0"/>
        <w:spacing w:line="560" w:lineRule="atLeast"/>
        <w:ind w:firstLine="602" w:firstLineChars="200"/>
        <w:jc w:val="center"/>
        <w:rPr>
          <w:rFonts w:hint="eastAsia" w:ascii="宋体" w:hAnsi="宋体" w:eastAsia="宋体" w:cs="宋体"/>
          <w:sz w:val="28"/>
          <w:szCs w:val="28"/>
        </w:rPr>
      </w:pPr>
      <w:r>
        <w:rPr>
          <w:rFonts w:hint="eastAsia" w:ascii="仿宋_GB2312" w:hAnsi="宋体" w:eastAsia="仿宋_GB2312"/>
          <w:b/>
          <w:sz w:val="30"/>
          <w:szCs w:val="30"/>
        </w:rPr>
        <w:t>招标人：</w:t>
      </w:r>
      <w:r>
        <w:rPr>
          <w:rFonts w:hint="eastAsia" w:ascii="宋体" w:hAnsi="宋体" w:eastAsia="宋体" w:cs="宋体"/>
          <w:b w:val="0"/>
          <w:color w:val="auto"/>
          <w:sz w:val="28"/>
          <w:szCs w:val="28"/>
        </w:rPr>
        <w:t>深圳市龙岗区城投高新技术产业投资开发有限公司</w:t>
      </w:r>
    </w:p>
    <w:p>
      <w:pPr>
        <w:spacing w:line="540" w:lineRule="exact"/>
        <w:jc w:val="right"/>
        <w:rPr>
          <w:rFonts w:ascii="仿宋_GB2312" w:hAnsi="仿宋_GB2312" w:eastAsia="仿宋_GB2312" w:cs="仿宋_GB2312"/>
          <w:b/>
          <w:color w:val="000000"/>
          <w:sz w:val="30"/>
          <w:szCs w:val="30"/>
        </w:rPr>
      </w:pPr>
    </w:p>
    <w:p>
      <w:pPr>
        <w:spacing w:line="360" w:lineRule="auto"/>
        <w:jc w:val="center"/>
        <w:rPr>
          <w:rFonts w:ascii="仿宋_GB2312" w:hAnsi="宋体" w:eastAsia="仿宋_GB2312"/>
          <w:b/>
          <w:sz w:val="30"/>
          <w:szCs w:val="30"/>
        </w:rPr>
      </w:pPr>
    </w:p>
    <w:p>
      <w:pPr>
        <w:spacing w:line="360" w:lineRule="auto"/>
        <w:jc w:val="center"/>
        <w:rPr>
          <w:rFonts w:ascii="宋体" w:hAnsi="宋体"/>
          <w:sz w:val="30"/>
          <w:szCs w:val="30"/>
        </w:rPr>
      </w:pPr>
      <w:r>
        <w:rPr>
          <w:rFonts w:hint="eastAsia" w:ascii="宋体" w:hAnsi="宋体"/>
          <w:sz w:val="30"/>
          <w:szCs w:val="30"/>
        </w:rPr>
        <w:t xml:space="preserve">   二〇二</w:t>
      </w:r>
      <w:r>
        <w:rPr>
          <w:rFonts w:hint="eastAsia" w:ascii="宋体" w:hAnsi="宋体"/>
          <w:sz w:val="30"/>
          <w:szCs w:val="30"/>
          <w:lang w:val="en-US" w:eastAsia="zh-CN"/>
        </w:rPr>
        <w:t>四</w:t>
      </w:r>
      <w:r>
        <w:rPr>
          <w:rFonts w:hint="eastAsia" w:ascii="宋体" w:hAnsi="宋体"/>
          <w:sz w:val="30"/>
          <w:szCs w:val="30"/>
        </w:rPr>
        <w:t>年</w:t>
      </w:r>
      <w:r>
        <w:rPr>
          <w:rFonts w:hint="eastAsia" w:ascii="宋体" w:hAnsi="宋体"/>
          <w:sz w:val="30"/>
          <w:szCs w:val="30"/>
          <w:lang w:val="en-US" w:eastAsia="zh-CN"/>
        </w:rPr>
        <w:t>四</w:t>
      </w:r>
      <w:r>
        <w:rPr>
          <w:rFonts w:hint="eastAsia" w:ascii="宋体" w:hAnsi="宋体"/>
          <w:sz w:val="30"/>
          <w:szCs w:val="30"/>
        </w:rPr>
        <w:t>月</w:t>
      </w:r>
    </w:p>
    <w:p>
      <w:pPr>
        <w:widowControl/>
        <w:spacing w:beforeLines="25" w:afterLines="25" w:line="360" w:lineRule="auto"/>
        <w:jc w:val="center"/>
        <w:rPr>
          <w:rFonts w:ascii="宋体" w:hAnsi="宋体"/>
          <w:b/>
          <w:sz w:val="32"/>
          <w:szCs w:val="32"/>
          <w:lang w:val="zh-CN"/>
        </w:rPr>
        <w:sectPr>
          <w:headerReference r:id="rId3" w:type="default"/>
          <w:pgSz w:w="11906" w:h="16838"/>
          <w:pgMar w:top="1440" w:right="1800" w:bottom="1440" w:left="1800" w:header="1247" w:footer="737" w:gutter="0"/>
          <w:pgBorders>
            <w:top w:val="none" w:sz="0" w:space="0"/>
            <w:left w:val="none" w:sz="0" w:space="0"/>
            <w:bottom w:val="none" w:sz="0" w:space="0"/>
            <w:right w:val="none" w:sz="0" w:space="0"/>
          </w:pgBorders>
          <w:pgNumType w:start="1"/>
          <w:cols w:space="720" w:num="1"/>
          <w:docGrid w:linePitch="380" w:charSpace="-4301"/>
        </w:sectPr>
      </w:pPr>
    </w:p>
    <w:p>
      <w:pPr>
        <w:widowControl/>
        <w:spacing w:beforeLines="25" w:afterLines="25" w:line="360" w:lineRule="auto"/>
        <w:jc w:val="center"/>
        <w:rPr>
          <w:rFonts w:ascii="宋体" w:hAnsi="宋体"/>
          <w:b/>
          <w:sz w:val="32"/>
          <w:szCs w:val="32"/>
          <w:lang w:val="zh-CN"/>
        </w:rPr>
      </w:pPr>
      <w:r>
        <w:rPr>
          <w:rFonts w:ascii="宋体" w:hAnsi="宋体"/>
          <w:b/>
          <w:sz w:val="32"/>
          <w:szCs w:val="32"/>
          <w:lang w:val="zh-CN"/>
        </w:rPr>
        <w:t>目</w:t>
      </w:r>
      <w:r>
        <w:rPr>
          <w:rFonts w:hint="eastAsia" w:ascii="宋体" w:hAnsi="宋体"/>
          <w:b/>
          <w:sz w:val="32"/>
          <w:szCs w:val="32"/>
          <w:lang w:val="zh-CN"/>
        </w:rPr>
        <w:t>　</w:t>
      </w:r>
      <w:r>
        <w:rPr>
          <w:rFonts w:ascii="宋体" w:hAnsi="宋体"/>
          <w:b/>
          <w:sz w:val="32"/>
          <w:szCs w:val="32"/>
          <w:lang w:val="zh-CN"/>
        </w:rPr>
        <w:t>录</w:t>
      </w:r>
    </w:p>
    <w:p>
      <w:pPr>
        <w:spacing w:line="480" w:lineRule="auto"/>
        <w:jc w:val="left"/>
        <w:rPr>
          <w:rFonts w:hint="eastAsia" w:ascii="宋体" w:hAnsi="宋体" w:eastAsia="宋体"/>
          <w:sz w:val="24"/>
          <w:szCs w:val="24"/>
          <w:lang w:val="en-US" w:eastAsia="zh-CN"/>
        </w:rPr>
      </w:pPr>
      <w:r>
        <w:rPr>
          <w:rFonts w:hint="eastAsia" w:ascii="宋体" w:hAnsi="宋体"/>
          <w:sz w:val="24"/>
          <w:szCs w:val="24"/>
          <w:lang w:val="zh-CN"/>
        </w:rPr>
        <w:t>第一章</w:t>
      </w:r>
      <w:r>
        <w:rPr>
          <w:rFonts w:ascii="宋体" w:hAnsi="宋体"/>
          <w:sz w:val="24"/>
          <w:szCs w:val="24"/>
          <w:lang w:val="zh-CN"/>
        </w:rPr>
        <w:tab/>
      </w:r>
      <w:r>
        <w:rPr>
          <w:rFonts w:hint="eastAsia" w:ascii="宋体" w:hAnsi="宋体"/>
          <w:sz w:val="24"/>
          <w:szCs w:val="24"/>
          <w:lang w:val="zh-CN"/>
        </w:rPr>
        <w:t xml:space="preserve"> 公开招标（自主）公</w:t>
      </w:r>
      <w:r>
        <w:rPr>
          <w:rFonts w:hint="eastAsia" w:ascii="宋体" w:hAnsi="宋体"/>
          <w:sz w:val="24"/>
          <w:szCs w:val="24"/>
          <w:lang w:val="en-US" w:eastAsia="zh-CN"/>
        </w:rPr>
        <w:t>告</w:t>
      </w:r>
      <w:r>
        <w:rPr>
          <w:rFonts w:ascii="宋体" w:hAnsi="宋体"/>
          <w:sz w:val="24"/>
          <w:szCs w:val="24"/>
          <w:lang w:val="zh-CN"/>
        </w:rPr>
        <w:t>…………………………………………………</w:t>
      </w:r>
      <w:r>
        <w:rPr>
          <w:rFonts w:hint="eastAsia" w:ascii="宋体" w:hAnsi="宋体"/>
          <w:sz w:val="24"/>
          <w:szCs w:val="24"/>
          <w:lang w:val="en-US" w:eastAsia="zh-CN"/>
        </w:rPr>
        <w:t>3</w:t>
      </w:r>
    </w:p>
    <w:p>
      <w:pPr>
        <w:spacing w:line="480" w:lineRule="auto"/>
        <w:rPr>
          <w:rFonts w:hint="eastAsia" w:ascii="宋体" w:hAnsi="宋体" w:eastAsia="宋体"/>
          <w:sz w:val="24"/>
          <w:szCs w:val="24"/>
          <w:lang w:val="en-US" w:eastAsia="zh-CN"/>
        </w:rPr>
      </w:pPr>
      <w:r>
        <w:rPr>
          <w:rFonts w:hint="eastAsia" w:ascii="宋体" w:hAnsi="宋体"/>
          <w:sz w:val="24"/>
          <w:szCs w:val="24"/>
          <w:lang w:val="zh-CN"/>
        </w:rPr>
        <w:t>第二章  投标须知</w:t>
      </w:r>
      <w:r>
        <w:rPr>
          <w:rFonts w:ascii="宋体" w:hAnsi="宋体"/>
          <w:sz w:val="24"/>
          <w:szCs w:val="24"/>
          <w:lang w:val="zh-CN"/>
        </w:rPr>
        <w:t>…………………………………………………………………</w:t>
      </w:r>
      <w:r>
        <w:rPr>
          <w:rFonts w:hint="eastAsia" w:ascii="宋体" w:hAnsi="宋体"/>
          <w:sz w:val="24"/>
          <w:szCs w:val="24"/>
          <w:lang w:val="en-US" w:eastAsia="zh-CN"/>
        </w:rPr>
        <w:t>6</w:t>
      </w:r>
    </w:p>
    <w:p>
      <w:pPr>
        <w:spacing w:line="480" w:lineRule="auto"/>
        <w:ind w:firstLine="240" w:firstLineChars="100"/>
        <w:rPr>
          <w:rFonts w:hint="eastAsia" w:ascii="宋体" w:hAnsi="宋体" w:eastAsia="宋体"/>
          <w:sz w:val="24"/>
          <w:szCs w:val="24"/>
          <w:lang w:val="en-US" w:eastAsia="zh-CN"/>
        </w:rPr>
      </w:pPr>
      <w:r>
        <w:rPr>
          <w:rFonts w:hint="eastAsia" w:ascii="宋体" w:hAnsi="宋体"/>
          <w:sz w:val="24"/>
          <w:szCs w:val="24"/>
          <w:lang w:val="zh-CN"/>
        </w:rPr>
        <w:t>一、总</w:t>
      </w:r>
      <w:r>
        <w:rPr>
          <w:rFonts w:ascii="宋体" w:hAnsi="宋体"/>
          <w:sz w:val="24"/>
          <w:szCs w:val="24"/>
          <w:lang w:val="zh-CN"/>
        </w:rPr>
        <w:t xml:space="preserve">  </w:t>
      </w:r>
      <w:r>
        <w:rPr>
          <w:rFonts w:hint="eastAsia" w:ascii="宋体" w:hAnsi="宋体"/>
          <w:sz w:val="24"/>
          <w:szCs w:val="24"/>
          <w:lang w:val="zh-CN"/>
        </w:rPr>
        <w:t>则</w:t>
      </w:r>
      <w:r>
        <w:rPr>
          <w:rFonts w:ascii="宋体" w:hAnsi="宋体"/>
          <w:sz w:val="24"/>
          <w:szCs w:val="24"/>
          <w:lang w:val="zh-CN"/>
        </w:rPr>
        <w:t>………………………………………………………………………</w:t>
      </w:r>
      <w:r>
        <w:rPr>
          <w:rFonts w:hint="eastAsia" w:ascii="宋体" w:hAnsi="宋体"/>
          <w:sz w:val="24"/>
          <w:szCs w:val="24"/>
          <w:lang w:val="en-US" w:eastAsia="zh-CN"/>
        </w:rPr>
        <w:t>7</w:t>
      </w:r>
    </w:p>
    <w:p>
      <w:pPr>
        <w:spacing w:line="480" w:lineRule="auto"/>
        <w:ind w:firstLine="240" w:firstLineChars="100"/>
        <w:rPr>
          <w:rFonts w:hint="eastAsia" w:ascii="宋体" w:hAnsi="宋体" w:eastAsia="宋体"/>
          <w:sz w:val="24"/>
          <w:szCs w:val="24"/>
          <w:lang w:val="en-US" w:eastAsia="zh-CN"/>
        </w:rPr>
      </w:pPr>
      <w:r>
        <w:rPr>
          <w:rFonts w:hint="eastAsia" w:ascii="宋体" w:hAnsi="宋体"/>
          <w:sz w:val="24"/>
          <w:szCs w:val="24"/>
          <w:lang w:val="zh-CN"/>
        </w:rPr>
        <w:t>二、文件的编制</w:t>
      </w:r>
      <w:r>
        <w:rPr>
          <w:rFonts w:ascii="宋体" w:hAnsi="宋体"/>
          <w:sz w:val="24"/>
          <w:szCs w:val="24"/>
          <w:lang w:val="zh-CN"/>
        </w:rPr>
        <w:t>…………………………………………………………………</w:t>
      </w:r>
      <w:r>
        <w:rPr>
          <w:rFonts w:hint="eastAsia" w:ascii="宋体" w:hAnsi="宋体"/>
          <w:sz w:val="24"/>
          <w:szCs w:val="24"/>
          <w:lang w:val="en-US" w:eastAsia="zh-CN"/>
        </w:rPr>
        <w:t>8</w:t>
      </w:r>
    </w:p>
    <w:p>
      <w:pPr>
        <w:spacing w:line="480" w:lineRule="auto"/>
        <w:ind w:firstLine="240" w:firstLineChars="100"/>
        <w:rPr>
          <w:rFonts w:hint="eastAsia" w:ascii="宋体" w:hAnsi="宋体" w:eastAsia="宋体"/>
          <w:sz w:val="24"/>
          <w:szCs w:val="24"/>
          <w:lang w:val="en-US" w:eastAsia="zh-CN"/>
        </w:rPr>
      </w:pPr>
      <w:r>
        <w:rPr>
          <w:rFonts w:hint="eastAsia" w:ascii="宋体" w:hAnsi="宋体"/>
          <w:sz w:val="24"/>
          <w:szCs w:val="24"/>
          <w:lang w:val="zh-CN"/>
        </w:rPr>
        <w:t>三、投标文件的</w:t>
      </w:r>
      <w:r>
        <w:rPr>
          <w:rFonts w:hint="eastAsia" w:ascii="宋体" w:hAnsi="宋体"/>
          <w:sz w:val="24"/>
          <w:szCs w:val="24"/>
          <w:lang w:val="en-US" w:eastAsia="zh-CN"/>
        </w:rPr>
        <w:t>递</w:t>
      </w:r>
      <w:r>
        <w:rPr>
          <w:rFonts w:hint="eastAsia" w:ascii="宋体" w:hAnsi="宋体"/>
          <w:sz w:val="24"/>
          <w:szCs w:val="24"/>
          <w:lang w:val="zh-CN"/>
        </w:rPr>
        <w:t>交</w:t>
      </w:r>
      <w:r>
        <w:rPr>
          <w:rFonts w:ascii="宋体" w:hAnsi="宋体"/>
          <w:sz w:val="24"/>
          <w:szCs w:val="24"/>
          <w:lang w:val="zh-CN"/>
        </w:rPr>
        <w:t>……………………………………………………………</w:t>
      </w:r>
      <w:r>
        <w:rPr>
          <w:rFonts w:hint="eastAsia" w:ascii="宋体" w:hAnsi="宋体"/>
          <w:sz w:val="24"/>
          <w:szCs w:val="24"/>
          <w:lang w:val="en-US" w:eastAsia="zh-CN"/>
        </w:rPr>
        <w:t>8</w:t>
      </w:r>
    </w:p>
    <w:p>
      <w:pPr>
        <w:spacing w:line="480" w:lineRule="auto"/>
        <w:ind w:firstLine="240" w:firstLineChars="100"/>
        <w:rPr>
          <w:rFonts w:hint="eastAsia" w:ascii="宋体" w:hAnsi="宋体" w:eastAsia="宋体"/>
          <w:sz w:val="24"/>
          <w:szCs w:val="24"/>
          <w:lang w:val="en-US" w:eastAsia="zh-CN"/>
        </w:rPr>
      </w:pPr>
      <w:r>
        <w:rPr>
          <w:rFonts w:hint="eastAsia" w:ascii="宋体" w:hAnsi="宋体"/>
          <w:sz w:val="24"/>
          <w:szCs w:val="24"/>
          <w:lang w:val="zh-CN"/>
        </w:rPr>
        <w:t>四、开</w:t>
      </w:r>
      <w:r>
        <w:rPr>
          <w:rFonts w:ascii="宋体" w:hAnsi="宋体"/>
          <w:sz w:val="24"/>
          <w:szCs w:val="24"/>
          <w:lang w:val="zh-CN"/>
        </w:rPr>
        <w:t xml:space="preserve">  </w:t>
      </w:r>
      <w:r>
        <w:rPr>
          <w:rFonts w:hint="eastAsia" w:ascii="宋体" w:hAnsi="宋体"/>
          <w:sz w:val="24"/>
          <w:szCs w:val="24"/>
          <w:lang w:val="zh-CN"/>
        </w:rPr>
        <w:t>标</w:t>
      </w:r>
      <w:r>
        <w:rPr>
          <w:rFonts w:ascii="宋体" w:hAnsi="宋体"/>
          <w:sz w:val="24"/>
          <w:szCs w:val="24"/>
          <w:lang w:val="zh-CN"/>
        </w:rPr>
        <w:t>………………………………………………………………………</w:t>
      </w:r>
      <w:r>
        <w:rPr>
          <w:rFonts w:hint="eastAsia" w:ascii="宋体" w:hAnsi="宋体"/>
          <w:sz w:val="24"/>
          <w:szCs w:val="24"/>
          <w:lang w:val="en-US" w:eastAsia="zh-CN"/>
        </w:rPr>
        <w:t>9</w:t>
      </w:r>
    </w:p>
    <w:p>
      <w:pPr>
        <w:spacing w:line="480" w:lineRule="auto"/>
        <w:ind w:firstLine="240" w:firstLineChars="100"/>
        <w:rPr>
          <w:rFonts w:hint="eastAsia" w:ascii="宋体" w:hAnsi="宋体" w:eastAsia="宋体"/>
          <w:sz w:val="24"/>
          <w:szCs w:val="24"/>
          <w:lang w:val="en-US" w:eastAsia="zh-CN"/>
        </w:rPr>
      </w:pPr>
      <w:r>
        <w:rPr>
          <w:rFonts w:hint="eastAsia" w:ascii="宋体" w:hAnsi="宋体"/>
          <w:sz w:val="24"/>
          <w:szCs w:val="24"/>
          <w:lang w:val="zh-CN"/>
        </w:rPr>
        <w:t>五、资格审查</w:t>
      </w:r>
      <w:r>
        <w:rPr>
          <w:rFonts w:ascii="宋体" w:hAnsi="宋体"/>
          <w:sz w:val="24"/>
          <w:szCs w:val="24"/>
          <w:lang w:val="zh-CN"/>
        </w:rPr>
        <w:t>……………………………………………………………………</w:t>
      </w:r>
      <w:r>
        <w:rPr>
          <w:rFonts w:hint="eastAsia" w:ascii="宋体" w:hAnsi="宋体"/>
          <w:sz w:val="24"/>
          <w:szCs w:val="24"/>
          <w:lang w:val="en-US" w:eastAsia="zh-CN"/>
        </w:rPr>
        <w:t>9</w:t>
      </w:r>
    </w:p>
    <w:p>
      <w:pPr>
        <w:spacing w:line="480" w:lineRule="auto"/>
        <w:ind w:firstLine="240" w:firstLineChars="100"/>
        <w:rPr>
          <w:rFonts w:hint="eastAsia" w:ascii="宋体" w:hAnsi="宋体" w:eastAsia="宋体"/>
          <w:sz w:val="24"/>
          <w:szCs w:val="24"/>
          <w:lang w:val="en-US" w:eastAsia="zh-CN"/>
        </w:rPr>
      </w:pPr>
      <w:r>
        <w:rPr>
          <w:rFonts w:hint="eastAsia" w:ascii="宋体" w:hAnsi="宋体"/>
          <w:sz w:val="24"/>
          <w:szCs w:val="24"/>
          <w:lang w:val="zh-CN"/>
        </w:rPr>
        <w:t>六、评标</w:t>
      </w:r>
      <w:r>
        <w:rPr>
          <w:rFonts w:ascii="宋体" w:hAnsi="宋体"/>
          <w:sz w:val="24"/>
          <w:szCs w:val="24"/>
          <w:lang w:val="zh-CN"/>
        </w:rPr>
        <w:t>…………………………………………………………………………</w:t>
      </w:r>
      <w:r>
        <w:rPr>
          <w:rFonts w:hint="eastAsia" w:ascii="宋体" w:hAnsi="宋体"/>
          <w:sz w:val="24"/>
          <w:szCs w:val="24"/>
          <w:lang w:val="en-US" w:eastAsia="zh-CN"/>
        </w:rPr>
        <w:t>9</w:t>
      </w:r>
    </w:p>
    <w:p>
      <w:pPr>
        <w:spacing w:line="480" w:lineRule="auto"/>
        <w:ind w:firstLine="240" w:firstLineChars="100"/>
        <w:rPr>
          <w:rFonts w:hint="default" w:ascii="宋体" w:hAnsi="宋体" w:eastAsia="宋体"/>
          <w:sz w:val="24"/>
          <w:szCs w:val="24"/>
          <w:lang w:val="en-US" w:eastAsia="zh-CN"/>
        </w:rPr>
      </w:pPr>
      <w:r>
        <w:rPr>
          <w:rFonts w:hint="eastAsia" w:ascii="宋体" w:hAnsi="宋体"/>
          <w:sz w:val="24"/>
          <w:szCs w:val="24"/>
          <w:lang w:val="zh-CN"/>
        </w:rPr>
        <w:t>七、签订合同</w:t>
      </w:r>
      <w:r>
        <w:rPr>
          <w:rFonts w:ascii="宋体" w:hAnsi="宋体"/>
          <w:sz w:val="24"/>
          <w:szCs w:val="24"/>
          <w:lang w:val="zh-CN"/>
        </w:rPr>
        <w:t>……………………………………………………………………</w:t>
      </w:r>
      <w:r>
        <w:rPr>
          <w:rFonts w:hint="eastAsia" w:ascii="宋体" w:hAnsi="宋体"/>
          <w:sz w:val="24"/>
          <w:szCs w:val="24"/>
          <w:lang w:val="en-US" w:eastAsia="zh-CN"/>
        </w:rPr>
        <w:t>10</w:t>
      </w:r>
    </w:p>
    <w:p>
      <w:pPr>
        <w:spacing w:line="480" w:lineRule="auto"/>
        <w:rPr>
          <w:rFonts w:hint="eastAsia" w:ascii="宋体" w:hAnsi="宋体" w:eastAsia="宋体"/>
          <w:sz w:val="24"/>
          <w:szCs w:val="24"/>
          <w:lang w:val="en-US" w:eastAsia="zh-CN"/>
        </w:rPr>
      </w:pPr>
      <w:r>
        <w:rPr>
          <w:rFonts w:hint="eastAsia" w:ascii="宋体" w:hAnsi="宋体"/>
          <w:sz w:val="24"/>
          <w:szCs w:val="24"/>
          <w:lang w:val="zh-CN"/>
        </w:rPr>
        <w:t xml:space="preserve">第三章  </w:t>
      </w:r>
      <w:r>
        <w:rPr>
          <w:rFonts w:hint="eastAsia" w:ascii="宋体" w:hAnsi="宋体"/>
          <w:sz w:val="24"/>
          <w:szCs w:val="24"/>
        </w:rPr>
        <w:t>合同文件</w:t>
      </w:r>
      <w:r>
        <w:rPr>
          <w:rFonts w:ascii="宋体" w:hAnsi="宋体"/>
          <w:sz w:val="24"/>
          <w:szCs w:val="24"/>
          <w:lang w:val="zh-CN"/>
        </w:rPr>
        <w:t>…………………………………………………………………</w:t>
      </w:r>
      <w:r>
        <w:rPr>
          <w:rFonts w:hint="eastAsia" w:ascii="宋体" w:hAnsi="宋体"/>
          <w:sz w:val="24"/>
          <w:szCs w:val="24"/>
        </w:rPr>
        <w:t>1</w:t>
      </w:r>
      <w:r>
        <w:rPr>
          <w:rFonts w:hint="eastAsia" w:ascii="宋体" w:hAnsi="宋体"/>
          <w:sz w:val="24"/>
          <w:szCs w:val="24"/>
          <w:lang w:val="en-US" w:eastAsia="zh-CN"/>
        </w:rPr>
        <w:t>4</w:t>
      </w:r>
    </w:p>
    <w:p>
      <w:pPr>
        <w:spacing w:line="480" w:lineRule="auto"/>
        <w:rPr>
          <w:rFonts w:hint="default" w:ascii="宋体" w:hAnsi="宋体" w:eastAsia="宋体"/>
          <w:sz w:val="24"/>
          <w:szCs w:val="24"/>
          <w:lang w:val="en-US" w:eastAsia="zh-CN"/>
        </w:rPr>
      </w:pPr>
      <w:r>
        <w:rPr>
          <w:rFonts w:hint="eastAsia" w:ascii="宋体" w:hAnsi="宋体"/>
          <w:sz w:val="24"/>
          <w:szCs w:val="24"/>
        </w:rPr>
        <w:t>第四章  投标文件格式</w:t>
      </w:r>
      <w:r>
        <w:rPr>
          <w:rFonts w:ascii="宋体" w:hAnsi="宋体"/>
          <w:sz w:val="24"/>
          <w:szCs w:val="24"/>
          <w:lang w:val="zh-CN"/>
        </w:rPr>
        <w:t>……………………………………………………………</w:t>
      </w:r>
      <w:r>
        <w:rPr>
          <w:rFonts w:hint="eastAsia" w:ascii="宋体" w:hAnsi="宋体"/>
          <w:sz w:val="24"/>
          <w:szCs w:val="24"/>
          <w:lang w:val="en-US" w:eastAsia="zh-CN"/>
        </w:rPr>
        <w:t>34</w:t>
      </w:r>
    </w:p>
    <w:p>
      <w:pPr>
        <w:rPr>
          <w:rFonts w:ascii="宋体" w:hAnsi="宋体"/>
          <w:sz w:val="24"/>
          <w:szCs w:val="24"/>
          <w:lang w:val="zh-CN"/>
        </w:rPr>
      </w:pPr>
      <w:r>
        <w:rPr>
          <w:rFonts w:ascii="宋体" w:hAnsi="宋体"/>
          <w:sz w:val="24"/>
          <w:szCs w:val="24"/>
        </w:rPr>
        <w:t xml:space="preserve"> </w:t>
      </w:r>
      <w:r>
        <w:rPr>
          <w:rFonts w:hint="eastAsia" w:ascii="宋体" w:hAnsi="宋体"/>
          <w:sz w:val="24"/>
          <w:szCs w:val="24"/>
        </w:rPr>
        <w:t xml:space="preserve"> </w:t>
      </w:r>
    </w:p>
    <w:p>
      <w:pPr>
        <w:pStyle w:val="37"/>
        <w:tabs>
          <w:tab w:val="left" w:pos="840"/>
          <w:tab w:val="right" w:leader="dot" w:pos="8948"/>
        </w:tabs>
      </w:pPr>
      <w:r>
        <w:rPr>
          <w:rFonts w:hint="eastAsia" w:ascii="宋体" w:hAnsi="宋体"/>
        </w:rPr>
        <w:fldChar w:fldCharType="begin"/>
      </w:r>
      <w:r>
        <w:instrText xml:space="preserve">TOC \o "1-3" \t "" \h \z \u </w:instrText>
      </w:r>
      <w:r>
        <w:rPr>
          <w:rFonts w:hint="eastAsia" w:ascii="宋体" w:hAnsi="宋体"/>
        </w:rPr>
        <w:fldChar w:fldCharType="separate"/>
      </w:r>
    </w:p>
    <w:p>
      <w:pPr>
        <w:widowControl/>
        <w:spacing w:beforeLines="25" w:afterLines="25" w:line="360" w:lineRule="auto"/>
        <w:jc w:val="center"/>
        <w:rPr>
          <w:rFonts w:ascii="宋体" w:hAnsi="宋体"/>
          <w:b/>
          <w:sz w:val="36"/>
          <w:szCs w:val="36"/>
        </w:rPr>
      </w:pPr>
      <w:r>
        <w:rPr>
          <w:rFonts w:hint="eastAsia"/>
        </w:rPr>
        <w:fldChar w:fldCharType="end"/>
      </w:r>
      <w:r>
        <w:rPr>
          <w:rFonts w:ascii="宋体" w:hAnsi="宋体"/>
        </w:rPr>
        <w:br w:type="page"/>
      </w:r>
      <w:bookmarkStart w:id="0" w:name="_Toc509669684"/>
      <w:r>
        <w:rPr>
          <w:rFonts w:ascii="宋体" w:hAnsi="宋体"/>
          <w:b/>
          <w:sz w:val="36"/>
          <w:szCs w:val="36"/>
        </w:rPr>
        <w:t>第一章</w:t>
      </w:r>
      <w:r>
        <w:rPr>
          <w:rFonts w:hint="eastAsia" w:ascii="宋体" w:hAnsi="宋体"/>
          <w:b/>
          <w:sz w:val="36"/>
          <w:szCs w:val="36"/>
        </w:rPr>
        <w:t xml:space="preserve">  </w:t>
      </w:r>
      <w:bookmarkEnd w:id="0"/>
      <w:r>
        <w:rPr>
          <w:rFonts w:hint="eastAsia" w:ascii="宋体" w:hAnsi="宋体"/>
          <w:b/>
          <w:sz w:val="36"/>
          <w:szCs w:val="36"/>
          <w:lang w:eastAsia="zh-CN"/>
        </w:rPr>
        <w:t>公开招标（自主）</w:t>
      </w:r>
      <w:r>
        <w:rPr>
          <w:rFonts w:hint="eastAsia" w:ascii="宋体" w:hAnsi="宋体"/>
          <w:b/>
          <w:sz w:val="36"/>
          <w:szCs w:val="36"/>
        </w:rPr>
        <w:t>公告</w:t>
      </w:r>
    </w:p>
    <w:p>
      <w:pPr>
        <w:spacing w:line="540" w:lineRule="exact"/>
        <w:rPr>
          <w:rFonts w:hint="eastAsia" w:ascii="仿宋_GB2312" w:hAnsi="仿宋_GB2312" w:eastAsia="仿宋_GB2312" w:cs="仿宋_GB2312"/>
          <w:sz w:val="28"/>
          <w:szCs w:val="28"/>
          <w:lang w:val="en-US" w:eastAsia="zh-CN"/>
        </w:rPr>
      </w:pPr>
      <w:bookmarkStart w:id="1" w:name="_Toc509669685"/>
      <w:r>
        <w:rPr>
          <w:rFonts w:hint="eastAsia" w:ascii="仿宋_GB2312" w:hAnsi="仿宋_GB2312" w:eastAsia="仿宋_GB2312" w:cs="仿宋_GB2312"/>
          <w:b/>
          <w:bCs/>
          <w:sz w:val="28"/>
          <w:szCs w:val="28"/>
        </w:rPr>
        <w:t>一、项目名称：</w:t>
      </w:r>
      <w:r>
        <w:rPr>
          <w:rFonts w:hint="eastAsia" w:ascii="仿宋_GB2312" w:hAnsi="仿宋_GB2312" w:eastAsia="仿宋_GB2312" w:cs="仿宋_GB2312"/>
          <w:b w:val="0"/>
          <w:bCs w:val="0"/>
          <w:sz w:val="28"/>
          <w:szCs w:val="28"/>
          <w:lang w:val="en-US" w:eastAsia="zh-CN"/>
        </w:rPr>
        <w:t>深圳工业软件园配套道路及排洪渠迁改工程</w:t>
      </w:r>
      <w:r>
        <w:rPr>
          <w:rFonts w:hint="eastAsia" w:ascii="仿宋_GB2312" w:hAnsi="仿宋_GB2312" w:eastAsia="仿宋_GB2312" w:cs="仿宋_GB2312"/>
          <w:sz w:val="28"/>
          <w:szCs w:val="28"/>
          <w:lang w:val="en-US" w:eastAsia="zh-CN"/>
        </w:rPr>
        <w:t>勘察。</w:t>
      </w:r>
    </w:p>
    <w:p>
      <w:pPr>
        <w:spacing w:line="540" w:lineRule="exact"/>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二、项目概况：</w:t>
      </w:r>
      <w:r>
        <w:rPr>
          <w:rFonts w:hint="eastAsia" w:ascii="仿宋_GB2312" w:hAnsi="仿宋_GB2312" w:eastAsia="仿宋_GB2312" w:cs="仿宋_GB2312"/>
          <w:b w:val="0"/>
          <w:bCs w:val="0"/>
          <w:sz w:val="28"/>
          <w:szCs w:val="28"/>
          <w:lang w:eastAsia="zh-CN"/>
        </w:rPr>
        <w:t>深圳工业软件园配套道路及排洪渠迁改工程</w:t>
      </w:r>
      <w:r>
        <w:rPr>
          <w:rFonts w:hint="eastAsia" w:ascii="仿宋_GB2312" w:hAnsi="仿宋_GB2312" w:eastAsia="仿宋_GB2312" w:cs="仿宋_GB2312"/>
          <w:b w:val="0"/>
          <w:bCs w:val="0"/>
          <w:sz w:val="28"/>
          <w:szCs w:val="28"/>
        </w:rPr>
        <w:t>位于深圳市龙岗区坂田街道北部，地处坂澜大道与坂李大道交界处。项目包括：①新建规划支路1，道路长度约154m，设计时速为20km/h，规划红线宽度为16m，设置为双向3车道。②新建规划支路2，道路长度约85m，设计时速为20km/h，规划红线宽度为16m，设置为双向2车道。③将园区现状排洪渠进行迁改，沿坂澜大道至规划支路1新建DN1500雨水管200m，沿规划支路1新建145m长DN1600雨水管绕北侧公园排至规划支路2，沿规划支路2、规划三路新建285m长3000x2000雨水箱涵，最终排至现状3000x2000 雨水箱涵。</w:t>
      </w:r>
    </w:p>
    <w:p>
      <w:pPr>
        <w:spacing w:line="540" w:lineRule="exact"/>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eastAsia="zh-CN"/>
        </w:rPr>
        <w:t>深圳工业软件园配套道路及排洪渠迁改工程</w:t>
      </w:r>
      <w:r>
        <w:rPr>
          <w:rFonts w:hint="eastAsia" w:ascii="仿宋_GB2312" w:hAnsi="仿宋_GB2312" w:eastAsia="仿宋_GB2312" w:cs="仿宋_GB2312"/>
          <w:b w:val="0"/>
          <w:bCs w:val="0"/>
          <w:sz w:val="28"/>
          <w:szCs w:val="28"/>
          <w:lang w:val="en-US" w:eastAsia="zh-CN"/>
        </w:rPr>
        <w:t>已立项，项目国家编码：2402-440307-04-01-647886，总投资约为6850万元，其中建安费</w:t>
      </w:r>
      <w:r>
        <w:rPr>
          <w:rFonts w:hint="eastAsia" w:ascii="仿宋_GB2312" w:hAnsi="仿宋_GB2312" w:eastAsia="仿宋_GB2312" w:cs="仿宋_GB2312"/>
          <w:b w:val="0"/>
          <w:bCs w:val="0"/>
          <w:sz w:val="28"/>
          <w:szCs w:val="28"/>
        </w:rPr>
        <w:t>5573</w:t>
      </w:r>
      <w:r>
        <w:rPr>
          <w:rFonts w:hint="eastAsia" w:ascii="仿宋_GB2312" w:hAnsi="仿宋_GB2312" w:eastAsia="仿宋_GB2312" w:cs="仿宋_GB2312"/>
          <w:b w:val="0"/>
          <w:bCs w:val="0"/>
          <w:sz w:val="28"/>
          <w:szCs w:val="28"/>
          <w:lang w:val="en-US" w:eastAsia="zh-CN"/>
        </w:rPr>
        <w:t>万元，</w:t>
      </w:r>
      <w:r>
        <w:rPr>
          <w:rFonts w:hint="eastAsia" w:ascii="仿宋_GB2312" w:hAnsi="仿宋_GB2312" w:eastAsia="仿宋_GB2312" w:cs="仿宋_GB2312"/>
          <w:b w:val="0"/>
          <w:bCs w:val="0"/>
          <w:sz w:val="28"/>
          <w:szCs w:val="28"/>
        </w:rPr>
        <w:t>工程建设其他费</w:t>
      </w:r>
      <w:r>
        <w:rPr>
          <w:rFonts w:hint="eastAsia" w:ascii="仿宋_GB2312" w:hAnsi="仿宋_GB2312" w:eastAsia="仿宋_GB2312" w:cs="仿宋_GB2312"/>
          <w:b w:val="0"/>
          <w:bCs w:val="0"/>
          <w:sz w:val="28"/>
          <w:szCs w:val="28"/>
          <w:lang w:val="en-US" w:eastAsia="zh-CN"/>
        </w:rPr>
        <w:t>770</w:t>
      </w:r>
      <w:r>
        <w:rPr>
          <w:rFonts w:hint="eastAsia" w:ascii="仿宋_GB2312" w:hAnsi="仿宋_GB2312" w:eastAsia="仿宋_GB2312" w:cs="仿宋_GB2312"/>
          <w:b w:val="0"/>
          <w:bCs w:val="0"/>
          <w:sz w:val="28"/>
          <w:szCs w:val="28"/>
        </w:rPr>
        <w:t>万元</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预备费507万元</w:t>
      </w:r>
      <w:r>
        <w:rPr>
          <w:rFonts w:hint="eastAsia" w:ascii="仿宋_GB2312" w:hAnsi="仿宋_GB2312" w:eastAsia="仿宋_GB2312" w:cs="仿宋_GB2312"/>
          <w:b w:val="0"/>
          <w:bCs w:val="0"/>
          <w:sz w:val="28"/>
          <w:szCs w:val="28"/>
        </w:rPr>
        <w:t>。资金</w:t>
      </w:r>
      <w:r>
        <w:rPr>
          <w:rFonts w:hint="eastAsia" w:ascii="仿宋_GB2312" w:hAnsi="仿宋_GB2312" w:eastAsia="仿宋_GB2312" w:cs="仿宋_GB2312"/>
          <w:b w:val="0"/>
          <w:bCs w:val="0"/>
          <w:sz w:val="28"/>
          <w:szCs w:val="28"/>
          <w:lang w:val="en-US" w:eastAsia="zh-CN"/>
        </w:rPr>
        <w:t>来源为</w:t>
      </w:r>
      <w:r>
        <w:rPr>
          <w:rFonts w:hint="eastAsia" w:ascii="仿宋_GB2312" w:hAnsi="仿宋_GB2312" w:eastAsia="仿宋_GB2312" w:cs="仿宋_GB2312"/>
          <w:b w:val="0"/>
          <w:bCs w:val="0"/>
          <w:sz w:val="28"/>
          <w:szCs w:val="28"/>
        </w:rPr>
        <w:t>龙岗区财政投资。</w:t>
      </w:r>
    </w:p>
    <w:p>
      <w:pPr>
        <w:spacing w:line="54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工作范围：</w:t>
      </w:r>
      <w:r>
        <w:rPr>
          <w:rFonts w:hint="eastAsia" w:ascii="仿宋_GB2312" w:hAnsi="仿宋_GB2312" w:eastAsia="仿宋_GB2312" w:cs="仿宋_GB2312"/>
          <w:b w:val="0"/>
          <w:bCs w:val="0"/>
          <w:sz w:val="28"/>
          <w:szCs w:val="28"/>
          <w:lang w:eastAsia="zh-CN"/>
        </w:rPr>
        <w:t>深圳工业软件园配套道路及排洪渠迁改工程</w:t>
      </w:r>
      <w:r>
        <w:rPr>
          <w:rFonts w:hint="eastAsia" w:ascii="仿宋_GB2312" w:hAnsi="仿宋_GB2312" w:eastAsia="仿宋_GB2312" w:cs="仿宋_GB2312"/>
          <w:b w:val="0"/>
          <w:bCs w:val="0"/>
          <w:sz w:val="28"/>
          <w:szCs w:val="28"/>
        </w:rPr>
        <w:t>勘察</w:t>
      </w:r>
      <w:r>
        <w:rPr>
          <w:rFonts w:hint="eastAsia" w:ascii="仿宋_GB2312" w:hAnsi="仿宋_GB2312" w:eastAsia="仿宋_GB2312" w:cs="仿宋_GB2312"/>
          <w:b w:val="0"/>
          <w:bCs w:val="0"/>
          <w:sz w:val="28"/>
          <w:szCs w:val="28"/>
          <w:lang w:val="en-US" w:eastAsia="zh-CN"/>
        </w:rPr>
        <w:t>工作及地质灾害危险性评估工作</w:t>
      </w:r>
      <w:r>
        <w:rPr>
          <w:rFonts w:hint="eastAsia" w:ascii="仿宋_GB2312" w:hAnsi="仿宋_GB2312" w:eastAsia="仿宋_GB2312" w:cs="仿宋_GB2312"/>
          <w:b w:val="0"/>
          <w:bCs w:val="0"/>
          <w:sz w:val="28"/>
          <w:szCs w:val="28"/>
        </w:rPr>
        <w:t>，勘察及其他相关内容进度必须符合工程建设总体进度要求，满足工程建设需要。</w:t>
      </w:r>
    </w:p>
    <w:p>
      <w:pPr>
        <w:numPr>
          <w:ilvl w:val="0"/>
          <w:numId w:val="0"/>
        </w:numPr>
        <w:spacing w:line="560" w:lineRule="exact"/>
        <w:ind w:firstLine="0" w:firstLineChars="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28"/>
          <w:szCs w:val="28"/>
        </w:rPr>
        <w:t>四、</w:t>
      </w:r>
      <w:r>
        <w:rPr>
          <w:rFonts w:hint="eastAsia" w:ascii="仿宋_GB2312" w:hAnsi="仿宋_GB2312" w:eastAsia="仿宋_GB2312" w:cs="仿宋_GB2312"/>
          <w:b/>
          <w:bCs/>
          <w:sz w:val="28"/>
          <w:szCs w:val="28"/>
          <w:lang w:eastAsia="zh-CN"/>
        </w:rPr>
        <w:t>公开招标（自主）</w:t>
      </w:r>
      <w:r>
        <w:rPr>
          <w:rFonts w:hint="eastAsia" w:ascii="仿宋_GB2312" w:hAnsi="仿宋_GB2312" w:eastAsia="仿宋_GB2312" w:cs="仿宋_GB2312"/>
          <w:b/>
          <w:bCs/>
          <w:sz w:val="28"/>
          <w:szCs w:val="28"/>
        </w:rPr>
        <w:t>价款</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color w:val="auto"/>
          <w:sz w:val="28"/>
          <w:szCs w:val="28"/>
          <w:lang w:val="en-US" w:eastAsia="zh-CN"/>
        </w:rPr>
        <w:t>工程勘察费暂按基本设计费（扣除概算编制费）的30%计取，即（（</w:t>
      </w:r>
      <w:r>
        <w:rPr>
          <w:rFonts w:hint="eastAsia" w:ascii="仿宋_GB2312" w:hAnsi="仿宋_GB2312" w:eastAsia="仿宋_GB2312" w:cs="仿宋_GB2312"/>
          <w:color w:val="auto"/>
          <w:sz w:val="28"/>
          <w:szCs w:val="28"/>
        </w:rPr>
        <w:t>163.9+(249.6-163.9)/(8000-5000)×(5573-5000)</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0.9</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1-7.6076）×30%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162.2418-7.6076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46.390</w:t>
      </w:r>
      <w:r>
        <w:rPr>
          <w:rFonts w:hint="eastAsia" w:ascii="仿宋_GB2312" w:hAnsi="仿宋_GB2312" w:eastAsia="仿宋_GB2312" w:cs="仿宋_GB2312"/>
          <w:color w:val="auto"/>
          <w:sz w:val="28"/>
          <w:szCs w:val="28"/>
          <w:lang w:eastAsia="zh-CN"/>
        </w:rPr>
        <w:t>3</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color w:val="auto"/>
          <w:sz w:val="28"/>
          <w:szCs w:val="28"/>
          <w:lang w:eastAsia="zh-CN"/>
        </w:rPr>
        <w:t>。</w:t>
      </w:r>
    </w:p>
    <w:p>
      <w:pPr>
        <w:pStyle w:val="115"/>
        <w:numPr>
          <w:ilvl w:val="255"/>
          <w:numId w:val="0"/>
        </w:numPr>
        <w:spacing w:before="0" w:line="560" w:lineRule="exact"/>
        <w:ind w:left="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地质灾害危险性评估费用按《国家发展改革委办公厅、</w:t>
      </w:r>
      <w:del w:id="0" w:author="戴刚勇1" w:date="2024-04-24T09:26:28Z">
        <w:r>
          <w:rPr>
            <w:rFonts w:hint="eastAsia" w:ascii="仿宋_GB2312" w:hAnsi="仿宋_GB2312" w:eastAsia="仿宋_GB2312" w:cs="仿宋_GB2312"/>
            <w:color w:val="auto"/>
            <w:sz w:val="28"/>
            <w:szCs w:val="28"/>
            <w:lang w:val="en-US" w:eastAsia="zh-CN"/>
          </w:rPr>
          <w:delText>国土资源部</w:delText>
        </w:r>
      </w:del>
      <w:ins w:id="1" w:author="戴刚勇1" w:date="2024-04-24T09:26:28Z">
        <w:r>
          <w:rPr>
            <w:rFonts w:hint="eastAsia" w:ascii="仿宋_GB2312" w:hAnsi="仿宋_GB2312" w:eastAsia="仿宋_GB2312" w:cs="仿宋_GB2312"/>
            <w:color w:val="auto"/>
            <w:sz w:val="28"/>
            <w:szCs w:val="28"/>
            <w:lang w:val="en-US" w:eastAsia="zh-CN"/>
          </w:rPr>
          <w:t>自然资源部</w:t>
        </w:r>
      </w:ins>
      <w:r>
        <w:rPr>
          <w:rFonts w:hint="eastAsia" w:ascii="仿宋_GB2312" w:hAnsi="仿宋_GB2312" w:eastAsia="仿宋_GB2312" w:cs="仿宋_GB2312"/>
          <w:color w:val="auto"/>
          <w:sz w:val="28"/>
          <w:szCs w:val="28"/>
          <w:lang w:val="en-US" w:eastAsia="zh-CN"/>
        </w:rPr>
        <w:t>办公厅关于征求对地质灾害危险性评估收费管理办法意见的函》（发改办价格【2006】745号）计取，地质灾害评估收费基准价=地质灾害评估基本收费×工程规模调整系数×工程类别调整系数×地区调整系数=15×1.0×0.8×0.8=</w:t>
      </w:r>
      <w:r>
        <w:rPr>
          <w:rFonts w:hint="eastAsia" w:ascii="仿宋_GB2312" w:hAnsi="仿宋_GB2312" w:eastAsia="仿宋_GB2312" w:cs="仿宋_GB2312"/>
          <w:color w:val="auto"/>
          <w:sz w:val="28"/>
          <w:szCs w:val="28"/>
        </w:rPr>
        <w:t>9.6</w:t>
      </w:r>
      <w:r>
        <w:rPr>
          <w:rFonts w:hint="eastAsia" w:ascii="仿宋_GB2312" w:hAnsi="仿宋_GB2312" w:eastAsia="仿宋_GB2312" w:cs="仿宋_GB2312"/>
          <w:color w:val="auto"/>
          <w:sz w:val="28"/>
          <w:szCs w:val="28"/>
          <w:lang w:val="en-US" w:eastAsia="zh-CN"/>
        </w:rPr>
        <w:t>万元。</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本次采用下浮率招标，下浮</w:t>
      </w:r>
      <w:r>
        <w:rPr>
          <w:rFonts w:hint="eastAsia" w:ascii="仿宋_GB2312" w:hAnsi="仿宋_GB2312" w:eastAsia="仿宋_GB2312" w:cs="仿宋_GB2312"/>
          <w:b w:val="0"/>
          <w:bCs w:val="0"/>
          <w:sz w:val="28"/>
          <w:szCs w:val="28"/>
          <w:lang w:val="en-US" w:eastAsia="zh-CN"/>
        </w:rPr>
        <w:t>15%</w:t>
      </w:r>
      <w:r>
        <w:rPr>
          <w:rFonts w:hint="eastAsia" w:ascii="仿宋_GB2312" w:hAnsi="仿宋_GB2312" w:eastAsia="仿宋_GB2312" w:cs="仿宋_GB2312"/>
          <w:sz w:val="28"/>
          <w:szCs w:val="28"/>
          <w:lang w:val="en-US" w:eastAsia="zh-CN"/>
        </w:rPr>
        <w:t>作为投标上限价，投标上限价为</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46.390</w:t>
      </w:r>
      <w:r>
        <w:rPr>
          <w:rFonts w:hint="eastAsia" w:ascii="仿宋_GB2312" w:hAnsi="仿宋_GB2312" w:eastAsia="仿宋_GB2312" w:cs="仿宋_GB2312"/>
          <w:color w:val="auto"/>
          <w:sz w:val="28"/>
          <w:szCs w:val="28"/>
          <w:lang w:eastAsia="zh-CN"/>
        </w:rPr>
        <w:t>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9.6</w:t>
      </w:r>
      <w:r>
        <w:rPr>
          <w:rFonts w:hint="eastAsia" w:ascii="仿宋_GB2312" w:hAnsi="仿宋_GB2312" w:eastAsia="仿宋_GB2312" w:cs="仿宋_GB2312"/>
          <w:color w:val="auto"/>
          <w:sz w:val="28"/>
          <w:szCs w:val="28"/>
          <w:lang w:val="en-US" w:eastAsia="zh-CN"/>
        </w:rPr>
        <w:t>）×（1-15%）=</w:t>
      </w:r>
      <w:r>
        <w:rPr>
          <w:rFonts w:hint="eastAsia" w:ascii="仿宋_GB2312" w:hAnsi="仿宋_GB2312" w:eastAsia="仿宋_GB2312" w:cs="仿宋_GB2312"/>
          <w:color w:val="auto"/>
          <w:sz w:val="28"/>
          <w:szCs w:val="28"/>
        </w:rPr>
        <w:t>47.591</w:t>
      </w:r>
      <w:r>
        <w:rPr>
          <w:rFonts w:hint="eastAsia" w:ascii="仿宋_GB2312" w:hAnsi="仿宋_GB2312" w:eastAsia="仿宋_GB2312" w:cs="仿宋_GB2312"/>
          <w:color w:val="auto"/>
          <w:sz w:val="28"/>
          <w:szCs w:val="28"/>
          <w:lang w:eastAsia="zh-CN"/>
        </w:rPr>
        <w:t>8</w:t>
      </w:r>
      <w:r>
        <w:rPr>
          <w:rFonts w:hint="eastAsia" w:ascii="仿宋_GB2312" w:hAnsi="仿宋_GB2312" w:eastAsia="仿宋_GB2312" w:cs="仿宋_GB2312"/>
          <w:color w:val="auto"/>
          <w:sz w:val="28"/>
          <w:szCs w:val="28"/>
          <w:lang w:val="en-US" w:eastAsia="zh-CN"/>
        </w:rPr>
        <w:t>万元</w:t>
      </w:r>
      <w:r>
        <w:rPr>
          <w:rFonts w:hint="eastAsia" w:ascii="仿宋_GB2312" w:hAnsi="仿宋_GB2312" w:eastAsia="仿宋_GB2312" w:cs="仿宋_GB2312"/>
          <w:sz w:val="28"/>
          <w:szCs w:val="28"/>
        </w:rPr>
        <w:t>。</w:t>
      </w:r>
    </w:p>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五、报价要求</w:t>
      </w:r>
      <w:r>
        <w:rPr>
          <w:rFonts w:hint="eastAsia" w:ascii="仿宋_GB2312" w:hAnsi="仿宋_GB2312" w:eastAsia="仿宋_GB2312" w:cs="仿宋_GB2312"/>
          <w:sz w:val="28"/>
          <w:szCs w:val="28"/>
        </w:rPr>
        <w:t>：投标人在限价</w:t>
      </w:r>
      <w:r>
        <w:rPr>
          <w:rFonts w:hint="eastAsia" w:ascii="仿宋_GB2312" w:hAnsi="仿宋_GB2312" w:eastAsia="仿宋_GB2312" w:cs="仿宋_GB2312"/>
          <w:sz w:val="28"/>
          <w:szCs w:val="28"/>
          <w:lang w:val="en-US" w:eastAsia="zh-CN"/>
        </w:rPr>
        <w:t>范</w:t>
      </w:r>
      <w:r>
        <w:rPr>
          <w:rFonts w:hint="eastAsia" w:ascii="仿宋_GB2312" w:hAnsi="仿宋_GB2312" w:eastAsia="仿宋_GB2312" w:cs="仿宋_GB2312"/>
          <w:sz w:val="28"/>
          <w:szCs w:val="28"/>
        </w:rPr>
        <w:t xml:space="preserve">围内，自主报价。 </w:t>
      </w:r>
    </w:p>
    <w:p>
      <w:pPr>
        <w:spacing w:line="54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六、响应单位资格要求：</w:t>
      </w:r>
    </w:p>
    <w:p>
      <w:pPr>
        <w:pStyle w:val="114"/>
        <w:tabs>
          <w:tab w:val="left" w:pos="426"/>
          <w:tab w:val="left" w:pos="567"/>
        </w:tabs>
        <w:spacing w:line="540" w:lineRule="exact"/>
        <w:ind w:firstLine="560"/>
        <w:rPr>
          <w:rFonts w:hint="eastAsia" w:ascii="仿宋_GB2312" w:eastAsia="仿宋_GB2312" w:cs="Times New Roman"/>
          <w:sz w:val="28"/>
          <w:szCs w:val="28"/>
          <w:lang w:val="en-US" w:eastAsia="zh-CN"/>
        </w:rPr>
      </w:pPr>
      <w:r>
        <w:rPr>
          <w:rFonts w:hint="eastAsia" w:ascii="仿宋_GB2312" w:eastAsia="仿宋_GB2312" w:cs="Times New Roman"/>
          <w:sz w:val="28"/>
          <w:szCs w:val="28"/>
          <w:lang w:eastAsia="zh-CN"/>
        </w:rPr>
        <w:t>（1）</w:t>
      </w:r>
      <w:r>
        <w:rPr>
          <w:rFonts w:hint="eastAsia" w:ascii="仿宋_GB2312" w:eastAsia="仿宋_GB2312" w:cs="Times New Roman"/>
          <w:sz w:val="28"/>
          <w:szCs w:val="28"/>
          <w:lang w:val="en-US" w:eastAsia="zh-CN"/>
        </w:rPr>
        <w:t>企业资质要求：具有工程勘察专业类（岩土工程勘察）甲级及以上资质。</w:t>
      </w:r>
    </w:p>
    <w:p>
      <w:pPr>
        <w:pStyle w:val="114"/>
        <w:tabs>
          <w:tab w:val="left" w:pos="426"/>
          <w:tab w:val="left" w:pos="567"/>
        </w:tabs>
        <w:spacing w:line="540" w:lineRule="exact"/>
        <w:ind w:firstLine="560"/>
        <w:rPr>
          <w:rFonts w:hint="eastAsia" w:ascii="仿宋_GB2312" w:eastAsia="仿宋_GB2312" w:cs="Times New Roman"/>
          <w:sz w:val="28"/>
          <w:szCs w:val="28"/>
        </w:rPr>
      </w:pPr>
      <w:r>
        <w:rPr>
          <w:rFonts w:hint="eastAsia" w:ascii="仿宋_GB2312" w:eastAsia="仿宋_GB2312" w:cs="Times New Roman"/>
          <w:sz w:val="28"/>
          <w:szCs w:val="28"/>
          <w:lang w:eastAsia="zh-CN"/>
        </w:rPr>
        <w:t>（</w:t>
      </w:r>
      <w:r>
        <w:rPr>
          <w:rFonts w:hint="eastAsia" w:ascii="仿宋_GB2312" w:eastAsia="仿宋_GB2312" w:cs="Times New Roman"/>
          <w:sz w:val="28"/>
          <w:szCs w:val="28"/>
        </w:rPr>
        <w:t>2）</w:t>
      </w:r>
      <w:r>
        <w:rPr>
          <w:rFonts w:hint="eastAsia" w:ascii="仿宋_GB2312" w:hAnsi="Calibri" w:eastAsia="仿宋_GB2312" w:cs="Times New Roman"/>
          <w:sz w:val="28"/>
          <w:szCs w:val="28"/>
          <w:lang w:val="en-US" w:eastAsia="zh-CN"/>
        </w:rPr>
        <w:t>项目负责人资格要求：注册岩土工程师执业资格</w:t>
      </w:r>
      <w:r>
        <w:rPr>
          <w:rFonts w:hint="eastAsia" w:ascii="仿宋_GB2312" w:eastAsia="仿宋_GB2312" w:cs="Times New Roman"/>
          <w:sz w:val="28"/>
          <w:szCs w:val="28"/>
          <w:lang w:val="en-US" w:eastAsia="zh-CN"/>
        </w:rPr>
        <w:t>。</w:t>
      </w:r>
    </w:p>
    <w:p>
      <w:pPr>
        <w:pStyle w:val="114"/>
        <w:tabs>
          <w:tab w:val="left" w:pos="426"/>
          <w:tab w:val="left" w:pos="567"/>
        </w:tabs>
        <w:spacing w:line="540" w:lineRule="exact"/>
        <w:ind w:firstLine="560"/>
        <w:rPr>
          <w:rFonts w:hint="eastAsia" w:ascii="仿宋_GB2312" w:eastAsia="仿宋_GB2312" w:cs="Times New Roman"/>
          <w:sz w:val="28"/>
          <w:szCs w:val="28"/>
        </w:rPr>
      </w:pPr>
      <w:r>
        <w:rPr>
          <w:rFonts w:hint="eastAsia" w:ascii="仿宋_GB2312" w:eastAsia="仿宋_GB2312" w:cs="Times New Roman"/>
          <w:sz w:val="28"/>
          <w:szCs w:val="28"/>
          <w:lang w:eastAsia="zh-CN"/>
        </w:rPr>
        <w:t>（</w:t>
      </w:r>
      <w:r>
        <w:rPr>
          <w:rFonts w:hint="eastAsia" w:ascii="仿宋_GB2312" w:eastAsia="仿宋_GB2312" w:cs="Times New Roman"/>
          <w:sz w:val="28"/>
          <w:szCs w:val="28"/>
          <w:lang w:val="en-US" w:eastAsia="zh-CN"/>
        </w:rPr>
        <w:t>3</w:t>
      </w:r>
      <w:r>
        <w:rPr>
          <w:rFonts w:hint="eastAsia" w:ascii="仿宋_GB2312" w:eastAsia="仿宋_GB2312" w:cs="Times New Roman"/>
          <w:sz w:val="28"/>
          <w:szCs w:val="28"/>
          <w:lang w:eastAsia="zh-CN"/>
        </w:rPr>
        <w:t>）</w:t>
      </w:r>
      <w:r>
        <w:rPr>
          <w:rFonts w:hint="eastAsia" w:ascii="仿宋_GB2312" w:eastAsia="仿宋_GB2312" w:cs="Times New Roman"/>
          <w:sz w:val="28"/>
          <w:szCs w:val="28"/>
        </w:rPr>
        <w:t>本工程不接受联合体投标。</w:t>
      </w:r>
    </w:p>
    <w:p>
      <w:pPr>
        <w:spacing w:line="540" w:lineRule="exac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七、评审方法：</w:t>
      </w:r>
    </w:p>
    <w:p>
      <w:pPr>
        <w:pStyle w:val="114"/>
        <w:tabs>
          <w:tab w:val="left" w:pos="426"/>
          <w:tab w:val="left" w:pos="567"/>
        </w:tabs>
        <w:spacing w:line="540" w:lineRule="exact"/>
        <w:ind w:firstLine="560"/>
        <w:rPr>
          <w:rFonts w:hint="eastAsia" w:ascii="仿宋_GB2312" w:eastAsia="仿宋_GB2312"/>
          <w:sz w:val="28"/>
          <w:szCs w:val="28"/>
          <w:highlight w:val="none"/>
          <w:lang w:eastAsia="zh-CN"/>
        </w:rPr>
      </w:pPr>
      <w:r>
        <w:rPr>
          <w:rFonts w:hint="eastAsia" w:ascii="仿宋_GB2312" w:eastAsia="仿宋_GB2312"/>
          <w:sz w:val="28"/>
          <w:szCs w:val="28"/>
          <w:highlight w:val="none"/>
        </w:rPr>
        <w:t>定性评审，票决定标</w:t>
      </w:r>
      <w:r>
        <w:rPr>
          <w:rFonts w:hint="eastAsia" w:ascii="仿宋_GB2312" w:eastAsia="仿宋_GB2312"/>
          <w:sz w:val="28"/>
          <w:szCs w:val="28"/>
          <w:highlight w:val="none"/>
          <w:lang w:eastAsia="zh-CN"/>
        </w:rPr>
        <w:t>。</w:t>
      </w:r>
    </w:p>
    <w:p>
      <w:pPr>
        <w:pStyle w:val="115"/>
        <w:numPr>
          <w:ilvl w:val="255"/>
          <w:numId w:val="0"/>
        </w:numPr>
        <w:spacing w:before="0" w:line="540" w:lineRule="exact"/>
        <w:rPr>
          <w:rFonts w:hint="default" w:ascii="仿宋_GB2312" w:hAnsi="Calibri" w:eastAsia="仿宋_GB2312"/>
          <w:sz w:val="28"/>
          <w:szCs w:val="28"/>
          <w:lang w:val="en-US" w:eastAsia="zh-CN"/>
        </w:rPr>
      </w:pPr>
      <w:r>
        <w:rPr>
          <w:rFonts w:hint="eastAsia" w:ascii="仿宋_GB2312" w:hAnsi="仿宋_GB2312" w:eastAsia="仿宋_GB2312" w:cs="仿宋_GB2312"/>
          <w:b/>
          <w:bCs/>
          <w:sz w:val="28"/>
          <w:szCs w:val="28"/>
        </w:rPr>
        <w:t>八、</w:t>
      </w:r>
      <w:r>
        <w:rPr>
          <w:rFonts w:hint="eastAsia" w:ascii="仿宋_GB2312" w:hAnsi="仿宋_GB2312" w:eastAsia="仿宋_GB2312" w:cs="仿宋_GB2312"/>
          <w:b/>
          <w:bCs/>
          <w:sz w:val="28"/>
          <w:szCs w:val="28"/>
          <w:lang w:val="en-US" w:eastAsia="zh-CN"/>
        </w:rPr>
        <w:t>合同模式</w:t>
      </w:r>
      <w:r>
        <w:rPr>
          <w:rFonts w:hint="eastAsia" w:ascii="仿宋_GB2312" w:hAnsi="仿宋_GB2312" w:eastAsia="仿宋_GB2312" w:cs="仿宋_GB2312"/>
          <w:b/>
          <w:bCs/>
          <w:sz w:val="28"/>
          <w:szCs w:val="28"/>
        </w:rPr>
        <w:t>：</w:t>
      </w:r>
      <w:r>
        <w:rPr>
          <w:rFonts w:hint="eastAsia" w:ascii="仿宋_GB2312" w:hAnsi="Calibri" w:eastAsia="仿宋_GB2312"/>
          <w:sz w:val="28"/>
          <w:szCs w:val="28"/>
        </w:rPr>
        <w:t>采用</w:t>
      </w:r>
      <w:r>
        <w:rPr>
          <w:rFonts w:hint="eastAsia" w:ascii="仿宋_GB2312" w:hAnsi="Calibri" w:eastAsia="仿宋_GB2312"/>
          <w:sz w:val="28"/>
          <w:szCs w:val="28"/>
          <w:lang w:val="en-US" w:eastAsia="zh-CN"/>
        </w:rPr>
        <w:t>固定下浮率</w:t>
      </w:r>
      <w:r>
        <w:rPr>
          <w:rFonts w:hint="eastAsia" w:ascii="仿宋_GB2312" w:hAnsi="Calibri" w:eastAsia="仿宋_GB2312"/>
          <w:sz w:val="28"/>
          <w:szCs w:val="28"/>
        </w:rPr>
        <w:t>合同。</w:t>
      </w:r>
      <w:r>
        <w:rPr>
          <w:rFonts w:hint="eastAsia" w:ascii="仿宋_GB2312" w:hAnsi="Calibri" w:eastAsia="仿宋_GB2312"/>
          <w:sz w:val="28"/>
          <w:szCs w:val="28"/>
          <w:lang w:val="en-US" w:eastAsia="zh-CN"/>
        </w:rPr>
        <w:t>结算原则详见合同。</w:t>
      </w:r>
    </w:p>
    <w:p>
      <w:pPr>
        <w:pStyle w:val="115"/>
        <w:numPr>
          <w:ilvl w:val="255"/>
          <w:numId w:val="0"/>
        </w:numPr>
        <w:spacing w:before="0" w:line="56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九、支付方式：</w:t>
      </w:r>
    </w:p>
    <w:p>
      <w:pPr>
        <w:pStyle w:val="114"/>
        <w:tabs>
          <w:tab w:val="left" w:pos="426"/>
          <w:tab w:val="left" w:pos="567"/>
        </w:tabs>
        <w:spacing w:line="560" w:lineRule="exact"/>
        <w:ind w:firstLine="622"/>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勘察费包含基本勘察费和履约绩效金两部分，其中基本勘察费占90%，履约绩效金占10%。具体支付原则详见合同。</w:t>
      </w:r>
    </w:p>
    <w:p>
      <w:pPr>
        <w:spacing w:line="54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十、响应文件要求：</w:t>
      </w:r>
    </w:p>
    <w:p>
      <w:pPr>
        <w:numPr>
          <w:ilvl w:val="-1"/>
          <w:numId w:val="0"/>
        </w:num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highlight w:val="none"/>
        </w:rPr>
        <w:t>公告时间从202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4月24日</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4月30日</w:t>
      </w:r>
      <w:r>
        <w:rPr>
          <w:rFonts w:hint="eastAsia" w:ascii="仿宋_GB2312" w:hAnsi="仿宋_GB2312" w:eastAsia="仿宋_GB2312" w:cs="仿宋_GB2312"/>
          <w:sz w:val="28"/>
          <w:szCs w:val="28"/>
          <w:highlight w:val="none"/>
        </w:rPr>
        <w:t>止，响应承包商应于</w:t>
      </w:r>
      <w:r>
        <w:rPr>
          <w:rFonts w:hint="eastAsia" w:ascii="仿宋_GB2312" w:hAnsi="仿宋_GB2312" w:eastAsia="仿宋_GB2312" w:cs="仿宋_GB2312"/>
          <w:sz w:val="28"/>
          <w:szCs w:val="28"/>
          <w:highlight w:val="none"/>
          <w:lang w:val="en-US" w:eastAsia="zh-CN"/>
        </w:rPr>
        <w:t>4月30日</w:t>
      </w:r>
      <w:r>
        <w:rPr>
          <w:rFonts w:hint="eastAsia" w:ascii="仿宋_GB2312" w:hAnsi="仿宋_GB2312" w:eastAsia="仿宋_GB2312" w:cs="仿宋_GB2312"/>
          <w:sz w:val="28"/>
          <w:szCs w:val="28"/>
          <w:highlight w:val="none"/>
        </w:rPr>
        <w:t>15:00前将响应文件</w:t>
      </w:r>
      <w:r>
        <w:rPr>
          <w:rFonts w:hint="eastAsia" w:ascii="仿宋_GB2312" w:hAnsi="仿宋_GB2312" w:eastAsia="仿宋_GB2312" w:cs="仿宋_GB2312"/>
          <w:sz w:val="28"/>
          <w:szCs w:val="28"/>
        </w:rPr>
        <w:t>1正4副密封（统一密封，密封处加盖公章）送交到龙岗区中心城腾飞路创</w:t>
      </w:r>
      <w:r>
        <w:rPr>
          <w:rFonts w:hint="eastAsia" w:ascii="仿宋_GB2312" w:hAnsi="仿宋_GB2312" w:eastAsia="仿宋_GB2312" w:cs="仿宋_GB2312"/>
          <w:sz w:val="28"/>
          <w:szCs w:val="28"/>
          <w:highlight w:val="none"/>
        </w:rPr>
        <w:t>投大厦</w:t>
      </w:r>
      <w:r>
        <w:rPr>
          <w:rFonts w:hint="eastAsia" w:ascii="仿宋_GB2312" w:hAnsi="仿宋_GB2312" w:eastAsia="仿宋_GB2312" w:cs="仿宋_GB2312"/>
          <w:sz w:val="28"/>
          <w:szCs w:val="28"/>
          <w:highlight w:val="none"/>
          <w:lang w:eastAsia="zh-CN"/>
        </w:rPr>
        <w:t>2210室</w:t>
      </w:r>
      <w:r>
        <w:rPr>
          <w:rFonts w:hint="eastAsia" w:ascii="仿宋_GB2312" w:hAnsi="仿宋_GB2312" w:eastAsia="仿宋_GB2312" w:cs="仿宋_GB2312"/>
          <w:sz w:val="28"/>
          <w:szCs w:val="28"/>
          <w:highlight w:val="none"/>
        </w:rPr>
        <w:t>（合约造价部，联系人：</w:t>
      </w:r>
      <w:r>
        <w:rPr>
          <w:rFonts w:hint="eastAsia" w:ascii="仿宋_GB2312" w:hAnsi="仿宋_GB2312" w:eastAsia="仿宋_GB2312" w:cs="仿宋_GB2312"/>
          <w:sz w:val="28"/>
          <w:szCs w:val="28"/>
          <w:highlight w:val="none"/>
          <w:lang w:val="en-US" w:eastAsia="zh-CN"/>
        </w:rPr>
        <w:t>陈</w:t>
      </w:r>
      <w:r>
        <w:rPr>
          <w:rFonts w:hint="eastAsia" w:ascii="仿宋_GB2312" w:hAnsi="仿宋_GB2312" w:eastAsia="仿宋_GB2312" w:cs="仿宋_GB2312"/>
          <w:sz w:val="28"/>
          <w:szCs w:val="28"/>
          <w:highlight w:val="none"/>
        </w:rPr>
        <w:t>工，0755-28504276）</w:t>
      </w:r>
      <w:r>
        <w:rPr>
          <w:rFonts w:hint="eastAsia" w:ascii="仿宋_GB2312" w:hAnsi="仿宋_GB2312" w:eastAsia="仿宋_GB2312" w:cs="仿宋_GB2312"/>
          <w:sz w:val="28"/>
          <w:szCs w:val="28"/>
        </w:rPr>
        <w:t>，逾期送达或未按要求密封将予以拒收或原封退回给报价人。</w:t>
      </w:r>
    </w:p>
    <w:p>
      <w:pPr>
        <w:numPr>
          <w:ilvl w:val="-1"/>
          <w:numId w:val="0"/>
        </w:num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响应文件包含承诺函、委托人要求提供的资料等，详见</w:t>
      </w:r>
      <w:r>
        <w:rPr>
          <w:rFonts w:hint="eastAsia" w:ascii="仿宋_GB2312" w:hAnsi="仿宋_GB2312" w:eastAsia="仿宋_GB2312" w:cs="仿宋_GB2312"/>
          <w:sz w:val="28"/>
          <w:szCs w:val="28"/>
          <w:lang w:eastAsia="zh-CN"/>
        </w:rPr>
        <w:t>公开招标（自主）</w:t>
      </w:r>
      <w:r>
        <w:rPr>
          <w:rFonts w:hint="eastAsia" w:ascii="仿宋_GB2312" w:hAnsi="仿宋_GB2312" w:eastAsia="仿宋_GB2312" w:cs="仿宋_GB2312"/>
          <w:sz w:val="28"/>
          <w:szCs w:val="28"/>
        </w:rPr>
        <w:t>文件。</w:t>
      </w:r>
    </w:p>
    <w:p>
      <w:pPr>
        <w:numPr>
          <w:ilvl w:val="-1"/>
          <w:numId w:val="0"/>
        </w:num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次递交响应文件截止时间后，若有效响应单位不足3家的，则发布二次公告（原则不少于一次公告发布时间的50%），若二次公告期满后，有效响应单位仅有2家的，则拆封响应文件继续评审，有效响应单位仅有1家的，则直接选定承包单位。</w:t>
      </w:r>
    </w:p>
    <w:p>
      <w:pPr>
        <w:spacing w:line="54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w:t>
      </w:r>
      <w:r>
        <w:rPr>
          <w:rFonts w:hint="eastAsia" w:ascii="仿宋_GB2312" w:hAnsi="仿宋_GB2312" w:eastAsia="仿宋_GB2312" w:cs="仿宋_GB2312"/>
          <w:b/>
          <w:bCs/>
          <w:sz w:val="28"/>
          <w:szCs w:val="28"/>
          <w:lang w:eastAsia="zh-CN"/>
        </w:rPr>
        <w:t>公开招标（自主）</w:t>
      </w:r>
      <w:r>
        <w:rPr>
          <w:rFonts w:hint="eastAsia" w:ascii="仿宋_GB2312" w:hAnsi="仿宋_GB2312" w:eastAsia="仿宋_GB2312" w:cs="仿宋_GB2312"/>
          <w:b/>
          <w:bCs/>
          <w:sz w:val="28"/>
          <w:szCs w:val="28"/>
        </w:rPr>
        <w:t>结果公示</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递交响应文件截止后，委托人将自行组织响应文件开启、评审等工作，确定承包单位后将在龙岗区城投集团官方网站进行公示。</w:t>
      </w:r>
    </w:p>
    <w:p>
      <w:pPr>
        <w:spacing w:line="540" w:lineRule="exact"/>
        <w:ind w:left="1687" w:hanging="1687" w:hangingChars="600"/>
        <w:rPr>
          <w:rFonts w:ascii="仿宋_GB2312" w:hAnsi="仿宋_GB2312" w:eastAsia="仿宋_GB2312" w:cs="仿宋_GB2312"/>
          <w:b/>
          <w:bCs/>
          <w:sz w:val="28"/>
          <w:szCs w:val="28"/>
        </w:rPr>
      </w:pPr>
    </w:p>
    <w:p>
      <w:pPr>
        <w:spacing w:line="540" w:lineRule="exact"/>
        <w:ind w:left="1687" w:hanging="1687" w:hangingChars="600"/>
        <w:rPr>
          <w:rFonts w:ascii="仿宋_GB2312" w:hAnsi="仿宋_GB2312" w:eastAsia="仿宋_GB2312" w:cs="仿宋_GB2312"/>
          <w:b/>
          <w:bCs/>
          <w:sz w:val="28"/>
          <w:szCs w:val="28"/>
        </w:rPr>
      </w:pPr>
    </w:p>
    <w:p>
      <w:pPr>
        <w:pStyle w:val="2"/>
      </w:pPr>
    </w:p>
    <w:p/>
    <w:p/>
    <w:p/>
    <w:p/>
    <w:p>
      <w:pPr>
        <w:spacing w:line="540" w:lineRule="exact"/>
        <w:ind w:left="1687" w:hanging="1687" w:hangingChars="6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特别说明：1.资格不符合要求的投标人不能进入比选程序。</w:t>
      </w:r>
    </w:p>
    <w:p>
      <w:pPr>
        <w:numPr>
          <w:ilvl w:val="0"/>
          <w:numId w:val="3"/>
        </w:numPr>
        <w:spacing w:line="540" w:lineRule="exact"/>
        <w:ind w:left="1677" w:leftChars="665" w:hanging="281" w:hangingChars="1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所有响应单位视为同意上述公告内容，确定为承包单位后按公告约定与委托人签署合同。</w:t>
      </w:r>
    </w:p>
    <w:p>
      <w:pPr>
        <w:numPr>
          <w:ilvl w:val="0"/>
          <w:numId w:val="3"/>
        </w:numPr>
        <w:spacing w:line="540" w:lineRule="exact"/>
        <w:ind w:left="1677" w:leftChars="665" w:hanging="281" w:hangingChars="100"/>
        <w:rPr>
          <w:rFonts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公开招标（自主）</w:t>
      </w:r>
      <w:r>
        <w:rPr>
          <w:rFonts w:hint="eastAsia" w:ascii="仿宋_GB2312" w:hAnsi="仿宋_GB2312" w:eastAsia="仿宋_GB2312" w:cs="仿宋_GB2312"/>
          <w:b/>
          <w:bCs/>
          <w:sz w:val="28"/>
          <w:szCs w:val="28"/>
        </w:rPr>
        <w:t>评审后，如承包单位放弃中选资格或者拒不签订合同的，委托人可以从资格审查合格的其他投标单位中采用原评审方法，由原评审小组确定承包单位。</w:t>
      </w:r>
    </w:p>
    <w:p>
      <w:pPr>
        <w:pStyle w:val="28"/>
        <w:spacing w:line="540" w:lineRule="exact"/>
        <w:rPr>
          <w:sz w:val="28"/>
          <w:szCs w:val="28"/>
        </w:rPr>
      </w:pPr>
    </w:p>
    <w:p>
      <w:pPr>
        <w:adjustRightInd w:val="0"/>
        <w:snapToGrid w:val="0"/>
        <w:spacing w:line="560" w:lineRule="atLeast"/>
        <w:ind w:firstLine="560" w:firstLineChars="200"/>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color w:val="auto"/>
          <w:sz w:val="28"/>
          <w:szCs w:val="28"/>
          <w:highlight w:val="none"/>
          <w:u w:val="none"/>
        </w:rPr>
        <w:t>深圳市龙岗区城投高新技术产业投资开发有限公</w:t>
      </w:r>
      <w:r>
        <w:rPr>
          <w:rFonts w:hint="eastAsia" w:ascii="仿宋_GB2312" w:hAnsi="仿宋_GB2312" w:eastAsia="仿宋_GB2312" w:cs="仿宋_GB2312"/>
          <w:b/>
          <w:bCs/>
          <w:color w:val="auto"/>
          <w:sz w:val="28"/>
          <w:szCs w:val="28"/>
          <w:highlight w:val="none"/>
          <w:u w:val="none"/>
          <w:lang w:val="en-US" w:eastAsia="zh-CN"/>
        </w:rPr>
        <w:t>司</w:t>
      </w:r>
    </w:p>
    <w:p>
      <w:pPr>
        <w:spacing w:line="540" w:lineRule="exact"/>
        <w:ind w:firstLine="480"/>
        <w:rPr>
          <w:rFonts w:ascii="仿宋_GB2312" w:hAnsi="仿宋_GB2312" w:eastAsia="仿宋_GB2312" w:cs="仿宋_GB2312"/>
          <w:sz w:val="28"/>
          <w:szCs w:val="28"/>
        </w:rPr>
      </w:pPr>
    </w:p>
    <w:p>
      <w:pPr>
        <w:spacing w:line="540" w:lineRule="exact"/>
        <w:ind w:firstLine="480"/>
        <w:rPr>
          <w:rFonts w:ascii="仿宋_GB2312" w:hAnsi="仿宋_GB2312" w:eastAsia="仿宋_GB2312" w:cs="仿宋_GB2312"/>
          <w:b/>
          <w:bCs/>
          <w:sz w:val="28"/>
          <w:szCs w:val="28"/>
          <w:highlight w:val="yellow"/>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bCs/>
          <w:sz w:val="28"/>
          <w:szCs w:val="28"/>
        </w:rPr>
        <w:t>20</w:t>
      </w:r>
      <w:r>
        <w:rPr>
          <w:rFonts w:hint="eastAsia" w:ascii="仿宋_GB2312" w:hAnsi="仿宋_GB2312" w:eastAsia="仿宋_GB2312" w:cs="仿宋_GB2312"/>
          <w:b/>
          <w:bCs/>
          <w:sz w:val="28"/>
          <w:szCs w:val="28"/>
          <w:highlight w:val="none"/>
        </w:rPr>
        <w:t>2</w:t>
      </w:r>
      <w:r>
        <w:rPr>
          <w:rFonts w:hint="eastAsia" w:ascii="仿宋_GB2312" w:hAnsi="仿宋_GB2312" w:eastAsia="仿宋_GB2312" w:cs="仿宋_GB2312"/>
          <w:b/>
          <w:bCs/>
          <w:sz w:val="28"/>
          <w:szCs w:val="28"/>
          <w:highlight w:val="none"/>
          <w:lang w:val="en-US" w:eastAsia="zh-CN"/>
        </w:rPr>
        <w:t>4</w:t>
      </w:r>
      <w:r>
        <w:rPr>
          <w:rFonts w:hint="eastAsia" w:ascii="仿宋_GB2312" w:hAnsi="仿宋_GB2312" w:eastAsia="仿宋_GB2312" w:cs="仿宋_GB2312"/>
          <w:b/>
          <w:bCs/>
          <w:sz w:val="28"/>
          <w:szCs w:val="28"/>
          <w:highlight w:val="none"/>
        </w:rPr>
        <w:t>年</w:t>
      </w:r>
      <w:r>
        <w:rPr>
          <w:rFonts w:hint="eastAsia" w:ascii="仿宋_GB2312" w:hAnsi="仿宋_GB2312" w:eastAsia="仿宋_GB2312" w:cs="仿宋_GB2312"/>
          <w:b/>
          <w:bCs/>
          <w:sz w:val="28"/>
          <w:szCs w:val="28"/>
          <w:highlight w:val="none"/>
          <w:lang w:val="en-US" w:eastAsia="zh-CN"/>
        </w:rPr>
        <w:t>4月24日</w:t>
      </w:r>
    </w:p>
    <w:p>
      <w:r>
        <w:br w:type="page"/>
      </w:r>
    </w:p>
    <w:p>
      <w:pPr>
        <w:pStyle w:val="2"/>
        <w:jc w:val="center"/>
        <w:rPr>
          <w:b/>
          <w:sz w:val="36"/>
          <w:szCs w:val="36"/>
        </w:rPr>
      </w:pPr>
      <w:r>
        <w:rPr>
          <w:rFonts w:hint="eastAsia"/>
          <w:b/>
          <w:sz w:val="36"/>
          <w:szCs w:val="36"/>
        </w:rPr>
        <w:t>第二章　</w:t>
      </w:r>
      <w:bookmarkStart w:id="2" w:name="_Toc306716052"/>
      <w:r>
        <w:rPr>
          <w:rFonts w:hint="eastAsia"/>
          <w:b/>
          <w:sz w:val="36"/>
          <w:szCs w:val="36"/>
        </w:rPr>
        <w:t>投标须知</w:t>
      </w:r>
      <w:bookmarkEnd w:id="1"/>
      <w:bookmarkEnd w:id="2"/>
    </w:p>
    <w:p>
      <w:pPr>
        <w:pStyle w:val="2"/>
        <w:jc w:val="center"/>
        <w:rPr>
          <w:b/>
          <w:sz w:val="32"/>
          <w:szCs w:val="32"/>
        </w:rPr>
      </w:pPr>
      <w:r>
        <w:rPr>
          <w:rFonts w:hint="eastAsia"/>
          <w:b/>
          <w:sz w:val="32"/>
          <w:szCs w:val="32"/>
        </w:rPr>
        <w:t>投标须知前附表</w:t>
      </w:r>
    </w:p>
    <w:tbl>
      <w:tblPr>
        <w:tblStyle w:val="53"/>
        <w:tblpPr w:leftFromText="180" w:rightFromText="180" w:vertAnchor="text" w:horzAnchor="margin" w:tblpY="91"/>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34"/>
        <w:gridCol w:w="31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26" w:type="dxa"/>
            <w:vAlign w:val="center"/>
          </w:tcPr>
          <w:p>
            <w:pPr>
              <w:pStyle w:val="28"/>
              <w:rPr>
                <w:rFonts w:hint="eastAsia" w:hAnsi="宋体"/>
              </w:rPr>
            </w:pPr>
            <w:r>
              <w:rPr>
                <w:rFonts w:hint="eastAsia" w:hAnsi="宋体"/>
              </w:rPr>
              <w:t>序号</w:t>
            </w:r>
          </w:p>
        </w:tc>
        <w:tc>
          <w:tcPr>
            <w:tcW w:w="1534" w:type="dxa"/>
            <w:vAlign w:val="center"/>
          </w:tcPr>
          <w:p>
            <w:pPr>
              <w:pStyle w:val="28"/>
              <w:rPr>
                <w:rFonts w:hint="eastAsia" w:hAnsi="宋体"/>
              </w:rPr>
            </w:pPr>
            <w:r>
              <w:rPr>
                <w:rFonts w:hint="eastAsia" w:hAnsi="宋体"/>
              </w:rPr>
              <w:t>项目明细内容</w:t>
            </w:r>
          </w:p>
        </w:tc>
        <w:tc>
          <w:tcPr>
            <w:tcW w:w="3151" w:type="dxa"/>
            <w:vAlign w:val="center"/>
          </w:tcPr>
          <w:p>
            <w:pPr>
              <w:pStyle w:val="28"/>
              <w:rPr>
                <w:rFonts w:hint="eastAsia" w:hAnsi="宋体"/>
              </w:rPr>
            </w:pPr>
            <w:r>
              <w:rPr>
                <w:rFonts w:hint="eastAsia" w:hAnsi="宋体"/>
              </w:rPr>
              <w:t>要求</w:t>
            </w:r>
          </w:p>
        </w:tc>
        <w:tc>
          <w:tcPr>
            <w:tcW w:w="3108" w:type="dxa"/>
            <w:vAlign w:val="center"/>
          </w:tcPr>
          <w:p>
            <w:pPr>
              <w:pStyle w:val="28"/>
              <w:rPr>
                <w:rFonts w:hint="eastAsia"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6" w:type="dxa"/>
            <w:vAlign w:val="center"/>
          </w:tcPr>
          <w:p>
            <w:pPr>
              <w:pStyle w:val="28"/>
              <w:rPr>
                <w:rFonts w:hint="eastAsia" w:hAnsi="宋体"/>
              </w:rPr>
            </w:pPr>
            <w:r>
              <w:rPr>
                <w:rFonts w:hint="eastAsia" w:hAnsi="宋体"/>
              </w:rPr>
              <w:t>1</w:t>
            </w:r>
          </w:p>
        </w:tc>
        <w:tc>
          <w:tcPr>
            <w:tcW w:w="1534" w:type="dxa"/>
            <w:vAlign w:val="center"/>
          </w:tcPr>
          <w:p>
            <w:pPr>
              <w:pStyle w:val="28"/>
              <w:rPr>
                <w:rFonts w:hint="eastAsia" w:hAnsi="宋体"/>
              </w:rPr>
            </w:pPr>
            <w:r>
              <w:rPr>
                <w:rFonts w:hint="eastAsia" w:hAnsi="宋体"/>
                <w:lang w:eastAsia="zh-CN"/>
              </w:rPr>
              <w:t>公开招标（自主）</w:t>
            </w:r>
            <w:r>
              <w:rPr>
                <w:rFonts w:hint="eastAsia" w:hAnsi="宋体"/>
              </w:rPr>
              <w:t>文件</w:t>
            </w:r>
          </w:p>
        </w:tc>
        <w:tc>
          <w:tcPr>
            <w:tcW w:w="3151" w:type="dxa"/>
            <w:vAlign w:val="center"/>
          </w:tcPr>
          <w:p>
            <w:pPr>
              <w:pStyle w:val="28"/>
              <w:rPr>
                <w:rFonts w:hint="eastAsia" w:hAnsi="宋体"/>
              </w:rPr>
            </w:pPr>
            <w:r>
              <w:rPr>
                <w:rFonts w:hint="eastAsia" w:hAnsi="宋体"/>
              </w:rPr>
              <w:t>公</w:t>
            </w:r>
            <w:r>
              <w:rPr>
                <w:rFonts w:hint="eastAsia" w:hAnsi="宋体"/>
                <w:highlight w:val="none"/>
              </w:rPr>
              <w:t>告时间从202</w:t>
            </w:r>
            <w:r>
              <w:rPr>
                <w:rFonts w:hint="eastAsia" w:hAnsi="宋体"/>
                <w:highlight w:val="none"/>
                <w:lang w:val="en-US" w:eastAsia="zh-CN"/>
              </w:rPr>
              <w:t>4</w:t>
            </w:r>
            <w:r>
              <w:rPr>
                <w:rFonts w:hint="eastAsia" w:hAnsi="宋体"/>
                <w:highlight w:val="none"/>
              </w:rPr>
              <w:t>年</w:t>
            </w:r>
            <w:r>
              <w:rPr>
                <w:rFonts w:hint="eastAsia" w:hAnsi="宋体"/>
                <w:highlight w:val="none"/>
                <w:lang w:val="en-US" w:eastAsia="zh-CN"/>
              </w:rPr>
              <w:t>4月24日</w:t>
            </w:r>
            <w:r>
              <w:rPr>
                <w:rFonts w:hint="eastAsia" w:hAnsi="宋体"/>
                <w:highlight w:val="none"/>
              </w:rPr>
              <w:t>—</w:t>
            </w:r>
            <w:r>
              <w:rPr>
                <w:rFonts w:hint="eastAsia" w:hAnsi="宋体"/>
                <w:highlight w:val="none"/>
                <w:lang w:val="en-US" w:eastAsia="zh-CN"/>
              </w:rPr>
              <w:t>4月30日</w:t>
            </w:r>
            <w:r>
              <w:rPr>
                <w:rFonts w:hint="eastAsia" w:hAnsi="宋体"/>
                <w:highlight w:val="none"/>
              </w:rPr>
              <w:t>止</w:t>
            </w:r>
          </w:p>
        </w:tc>
        <w:tc>
          <w:tcPr>
            <w:tcW w:w="3108" w:type="dxa"/>
            <w:vAlign w:val="center"/>
          </w:tcPr>
          <w:p>
            <w:pPr>
              <w:pStyle w:val="28"/>
              <w:rPr>
                <w:rFonts w:hint="eastAsia" w:hAnsi="宋体"/>
              </w:rPr>
            </w:pPr>
            <w:r>
              <w:rPr>
                <w:rFonts w:hint="eastAsia" w:hAnsi="宋体"/>
              </w:rPr>
              <w:t>龙岗区城投集团官方网站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26" w:type="dxa"/>
            <w:vAlign w:val="center"/>
          </w:tcPr>
          <w:p>
            <w:pPr>
              <w:pStyle w:val="28"/>
              <w:rPr>
                <w:rFonts w:hint="eastAsia" w:hAnsi="宋体"/>
              </w:rPr>
            </w:pPr>
            <w:r>
              <w:rPr>
                <w:rFonts w:hint="eastAsia" w:hAnsi="宋体"/>
              </w:rPr>
              <w:t>2</w:t>
            </w:r>
          </w:p>
        </w:tc>
        <w:tc>
          <w:tcPr>
            <w:tcW w:w="1534" w:type="dxa"/>
            <w:vAlign w:val="center"/>
          </w:tcPr>
          <w:p>
            <w:pPr>
              <w:pStyle w:val="28"/>
              <w:rPr>
                <w:rFonts w:hint="eastAsia" w:hAnsi="宋体"/>
              </w:rPr>
            </w:pPr>
            <w:r>
              <w:rPr>
                <w:rFonts w:hint="eastAsia" w:hAnsi="宋体"/>
                <w:lang w:eastAsia="zh-CN"/>
              </w:rPr>
              <w:t>公开招标（自主）</w:t>
            </w:r>
            <w:r>
              <w:rPr>
                <w:rFonts w:hint="eastAsia" w:hAnsi="宋体"/>
              </w:rPr>
              <w:t>上限价</w:t>
            </w:r>
          </w:p>
        </w:tc>
        <w:tc>
          <w:tcPr>
            <w:tcW w:w="3151" w:type="dxa"/>
            <w:vAlign w:val="center"/>
          </w:tcPr>
          <w:p>
            <w:pPr>
              <w:pStyle w:val="28"/>
              <w:rPr>
                <w:rFonts w:hint="eastAsia" w:hAnsi="宋体"/>
              </w:rPr>
            </w:pPr>
            <w:r>
              <w:rPr>
                <w:rFonts w:hint="eastAsia" w:ascii="宋体" w:hAnsi="宋体" w:eastAsia="宋体" w:cs="Times New Roman"/>
                <w:sz w:val="21"/>
                <w:szCs w:val="21"/>
                <w:lang w:val="en-US" w:eastAsia="zh-CN"/>
              </w:rPr>
              <w:t>下浮</w:t>
            </w:r>
            <w:r>
              <w:rPr>
                <w:rFonts w:hint="eastAsia" w:ascii="宋体" w:hAnsi="宋体" w:eastAsia="宋体" w:cs="Times New Roman"/>
                <w:b w:val="0"/>
                <w:bCs w:val="0"/>
                <w:sz w:val="21"/>
                <w:szCs w:val="21"/>
                <w:lang w:val="en-US" w:eastAsia="zh-CN"/>
              </w:rPr>
              <w:t>15%</w:t>
            </w:r>
            <w:r>
              <w:rPr>
                <w:rFonts w:hint="eastAsia" w:ascii="宋体" w:hAnsi="宋体" w:eastAsia="宋体" w:cs="Times New Roman"/>
                <w:sz w:val="21"/>
                <w:szCs w:val="21"/>
                <w:lang w:val="en-US" w:eastAsia="zh-CN"/>
              </w:rPr>
              <w:t>，投标上限价为</w:t>
            </w:r>
            <w:r>
              <w:rPr>
                <w:rFonts w:hint="eastAsia" w:ascii="宋体" w:hAnsi="宋体" w:eastAsia="宋体" w:cs="Times New Roman"/>
                <w:color w:val="auto"/>
              </w:rPr>
              <w:t>47.591</w:t>
            </w:r>
            <w:r>
              <w:rPr>
                <w:rFonts w:hint="eastAsia" w:ascii="宋体" w:hAnsi="宋体" w:eastAsia="宋体" w:cs="Times New Roman"/>
                <w:color w:val="auto"/>
                <w:lang w:eastAsia="zh-CN"/>
              </w:rPr>
              <w:t>8</w:t>
            </w:r>
            <w:r>
              <w:rPr>
                <w:rFonts w:hint="eastAsia" w:hAnsi="宋体"/>
              </w:rPr>
              <w:t>万元</w:t>
            </w:r>
          </w:p>
        </w:tc>
        <w:tc>
          <w:tcPr>
            <w:tcW w:w="3108" w:type="dxa"/>
            <w:vMerge w:val="restart"/>
            <w:vAlign w:val="center"/>
          </w:tcPr>
          <w:p>
            <w:pPr>
              <w:pStyle w:val="28"/>
              <w:rPr>
                <w:rFonts w:hint="eastAsia" w:hAnsi="宋体"/>
                <w:lang w:val="en-US" w:eastAsia="zh-CN"/>
              </w:rPr>
            </w:pPr>
            <w:r>
              <w:rPr>
                <w:rFonts w:hint="eastAsia" w:hAnsi="宋体"/>
                <w:color w:val="auto"/>
                <w:lang w:val="en-US" w:eastAsia="zh-CN"/>
              </w:rPr>
              <w:t>投标下浮率与报价金额不一致，以报价金额为准。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26" w:type="dxa"/>
            <w:vAlign w:val="center"/>
          </w:tcPr>
          <w:p>
            <w:pPr>
              <w:pStyle w:val="28"/>
              <w:rPr>
                <w:rFonts w:hint="eastAsia" w:hAnsi="宋体"/>
              </w:rPr>
            </w:pPr>
            <w:r>
              <w:rPr>
                <w:rFonts w:hint="eastAsia" w:hAnsi="宋体"/>
              </w:rPr>
              <w:t>3</w:t>
            </w:r>
          </w:p>
        </w:tc>
        <w:tc>
          <w:tcPr>
            <w:tcW w:w="1534" w:type="dxa"/>
            <w:vAlign w:val="center"/>
          </w:tcPr>
          <w:p>
            <w:pPr>
              <w:pStyle w:val="28"/>
              <w:rPr>
                <w:rFonts w:hint="eastAsia" w:hAnsi="宋体"/>
              </w:rPr>
            </w:pPr>
            <w:r>
              <w:rPr>
                <w:rFonts w:hint="eastAsia" w:hAnsi="宋体"/>
              </w:rPr>
              <w:t>投标报价要求</w:t>
            </w:r>
          </w:p>
        </w:tc>
        <w:tc>
          <w:tcPr>
            <w:tcW w:w="3151" w:type="dxa"/>
            <w:vAlign w:val="center"/>
          </w:tcPr>
          <w:p>
            <w:pPr>
              <w:pStyle w:val="28"/>
              <w:rPr>
                <w:rFonts w:hint="eastAsia" w:hAnsi="宋体"/>
              </w:rPr>
            </w:pPr>
            <w:r>
              <w:rPr>
                <w:rFonts w:hint="eastAsia" w:hAnsi="宋体"/>
                <w:lang w:val="en-US" w:eastAsia="zh-CN"/>
              </w:rPr>
              <w:t>自主报价</w:t>
            </w:r>
          </w:p>
        </w:tc>
        <w:tc>
          <w:tcPr>
            <w:tcW w:w="3108" w:type="dxa"/>
            <w:vMerge w:val="continue"/>
            <w:vAlign w:val="center"/>
          </w:tcPr>
          <w:p>
            <w:pPr>
              <w:pStyle w:val="28"/>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26" w:type="dxa"/>
            <w:vAlign w:val="center"/>
          </w:tcPr>
          <w:p>
            <w:pPr>
              <w:pStyle w:val="28"/>
              <w:rPr>
                <w:rFonts w:hint="eastAsia" w:hAnsi="宋体"/>
              </w:rPr>
            </w:pPr>
            <w:r>
              <w:rPr>
                <w:rFonts w:hint="eastAsia" w:hAnsi="宋体"/>
              </w:rPr>
              <w:t>4</w:t>
            </w:r>
          </w:p>
        </w:tc>
        <w:tc>
          <w:tcPr>
            <w:tcW w:w="1534" w:type="dxa"/>
            <w:vAlign w:val="center"/>
          </w:tcPr>
          <w:p>
            <w:pPr>
              <w:pStyle w:val="28"/>
              <w:rPr>
                <w:rFonts w:hint="eastAsia" w:hAnsi="宋体"/>
              </w:rPr>
            </w:pPr>
            <w:r>
              <w:rPr>
                <w:rFonts w:hint="eastAsia" w:hAnsi="宋体"/>
              </w:rPr>
              <w:t>工期要求</w:t>
            </w:r>
          </w:p>
        </w:tc>
        <w:tc>
          <w:tcPr>
            <w:tcW w:w="3151" w:type="dxa"/>
            <w:vAlign w:val="center"/>
          </w:tcPr>
          <w:p>
            <w:pPr>
              <w:pStyle w:val="28"/>
              <w:rPr>
                <w:rFonts w:hint="default" w:hAnsi="宋体"/>
              </w:rPr>
            </w:pPr>
            <w:r>
              <w:rPr>
                <w:rFonts w:hint="default" w:hAnsi="宋体"/>
              </w:rPr>
              <w:t>详细勘察外业：工程设计方案稳定后 20 日历天；内业及报告编制：外业完成后 10 日历天</w:t>
            </w:r>
            <w:r>
              <w:rPr>
                <w:rFonts w:hint="default" w:hAnsi="宋体"/>
                <w:lang w:eastAsia="zh-CN"/>
              </w:rPr>
              <w:t>；</w:t>
            </w:r>
            <w:r>
              <w:rPr>
                <w:rFonts w:hint="default" w:hAnsi="宋体"/>
              </w:rPr>
              <w:t>勘察及其他相关内容进度必须符合工程建设总体进度要求，满足工程建设需要。</w:t>
            </w:r>
          </w:p>
        </w:tc>
        <w:tc>
          <w:tcPr>
            <w:tcW w:w="3108" w:type="dxa"/>
            <w:vAlign w:val="center"/>
          </w:tcPr>
          <w:p>
            <w:pPr>
              <w:pStyle w:val="28"/>
              <w:rPr>
                <w:rFonts w:hint="default" w:hAnsi="宋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6" w:type="dxa"/>
            <w:vAlign w:val="center"/>
          </w:tcPr>
          <w:p>
            <w:pPr>
              <w:pStyle w:val="28"/>
              <w:rPr>
                <w:rFonts w:hint="eastAsia" w:hAnsi="宋体"/>
              </w:rPr>
            </w:pPr>
            <w:r>
              <w:rPr>
                <w:rFonts w:hint="eastAsia" w:hAnsi="宋体"/>
              </w:rPr>
              <w:t>5</w:t>
            </w:r>
          </w:p>
        </w:tc>
        <w:tc>
          <w:tcPr>
            <w:tcW w:w="1534" w:type="dxa"/>
            <w:vAlign w:val="center"/>
          </w:tcPr>
          <w:p>
            <w:pPr>
              <w:pStyle w:val="28"/>
              <w:rPr>
                <w:rFonts w:hint="eastAsia" w:hAnsi="宋体"/>
              </w:rPr>
            </w:pPr>
            <w:r>
              <w:rPr>
                <w:rFonts w:hint="eastAsia" w:hAnsi="宋体"/>
              </w:rPr>
              <w:t>递交投标文件截止时间</w:t>
            </w:r>
          </w:p>
        </w:tc>
        <w:tc>
          <w:tcPr>
            <w:tcW w:w="3151" w:type="dxa"/>
            <w:vAlign w:val="center"/>
          </w:tcPr>
          <w:p>
            <w:pPr>
              <w:pStyle w:val="28"/>
              <w:rPr>
                <w:rFonts w:hint="eastAsia" w:hAnsi="宋体"/>
                <w:highlight w:val="none"/>
              </w:rPr>
            </w:pPr>
            <w:r>
              <w:rPr>
                <w:rFonts w:hint="eastAsia" w:hAnsi="宋体"/>
                <w:highlight w:val="none"/>
              </w:rPr>
              <w:t>202</w:t>
            </w:r>
            <w:r>
              <w:rPr>
                <w:rFonts w:hint="eastAsia" w:hAnsi="宋体"/>
                <w:highlight w:val="none"/>
                <w:lang w:val="en-US" w:eastAsia="zh-CN"/>
              </w:rPr>
              <w:t>4</w:t>
            </w:r>
            <w:r>
              <w:rPr>
                <w:rFonts w:hint="eastAsia" w:hAnsi="宋体"/>
                <w:highlight w:val="none"/>
              </w:rPr>
              <w:t>年</w:t>
            </w:r>
            <w:r>
              <w:rPr>
                <w:rFonts w:hint="eastAsia" w:hAnsi="宋体"/>
                <w:highlight w:val="none"/>
                <w:lang w:val="en-US" w:eastAsia="zh-CN"/>
              </w:rPr>
              <w:t>4月30日</w:t>
            </w:r>
            <w:r>
              <w:rPr>
                <w:rFonts w:hint="eastAsia" w:hAnsi="宋体"/>
                <w:highlight w:val="none"/>
              </w:rPr>
              <w:t>下午15：00</w:t>
            </w:r>
          </w:p>
        </w:tc>
        <w:tc>
          <w:tcPr>
            <w:tcW w:w="3108" w:type="dxa"/>
            <w:vAlign w:val="center"/>
          </w:tcPr>
          <w:p>
            <w:pPr>
              <w:pStyle w:val="28"/>
              <w:rPr>
                <w:rFonts w:hint="eastAsia" w:hAnsi="宋体"/>
              </w:rPr>
            </w:pPr>
            <w:r>
              <w:rPr>
                <w:rFonts w:hint="eastAsia" w:hAnsi="宋体"/>
              </w:rPr>
              <w:t>地点：龙岗区中心城腾飞路创投大厦22楼</w:t>
            </w:r>
            <w:r>
              <w:rPr>
                <w:rFonts w:hint="eastAsia" w:hAnsi="宋体"/>
                <w:lang w:eastAsia="zh-CN"/>
              </w:rPr>
              <w:t>2210室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6" w:type="dxa"/>
            <w:vAlign w:val="center"/>
          </w:tcPr>
          <w:p>
            <w:pPr>
              <w:pStyle w:val="28"/>
              <w:rPr>
                <w:rFonts w:hint="eastAsia" w:hAnsi="宋体"/>
              </w:rPr>
            </w:pPr>
            <w:r>
              <w:rPr>
                <w:rFonts w:hint="eastAsia" w:hAnsi="宋体"/>
              </w:rPr>
              <w:t>6</w:t>
            </w:r>
          </w:p>
        </w:tc>
        <w:tc>
          <w:tcPr>
            <w:tcW w:w="1534" w:type="dxa"/>
            <w:vAlign w:val="center"/>
          </w:tcPr>
          <w:p>
            <w:pPr>
              <w:pStyle w:val="28"/>
              <w:rPr>
                <w:rFonts w:hint="eastAsia" w:hAnsi="宋体"/>
              </w:rPr>
            </w:pPr>
            <w:r>
              <w:rPr>
                <w:rFonts w:hint="eastAsia" w:hAnsi="宋体"/>
              </w:rPr>
              <w:t>开标时间</w:t>
            </w:r>
          </w:p>
        </w:tc>
        <w:tc>
          <w:tcPr>
            <w:tcW w:w="3151" w:type="dxa"/>
            <w:vAlign w:val="center"/>
          </w:tcPr>
          <w:p>
            <w:pPr>
              <w:pStyle w:val="28"/>
              <w:rPr>
                <w:rFonts w:hint="eastAsia" w:hAnsi="宋体"/>
                <w:highlight w:val="none"/>
              </w:rPr>
            </w:pPr>
            <w:r>
              <w:rPr>
                <w:rFonts w:hint="eastAsia" w:hAnsi="宋体"/>
                <w:highlight w:val="none"/>
              </w:rPr>
              <w:t>202</w:t>
            </w:r>
            <w:r>
              <w:rPr>
                <w:rFonts w:hint="eastAsia" w:hAnsi="宋体"/>
                <w:highlight w:val="none"/>
                <w:lang w:val="en-US" w:eastAsia="zh-CN"/>
              </w:rPr>
              <w:t>4</w:t>
            </w:r>
            <w:r>
              <w:rPr>
                <w:rFonts w:hint="eastAsia" w:hAnsi="宋体"/>
                <w:highlight w:val="none"/>
              </w:rPr>
              <w:t>年</w:t>
            </w:r>
            <w:r>
              <w:rPr>
                <w:rFonts w:hint="eastAsia" w:hAnsi="宋体"/>
                <w:highlight w:val="none"/>
                <w:lang w:val="en-US" w:eastAsia="zh-CN"/>
              </w:rPr>
              <w:t>4月30日</w:t>
            </w:r>
            <w:r>
              <w:rPr>
                <w:rFonts w:hint="eastAsia" w:hAnsi="宋体"/>
                <w:highlight w:val="none"/>
              </w:rPr>
              <w:t>下午15：00</w:t>
            </w:r>
          </w:p>
          <w:p>
            <w:pPr>
              <w:pStyle w:val="28"/>
              <w:rPr>
                <w:rFonts w:hint="eastAsia" w:hAnsi="宋体"/>
                <w:highlight w:val="none"/>
              </w:rPr>
            </w:pPr>
            <w:r>
              <w:rPr>
                <w:rFonts w:hint="eastAsia" w:hAnsi="宋体"/>
                <w:highlight w:val="none"/>
                <w:lang w:eastAsia="zh-CN"/>
              </w:rPr>
              <w:t>（</w:t>
            </w:r>
            <w:r>
              <w:rPr>
                <w:rFonts w:hint="eastAsia" w:hAnsi="宋体"/>
                <w:highlight w:val="none"/>
                <w:lang w:val="en-US" w:eastAsia="zh-CN"/>
              </w:rPr>
              <w:t>具体以招标人时间安排为准</w:t>
            </w:r>
            <w:r>
              <w:rPr>
                <w:rFonts w:hint="eastAsia" w:hAnsi="宋体"/>
                <w:highlight w:val="none"/>
                <w:lang w:eastAsia="zh-CN"/>
              </w:rPr>
              <w:t>）</w:t>
            </w:r>
            <w:r>
              <w:rPr>
                <w:rFonts w:hint="eastAsia" w:hAnsi="宋体"/>
                <w:highlight w:val="none"/>
              </w:rPr>
              <w:t xml:space="preserve"> </w:t>
            </w:r>
          </w:p>
        </w:tc>
        <w:tc>
          <w:tcPr>
            <w:tcW w:w="3108" w:type="dxa"/>
            <w:vAlign w:val="center"/>
          </w:tcPr>
          <w:p>
            <w:pPr>
              <w:pStyle w:val="28"/>
              <w:rPr>
                <w:rFonts w:hint="eastAsia" w:hAnsi="宋体"/>
              </w:rPr>
            </w:pPr>
            <w:r>
              <w:rPr>
                <w:rFonts w:hint="eastAsia" w:hAnsi="宋体"/>
              </w:rPr>
              <w:t>深圳市龙岗区城市建设投资集团有限公司会议室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26" w:type="dxa"/>
            <w:vAlign w:val="center"/>
          </w:tcPr>
          <w:p>
            <w:pPr>
              <w:pStyle w:val="28"/>
              <w:rPr>
                <w:rFonts w:hint="eastAsia" w:hAnsi="宋体"/>
              </w:rPr>
            </w:pPr>
            <w:r>
              <w:rPr>
                <w:rFonts w:hint="eastAsia" w:hAnsi="宋体"/>
              </w:rPr>
              <w:t>7</w:t>
            </w:r>
          </w:p>
        </w:tc>
        <w:tc>
          <w:tcPr>
            <w:tcW w:w="1534" w:type="dxa"/>
            <w:vAlign w:val="center"/>
          </w:tcPr>
          <w:p>
            <w:pPr>
              <w:pStyle w:val="28"/>
              <w:rPr>
                <w:rFonts w:hint="eastAsia" w:hAnsi="宋体"/>
              </w:rPr>
            </w:pPr>
            <w:r>
              <w:rPr>
                <w:rFonts w:hint="eastAsia" w:hAnsi="宋体"/>
              </w:rPr>
              <w:t>投标文件</w:t>
            </w:r>
          </w:p>
        </w:tc>
        <w:tc>
          <w:tcPr>
            <w:tcW w:w="3151" w:type="dxa"/>
            <w:vAlign w:val="center"/>
          </w:tcPr>
          <w:p>
            <w:pPr>
              <w:pStyle w:val="28"/>
              <w:rPr>
                <w:rFonts w:hint="eastAsia" w:hAnsi="宋体"/>
              </w:rPr>
            </w:pPr>
            <w:r>
              <w:rPr>
                <w:rFonts w:hint="eastAsia" w:hAnsi="宋体"/>
              </w:rPr>
              <w:t>一正</w:t>
            </w:r>
            <w:r>
              <w:rPr>
                <w:rFonts w:hint="eastAsia" w:hAnsi="宋体"/>
                <w:lang w:val="en-US" w:eastAsia="zh-CN"/>
              </w:rPr>
              <w:t>四</w:t>
            </w:r>
            <w:r>
              <w:rPr>
                <w:rFonts w:hint="eastAsia" w:hAnsi="宋体"/>
              </w:rPr>
              <w:t>副</w:t>
            </w:r>
          </w:p>
        </w:tc>
        <w:tc>
          <w:tcPr>
            <w:tcW w:w="3108" w:type="dxa"/>
            <w:vAlign w:val="center"/>
          </w:tcPr>
          <w:p>
            <w:pPr>
              <w:pStyle w:val="28"/>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26" w:type="dxa"/>
            <w:vAlign w:val="center"/>
          </w:tcPr>
          <w:p>
            <w:pPr>
              <w:pStyle w:val="28"/>
              <w:rPr>
                <w:rFonts w:hint="eastAsia" w:hAnsi="宋体"/>
              </w:rPr>
            </w:pPr>
            <w:r>
              <w:rPr>
                <w:rFonts w:hint="eastAsia" w:hAnsi="宋体"/>
              </w:rPr>
              <w:t>8</w:t>
            </w:r>
          </w:p>
        </w:tc>
        <w:tc>
          <w:tcPr>
            <w:tcW w:w="1534" w:type="dxa"/>
            <w:vAlign w:val="center"/>
          </w:tcPr>
          <w:p>
            <w:pPr>
              <w:pStyle w:val="28"/>
              <w:rPr>
                <w:rFonts w:hint="eastAsia" w:hAnsi="宋体"/>
              </w:rPr>
            </w:pPr>
            <w:r>
              <w:rPr>
                <w:rFonts w:hint="eastAsia" w:hAnsi="宋体"/>
              </w:rPr>
              <w:t>投标担保</w:t>
            </w:r>
          </w:p>
        </w:tc>
        <w:tc>
          <w:tcPr>
            <w:tcW w:w="3151" w:type="dxa"/>
            <w:vAlign w:val="center"/>
          </w:tcPr>
          <w:p>
            <w:pPr>
              <w:pStyle w:val="28"/>
              <w:rPr>
                <w:rFonts w:hint="eastAsia" w:hAnsi="宋体"/>
              </w:rPr>
            </w:pPr>
            <w:r>
              <w:rPr>
                <w:rFonts w:hint="eastAsia" w:hAnsi="宋体"/>
              </w:rPr>
              <w:t>不提供</w:t>
            </w:r>
          </w:p>
        </w:tc>
        <w:tc>
          <w:tcPr>
            <w:tcW w:w="3108" w:type="dxa"/>
            <w:vAlign w:val="center"/>
          </w:tcPr>
          <w:p>
            <w:pPr>
              <w:pStyle w:val="28"/>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6" w:type="dxa"/>
            <w:vAlign w:val="center"/>
          </w:tcPr>
          <w:p>
            <w:pPr>
              <w:pStyle w:val="28"/>
              <w:rPr>
                <w:rFonts w:hint="eastAsia" w:hAnsi="宋体"/>
              </w:rPr>
            </w:pPr>
            <w:r>
              <w:rPr>
                <w:rFonts w:hint="eastAsia" w:hAnsi="宋体"/>
              </w:rPr>
              <w:t>9</w:t>
            </w:r>
          </w:p>
        </w:tc>
        <w:tc>
          <w:tcPr>
            <w:tcW w:w="1534" w:type="dxa"/>
            <w:vAlign w:val="center"/>
          </w:tcPr>
          <w:p>
            <w:pPr>
              <w:pStyle w:val="28"/>
              <w:rPr>
                <w:rFonts w:hint="eastAsia" w:hAnsi="宋体"/>
              </w:rPr>
            </w:pPr>
            <w:r>
              <w:rPr>
                <w:rFonts w:hint="eastAsia" w:hAnsi="宋体"/>
              </w:rPr>
              <w:t>投标有效期</w:t>
            </w:r>
          </w:p>
        </w:tc>
        <w:tc>
          <w:tcPr>
            <w:tcW w:w="3151" w:type="dxa"/>
            <w:vAlign w:val="center"/>
          </w:tcPr>
          <w:p>
            <w:pPr>
              <w:pStyle w:val="28"/>
              <w:rPr>
                <w:rFonts w:hint="eastAsia" w:hAnsi="宋体"/>
              </w:rPr>
            </w:pPr>
            <w:r>
              <w:rPr>
                <w:rFonts w:hint="eastAsia" w:hAnsi="宋体"/>
              </w:rPr>
              <w:t>60天</w:t>
            </w:r>
          </w:p>
        </w:tc>
        <w:tc>
          <w:tcPr>
            <w:tcW w:w="3108" w:type="dxa"/>
            <w:vAlign w:val="center"/>
          </w:tcPr>
          <w:p>
            <w:pPr>
              <w:pStyle w:val="28"/>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726" w:type="dxa"/>
            <w:vAlign w:val="center"/>
          </w:tcPr>
          <w:p>
            <w:pPr>
              <w:pStyle w:val="28"/>
              <w:rPr>
                <w:rFonts w:hint="eastAsia" w:hAnsi="宋体"/>
              </w:rPr>
            </w:pPr>
            <w:r>
              <w:rPr>
                <w:rFonts w:hint="eastAsia" w:hAnsi="宋体"/>
              </w:rPr>
              <w:t>10</w:t>
            </w:r>
          </w:p>
        </w:tc>
        <w:tc>
          <w:tcPr>
            <w:tcW w:w="1534" w:type="dxa"/>
            <w:vAlign w:val="center"/>
          </w:tcPr>
          <w:p>
            <w:pPr>
              <w:pStyle w:val="28"/>
              <w:rPr>
                <w:rFonts w:hint="eastAsia" w:hAnsi="宋体"/>
              </w:rPr>
            </w:pPr>
            <w:r>
              <w:rPr>
                <w:rFonts w:hint="eastAsia" w:hAnsi="宋体"/>
              </w:rPr>
              <w:t>招标人</w:t>
            </w:r>
          </w:p>
          <w:p>
            <w:pPr>
              <w:pStyle w:val="28"/>
              <w:rPr>
                <w:rFonts w:hint="eastAsia" w:hAnsi="宋体"/>
              </w:rPr>
            </w:pPr>
          </w:p>
        </w:tc>
        <w:tc>
          <w:tcPr>
            <w:tcW w:w="3151" w:type="dxa"/>
            <w:vAlign w:val="center"/>
          </w:tcPr>
          <w:p>
            <w:pPr>
              <w:pStyle w:val="28"/>
              <w:rPr>
                <w:rFonts w:hint="eastAsia" w:hAnsi="宋体"/>
                <w:highlight w:val="none"/>
              </w:rPr>
            </w:pPr>
            <w:r>
              <w:rPr>
                <w:rFonts w:hint="eastAsia" w:hAnsi="宋体"/>
                <w:highlight w:val="none"/>
              </w:rPr>
              <w:t>联系单位：</w:t>
            </w:r>
            <w:r>
              <w:rPr>
                <w:rFonts w:hint="eastAsia" w:ascii="宋体" w:hAnsi="宋体" w:eastAsia="宋体"/>
                <w:b w:val="0"/>
                <w:color w:val="auto"/>
                <w:szCs w:val="21"/>
                <w:highlight w:val="none"/>
                <w:u w:val="none"/>
              </w:rPr>
              <w:t>深圳市龙岗区城投高新技术产业投资开发有限公司</w:t>
            </w:r>
          </w:p>
          <w:p>
            <w:pPr>
              <w:pStyle w:val="28"/>
              <w:rPr>
                <w:rFonts w:hint="eastAsia" w:hAnsi="宋体"/>
                <w:highlight w:val="none"/>
                <w:lang w:eastAsia="zh-CN"/>
              </w:rPr>
            </w:pPr>
            <w:r>
              <w:rPr>
                <w:rFonts w:hint="eastAsia" w:hAnsi="宋体"/>
                <w:highlight w:val="none"/>
              </w:rPr>
              <w:t>联系地址：龙岗区中心城腾飞路创投大厦</w:t>
            </w:r>
            <w:r>
              <w:rPr>
                <w:rFonts w:hint="eastAsia" w:hAnsi="宋体"/>
                <w:highlight w:val="none"/>
                <w:lang w:eastAsia="zh-CN"/>
              </w:rPr>
              <w:t>2210室</w:t>
            </w:r>
          </w:p>
          <w:p>
            <w:pPr>
              <w:pStyle w:val="28"/>
              <w:keepNext w:val="0"/>
              <w:keepLines w:val="0"/>
              <w:suppressLineNumbers w:val="0"/>
              <w:spacing w:before="0" w:beforeAutospacing="0" w:after="0" w:afterAutospacing="0"/>
              <w:ind w:left="0" w:right="0"/>
              <w:rPr>
                <w:rFonts w:hint="eastAsia" w:hAnsi="宋体"/>
                <w:highlight w:val="none"/>
              </w:rPr>
            </w:pPr>
            <w:r>
              <w:rPr>
                <w:rFonts w:hint="eastAsia" w:hAnsi="宋体"/>
                <w:highlight w:val="none"/>
              </w:rPr>
              <w:t>联 系 人：</w:t>
            </w:r>
            <w:r>
              <w:rPr>
                <w:rFonts w:hint="eastAsia" w:hAnsi="宋体"/>
                <w:highlight w:val="none"/>
                <w:lang w:val="en-US" w:eastAsia="zh-CN"/>
              </w:rPr>
              <w:t>陈</w:t>
            </w:r>
            <w:r>
              <w:rPr>
                <w:rFonts w:hint="eastAsia" w:hAnsi="宋体"/>
                <w:highlight w:val="none"/>
              </w:rPr>
              <w:t>工</w:t>
            </w:r>
          </w:p>
          <w:p>
            <w:pPr>
              <w:pStyle w:val="28"/>
              <w:rPr>
                <w:rFonts w:hint="eastAsia" w:hAnsi="宋体"/>
                <w:highlight w:val="none"/>
              </w:rPr>
            </w:pPr>
            <w:r>
              <w:rPr>
                <w:rFonts w:hint="eastAsia" w:hAnsi="宋体"/>
                <w:highlight w:val="none"/>
              </w:rPr>
              <w:t>联系电话：0755-28504276</w:t>
            </w:r>
          </w:p>
        </w:tc>
        <w:tc>
          <w:tcPr>
            <w:tcW w:w="3108" w:type="dxa"/>
            <w:vAlign w:val="center"/>
          </w:tcPr>
          <w:p>
            <w:pPr>
              <w:pStyle w:val="28"/>
              <w:rPr>
                <w:rFonts w:hint="eastAsia" w:hAnsi="宋体"/>
              </w:rPr>
            </w:pPr>
          </w:p>
        </w:tc>
      </w:tr>
    </w:tbl>
    <w:p>
      <w:r>
        <w:br w:type="page"/>
      </w:r>
    </w:p>
    <w:p>
      <w:pPr>
        <w:spacing w:line="360" w:lineRule="auto"/>
        <w:jc w:val="center"/>
        <w:outlineLvl w:val="2"/>
        <w:rPr>
          <w:rFonts w:ascii="宋体" w:hAnsi="宋体"/>
          <w:b/>
          <w:snapToGrid w:val="0"/>
          <w:kern w:val="0"/>
          <w:sz w:val="32"/>
          <w:szCs w:val="32"/>
        </w:rPr>
      </w:pPr>
      <w:bookmarkStart w:id="3" w:name="_Toc509669686"/>
      <w:r>
        <w:rPr>
          <w:rFonts w:hint="eastAsia" w:ascii="宋体" w:hAnsi="宋体"/>
          <w:b/>
          <w:snapToGrid w:val="0"/>
          <w:kern w:val="0"/>
          <w:sz w:val="32"/>
          <w:szCs w:val="32"/>
        </w:rPr>
        <w:t>一、总  则</w:t>
      </w:r>
      <w:bookmarkEnd w:id="3"/>
    </w:p>
    <w:p>
      <w:pPr>
        <w:spacing w:line="520" w:lineRule="exact"/>
        <w:ind w:firstLine="422" w:firstLineChars="200"/>
        <w:rPr>
          <w:rFonts w:ascii="宋体" w:hAnsi="宋体"/>
          <w:b/>
          <w:snapToGrid w:val="0"/>
          <w:kern w:val="0"/>
          <w:szCs w:val="21"/>
        </w:rPr>
      </w:pPr>
      <w:r>
        <w:rPr>
          <w:rFonts w:hint="eastAsia" w:ascii="宋体" w:hAnsi="宋体"/>
          <w:b/>
          <w:snapToGrid w:val="0"/>
          <w:kern w:val="0"/>
          <w:szCs w:val="21"/>
        </w:rPr>
        <w:t>1.项目概况</w:t>
      </w:r>
    </w:p>
    <w:p>
      <w:pPr>
        <w:spacing w:line="360" w:lineRule="auto"/>
        <w:ind w:firstLine="420" w:firstLineChars="200"/>
        <w:jc w:val="left"/>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根据《中华人民共和国招标投标法》等有关法律、法规、规章和规范性文件的规定，本</w:t>
      </w:r>
      <w:r>
        <w:rPr>
          <w:rFonts w:hint="eastAsia" w:ascii="宋体" w:hAnsi="宋体" w:cs="Times New Roman"/>
          <w:snapToGrid w:val="0"/>
          <w:kern w:val="0"/>
          <w:szCs w:val="21"/>
          <w:lang w:eastAsia="zh-CN"/>
        </w:rPr>
        <w:t>公开招标（自主）</w:t>
      </w:r>
      <w:r>
        <w:rPr>
          <w:rFonts w:hint="eastAsia" w:ascii="宋体" w:hAnsi="宋体" w:eastAsia="宋体" w:cs="Times New Roman"/>
          <w:snapToGrid w:val="0"/>
          <w:kern w:val="0"/>
          <w:szCs w:val="21"/>
        </w:rPr>
        <w:t>项目已具备</w:t>
      </w:r>
      <w:r>
        <w:rPr>
          <w:rFonts w:hint="eastAsia" w:ascii="宋体" w:hAnsi="宋体" w:cs="Times New Roman"/>
          <w:snapToGrid w:val="0"/>
          <w:kern w:val="0"/>
          <w:szCs w:val="21"/>
          <w:lang w:eastAsia="zh-CN"/>
        </w:rPr>
        <w:t>公开招标（自主）</w:t>
      </w:r>
      <w:r>
        <w:rPr>
          <w:rFonts w:hint="eastAsia" w:ascii="宋体" w:hAnsi="宋体" w:eastAsia="宋体" w:cs="Times New Roman"/>
          <w:snapToGrid w:val="0"/>
          <w:kern w:val="0"/>
          <w:szCs w:val="21"/>
        </w:rPr>
        <w:t>条件，现进行</w:t>
      </w:r>
      <w:r>
        <w:rPr>
          <w:rFonts w:hint="eastAsia" w:ascii="宋体" w:hAnsi="宋体" w:cs="Times New Roman"/>
          <w:snapToGrid w:val="0"/>
          <w:kern w:val="0"/>
          <w:szCs w:val="21"/>
          <w:lang w:eastAsia="zh-CN"/>
        </w:rPr>
        <w:t>公开招标（自主）</w:t>
      </w:r>
      <w:r>
        <w:rPr>
          <w:rFonts w:hint="eastAsia" w:ascii="宋体" w:hAnsi="宋体" w:eastAsia="宋体" w:cs="Times New Roman"/>
          <w:snapToGrid w:val="0"/>
          <w:kern w:val="0"/>
          <w:szCs w:val="21"/>
        </w:rPr>
        <w:t>。</w:t>
      </w:r>
    </w:p>
    <w:p>
      <w:pPr>
        <w:spacing w:line="360" w:lineRule="auto"/>
        <w:ind w:firstLine="420" w:firstLineChars="200"/>
        <w:jc w:val="left"/>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1.1招标人：</w:t>
      </w:r>
      <w:r>
        <w:rPr>
          <w:rFonts w:hint="eastAsia" w:ascii="宋体" w:hAnsi="宋体" w:eastAsia="宋体"/>
          <w:b w:val="0"/>
          <w:snapToGrid w:val="0"/>
          <w:color w:val="auto"/>
          <w:kern w:val="0"/>
          <w:szCs w:val="21"/>
          <w:highlight w:val="none"/>
          <w:u w:val="none"/>
        </w:rPr>
        <w:t>深圳市龙岗区城投高新技术产业投资开发有限公司</w:t>
      </w:r>
      <w:r>
        <w:rPr>
          <w:rFonts w:hint="eastAsia" w:ascii="宋体" w:hAnsi="宋体" w:eastAsia="宋体" w:cs="Times New Roman"/>
          <w:snapToGrid w:val="0"/>
          <w:kern w:val="0"/>
          <w:szCs w:val="21"/>
        </w:rPr>
        <w:t>。</w:t>
      </w:r>
    </w:p>
    <w:p>
      <w:pPr>
        <w:spacing w:line="360" w:lineRule="auto"/>
        <w:ind w:firstLine="420" w:firstLineChars="200"/>
        <w:jc w:val="left"/>
        <w:rPr>
          <w:rFonts w:hint="eastAsia" w:ascii="宋体" w:hAnsi="宋体" w:eastAsia="宋体" w:cs="Times New Roman"/>
          <w:b w:val="0"/>
          <w:snapToGrid w:val="0"/>
          <w:kern w:val="0"/>
          <w:sz w:val="21"/>
          <w:szCs w:val="21"/>
          <w:lang w:val="en-US" w:eastAsia="zh-CN"/>
        </w:rPr>
      </w:pPr>
      <w:r>
        <w:rPr>
          <w:rFonts w:hint="eastAsia" w:ascii="宋体" w:hAnsi="宋体" w:eastAsia="宋体" w:cs="Times New Roman"/>
          <w:snapToGrid w:val="0"/>
          <w:kern w:val="0"/>
          <w:szCs w:val="21"/>
        </w:rPr>
        <w:t>1.2</w:t>
      </w:r>
      <w:r>
        <w:rPr>
          <w:rFonts w:hint="eastAsia" w:ascii="宋体" w:hAnsi="宋体" w:cs="Times New Roman"/>
          <w:snapToGrid w:val="0"/>
          <w:kern w:val="0"/>
          <w:szCs w:val="21"/>
          <w:lang w:eastAsia="zh-CN"/>
        </w:rPr>
        <w:t>公开招标（自主）</w:t>
      </w:r>
      <w:r>
        <w:rPr>
          <w:rFonts w:hint="eastAsia" w:ascii="宋体" w:hAnsi="宋体" w:eastAsia="宋体" w:cs="Times New Roman"/>
          <w:snapToGrid w:val="0"/>
          <w:kern w:val="0"/>
          <w:szCs w:val="21"/>
        </w:rPr>
        <w:t>工程名称：</w:t>
      </w:r>
      <w:r>
        <w:rPr>
          <w:rFonts w:hint="eastAsia" w:ascii="宋体" w:hAnsi="宋体" w:eastAsia="宋体" w:cs="Times New Roman"/>
          <w:snapToGrid w:val="0"/>
          <w:kern w:val="0"/>
          <w:szCs w:val="21"/>
          <w:lang w:val="en-US" w:eastAsia="zh-CN"/>
        </w:rPr>
        <w:t>深圳工业软件园配套道路及排洪渠迁改工程</w:t>
      </w:r>
      <w:r>
        <w:rPr>
          <w:rFonts w:hint="eastAsia" w:ascii="宋体" w:hAnsi="宋体" w:cs="Times New Roman"/>
          <w:b w:val="0"/>
          <w:snapToGrid w:val="0"/>
          <w:kern w:val="0"/>
          <w:sz w:val="21"/>
          <w:szCs w:val="21"/>
          <w:lang w:val="en-US" w:eastAsia="zh-CN"/>
        </w:rPr>
        <w:t>勘察</w:t>
      </w:r>
      <w:r>
        <w:rPr>
          <w:rFonts w:hint="eastAsia" w:ascii="宋体" w:hAnsi="宋体" w:eastAsia="宋体" w:cs="Times New Roman"/>
          <w:b w:val="0"/>
          <w:snapToGrid w:val="0"/>
          <w:kern w:val="0"/>
          <w:sz w:val="21"/>
          <w:szCs w:val="21"/>
          <w:lang w:val="en-US" w:eastAsia="zh-CN"/>
        </w:rPr>
        <w:t>。</w:t>
      </w:r>
    </w:p>
    <w:p>
      <w:pPr>
        <w:spacing w:line="360" w:lineRule="auto"/>
        <w:ind w:firstLine="420" w:firstLineChars="200"/>
        <w:jc w:val="left"/>
        <w:rPr>
          <w:rFonts w:hint="eastAsia" w:ascii="宋体" w:hAnsi="宋体" w:eastAsia="宋体" w:cs="Times New Roman"/>
          <w:snapToGrid w:val="0"/>
          <w:kern w:val="0"/>
          <w:szCs w:val="21"/>
        </w:rPr>
      </w:pPr>
      <w:r>
        <w:rPr>
          <w:rFonts w:hint="eastAsia" w:ascii="宋体" w:hAnsi="宋体" w:eastAsia="宋体" w:cs="Times New Roman"/>
          <w:snapToGrid w:val="0"/>
          <w:kern w:val="0"/>
          <w:szCs w:val="21"/>
        </w:rPr>
        <w:t>1.3</w:t>
      </w:r>
      <w:r>
        <w:rPr>
          <w:rFonts w:hint="eastAsia" w:ascii="宋体" w:hAnsi="宋体" w:cs="Times New Roman"/>
          <w:snapToGrid w:val="0"/>
          <w:kern w:val="0"/>
          <w:szCs w:val="21"/>
          <w:lang w:eastAsia="zh-CN"/>
        </w:rPr>
        <w:t>公开招标（自主）</w:t>
      </w:r>
      <w:r>
        <w:rPr>
          <w:rFonts w:hint="eastAsia" w:ascii="宋体" w:hAnsi="宋体" w:eastAsia="宋体" w:cs="Times New Roman"/>
          <w:snapToGrid w:val="0"/>
          <w:kern w:val="0"/>
          <w:szCs w:val="21"/>
        </w:rPr>
        <w:t>工程地点：位于深圳市龙岗区坂田街道北部，地处坂澜大道与坂李大道交界处。</w:t>
      </w:r>
    </w:p>
    <w:p>
      <w:pPr>
        <w:spacing w:line="360" w:lineRule="auto"/>
        <w:ind w:firstLine="420" w:firstLineChars="200"/>
        <w:jc w:val="left"/>
        <w:rPr>
          <w:rFonts w:hint="eastAsia" w:ascii="宋体" w:hAnsi="宋体"/>
          <w:szCs w:val="21"/>
          <w:highlight w:val="none"/>
          <w:u w:val="none"/>
          <w:lang w:val="en-US" w:eastAsia="zh-CN"/>
        </w:rPr>
      </w:pPr>
      <w:r>
        <w:rPr>
          <w:rFonts w:hint="eastAsia" w:ascii="宋体" w:hAnsi="宋体" w:eastAsia="宋体" w:cs="Times New Roman"/>
          <w:snapToGrid w:val="0"/>
          <w:kern w:val="0"/>
          <w:szCs w:val="21"/>
        </w:rPr>
        <w:t>1.4工程规模：</w:t>
      </w:r>
      <w:r>
        <w:rPr>
          <w:rFonts w:hint="eastAsia" w:ascii="宋体" w:hAnsi="宋体"/>
          <w:szCs w:val="21"/>
          <w:highlight w:val="none"/>
          <w:u w:val="none"/>
        </w:rPr>
        <w:t>建设内容包括：①新建规划支路1，道路长度约154m，设计时速为20km/h，规划红线宽度为16m，设置为双向3车道。②新建规划支路2，道路长度约85m，设计时速为20km/h，规划红线宽度为16m，设置为双向2车道。③将园区现状排洪渠进行迁改，沿坂澜大道至规划支路1新建DN1500雨水管200m，沿规划支路1新建145m长DN1600雨水管绕北侧公园排至规划支路2，沿规划支路2、规划三路新建285m长3000x2000雨水箱涵，最终排至现状3000x2000 雨水箱涵。</w:t>
      </w:r>
    </w:p>
    <w:p>
      <w:pPr>
        <w:spacing w:line="360" w:lineRule="auto"/>
        <w:ind w:firstLine="420" w:firstLineChars="200"/>
        <w:jc w:val="left"/>
        <w:rPr>
          <w:rFonts w:hint="eastAsia" w:ascii="宋体" w:hAnsi="宋体" w:eastAsia="宋体" w:cs="Times New Roman"/>
          <w:snapToGrid w:val="0"/>
          <w:kern w:val="0"/>
          <w:sz w:val="21"/>
          <w:szCs w:val="21"/>
        </w:rPr>
      </w:pPr>
      <w:r>
        <w:rPr>
          <w:rFonts w:hint="eastAsia" w:ascii="宋体" w:hAnsi="宋体" w:eastAsia="宋体" w:cs="Times New Roman"/>
          <w:snapToGrid w:val="0"/>
          <w:kern w:val="0"/>
          <w:szCs w:val="21"/>
        </w:rPr>
        <w:t>1.5工作范围：</w:t>
      </w:r>
      <w:r>
        <w:rPr>
          <w:rFonts w:hint="eastAsia" w:ascii="宋体" w:hAnsi="宋体" w:eastAsia="宋体" w:cs="Times New Roman"/>
          <w:snapToGrid w:val="0"/>
          <w:kern w:val="0"/>
          <w:szCs w:val="21"/>
          <w:lang w:eastAsia="zh-CN"/>
        </w:rPr>
        <w:t>深圳工业软件园配套道路及排洪渠迁改工程</w:t>
      </w:r>
      <w:r>
        <w:rPr>
          <w:rFonts w:hint="eastAsia" w:ascii="宋体" w:hAnsi="宋体" w:eastAsia="宋体" w:cs="Times New Roman"/>
          <w:snapToGrid w:val="0"/>
          <w:kern w:val="0"/>
          <w:szCs w:val="21"/>
        </w:rPr>
        <w:t>勘察</w:t>
      </w:r>
      <w:r>
        <w:rPr>
          <w:rFonts w:hint="eastAsia" w:ascii="宋体" w:hAnsi="宋体" w:eastAsia="宋体" w:cs="Times New Roman"/>
          <w:snapToGrid w:val="0"/>
          <w:kern w:val="0"/>
          <w:szCs w:val="21"/>
          <w:lang w:val="en-US" w:eastAsia="zh-CN"/>
        </w:rPr>
        <w:t>工作及地质灾害危险性评估工作</w:t>
      </w:r>
      <w:r>
        <w:rPr>
          <w:rFonts w:hint="eastAsia" w:ascii="宋体" w:hAnsi="宋体" w:eastAsia="宋体" w:cs="Times New Roman"/>
          <w:snapToGrid w:val="0"/>
          <w:kern w:val="0"/>
          <w:szCs w:val="21"/>
        </w:rPr>
        <w:t>，勘察及其他相关内容进度必须符合工程建设总体进度要求，满足工程建设需要。</w:t>
      </w:r>
    </w:p>
    <w:p>
      <w:pPr>
        <w:spacing w:line="520" w:lineRule="exact"/>
        <w:ind w:firstLine="422" w:firstLineChars="200"/>
        <w:jc w:val="left"/>
        <w:rPr>
          <w:rFonts w:hint="eastAsia" w:ascii="宋体" w:hAnsi="宋体" w:eastAsia="宋体" w:cs="Times New Roman"/>
          <w:b/>
          <w:snapToGrid w:val="0"/>
          <w:kern w:val="0"/>
          <w:szCs w:val="21"/>
          <w:lang w:eastAsia="zh-CN"/>
        </w:rPr>
      </w:pPr>
      <w:r>
        <w:rPr>
          <w:rFonts w:hint="eastAsia" w:ascii="宋体" w:hAnsi="宋体" w:eastAsia="宋体" w:cs="Times New Roman"/>
          <w:b/>
          <w:snapToGrid w:val="0"/>
          <w:kern w:val="0"/>
          <w:szCs w:val="21"/>
          <w:lang w:val="en-US" w:eastAsia="zh-CN"/>
        </w:rPr>
        <w:t>2.</w:t>
      </w:r>
      <w:r>
        <w:rPr>
          <w:rFonts w:hint="eastAsia" w:ascii="宋体" w:hAnsi="宋体" w:eastAsia="宋体" w:cs="Times New Roman"/>
          <w:b/>
          <w:snapToGrid w:val="0"/>
          <w:kern w:val="0"/>
          <w:szCs w:val="21"/>
        </w:rPr>
        <w:t>投标人资格要求</w:t>
      </w:r>
    </w:p>
    <w:p>
      <w:pPr>
        <w:pStyle w:val="114"/>
        <w:tabs>
          <w:tab w:val="left" w:pos="426"/>
          <w:tab w:val="left" w:pos="567"/>
        </w:tabs>
        <w:spacing w:line="540" w:lineRule="exact"/>
        <w:ind w:firstLine="560"/>
        <w:rPr>
          <w:rFonts w:hint="eastAsia" w:ascii="宋体" w:hAnsi="宋体" w:eastAsia="宋体" w:cs="Times New Roman"/>
          <w:snapToGrid w:val="0"/>
          <w:kern w:val="0"/>
          <w:sz w:val="21"/>
          <w:szCs w:val="21"/>
          <w:lang w:val="en-US" w:eastAsia="zh-CN"/>
        </w:rPr>
      </w:pPr>
      <w:r>
        <w:rPr>
          <w:rFonts w:hint="eastAsia" w:ascii="宋体" w:hAnsi="宋体" w:eastAsia="宋体" w:cs="Times New Roman"/>
          <w:snapToGrid w:val="0"/>
          <w:kern w:val="0"/>
          <w:sz w:val="21"/>
          <w:szCs w:val="21"/>
          <w:lang w:eastAsia="zh-CN"/>
        </w:rPr>
        <w:t>（1）</w:t>
      </w:r>
      <w:r>
        <w:rPr>
          <w:rFonts w:hint="eastAsia" w:ascii="宋体" w:hAnsi="宋体" w:eastAsia="宋体" w:cs="Times New Roman"/>
          <w:snapToGrid w:val="0"/>
          <w:kern w:val="0"/>
          <w:sz w:val="21"/>
          <w:szCs w:val="21"/>
          <w:lang w:val="en-US" w:eastAsia="zh-CN"/>
        </w:rPr>
        <w:t>企业资质要求：具有工程勘察专业类（岩土工程勘察）甲级及以上资质。</w:t>
      </w:r>
    </w:p>
    <w:p>
      <w:pPr>
        <w:pStyle w:val="114"/>
        <w:tabs>
          <w:tab w:val="left" w:pos="426"/>
          <w:tab w:val="left" w:pos="567"/>
        </w:tabs>
        <w:spacing w:line="540" w:lineRule="exact"/>
        <w:ind w:firstLine="560"/>
        <w:rPr>
          <w:rFonts w:hint="eastAsia" w:ascii="宋体" w:hAnsi="宋体" w:eastAsia="宋体" w:cs="Times New Roman"/>
          <w:snapToGrid w:val="0"/>
          <w:kern w:val="0"/>
          <w:sz w:val="21"/>
          <w:szCs w:val="21"/>
        </w:rPr>
      </w:pPr>
      <w:r>
        <w:rPr>
          <w:rFonts w:hint="eastAsia" w:ascii="宋体" w:hAnsi="宋体" w:eastAsia="宋体" w:cs="Times New Roman"/>
          <w:snapToGrid w:val="0"/>
          <w:kern w:val="0"/>
          <w:sz w:val="21"/>
          <w:szCs w:val="21"/>
          <w:lang w:eastAsia="zh-CN"/>
        </w:rPr>
        <w:t>（</w:t>
      </w:r>
      <w:r>
        <w:rPr>
          <w:rFonts w:hint="eastAsia" w:ascii="宋体" w:hAnsi="宋体" w:eastAsia="宋体" w:cs="Times New Roman"/>
          <w:snapToGrid w:val="0"/>
          <w:kern w:val="0"/>
          <w:sz w:val="21"/>
          <w:szCs w:val="21"/>
        </w:rPr>
        <w:t>2）</w:t>
      </w:r>
      <w:r>
        <w:rPr>
          <w:rFonts w:hint="eastAsia" w:ascii="宋体" w:hAnsi="宋体" w:eastAsia="宋体" w:cs="Times New Roman"/>
          <w:snapToGrid w:val="0"/>
          <w:kern w:val="0"/>
          <w:sz w:val="21"/>
          <w:szCs w:val="21"/>
          <w:lang w:val="en-US" w:eastAsia="zh-CN"/>
        </w:rPr>
        <w:t>项目负责人资格要求：注册岩土工程师执业资格。</w:t>
      </w:r>
    </w:p>
    <w:p>
      <w:pPr>
        <w:pStyle w:val="114"/>
        <w:tabs>
          <w:tab w:val="left" w:pos="426"/>
          <w:tab w:val="left" w:pos="567"/>
        </w:tabs>
        <w:spacing w:line="540" w:lineRule="exact"/>
        <w:ind w:firstLine="560"/>
        <w:rPr>
          <w:rFonts w:hint="eastAsia" w:ascii="宋体" w:hAnsi="宋体" w:eastAsia="宋体" w:cs="Times New Roman"/>
          <w:snapToGrid w:val="0"/>
          <w:kern w:val="0"/>
          <w:sz w:val="21"/>
          <w:szCs w:val="21"/>
        </w:rPr>
      </w:pPr>
      <w:r>
        <w:rPr>
          <w:rFonts w:hint="eastAsia" w:ascii="宋体" w:hAnsi="宋体" w:eastAsia="宋体" w:cs="Times New Roman"/>
          <w:snapToGrid w:val="0"/>
          <w:kern w:val="0"/>
          <w:sz w:val="21"/>
          <w:szCs w:val="21"/>
          <w:lang w:eastAsia="zh-CN"/>
        </w:rPr>
        <w:t>（</w:t>
      </w:r>
      <w:r>
        <w:rPr>
          <w:rFonts w:hint="eastAsia" w:ascii="宋体" w:hAnsi="宋体" w:eastAsia="宋体" w:cs="Times New Roman"/>
          <w:snapToGrid w:val="0"/>
          <w:kern w:val="0"/>
          <w:sz w:val="21"/>
          <w:szCs w:val="21"/>
          <w:lang w:val="en-US" w:eastAsia="zh-CN"/>
        </w:rPr>
        <w:t>3</w:t>
      </w:r>
      <w:r>
        <w:rPr>
          <w:rFonts w:hint="eastAsia" w:ascii="宋体" w:hAnsi="宋体" w:eastAsia="宋体" w:cs="Times New Roman"/>
          <w:snapToGrid w:val="0"/>
          <w:kern w:val="0"/>
          <w:sz w:val="21"/>
          <w:szCs w:val="21"/>
          <w:lang w:eastAsia="zh-CN"/>
        </w:rPr>
        <w:t>）</w:t>
      </w:r>
      <w:r>
        <w:rPr>
          <w:rFonts w:hint="eastAsia" w:ascii="宋体" w:hAnsi="宋体" w:eastAsia="宋体" w:cs="Times New Roman"/>
          <w:snapToGrid w:val="0"/>
          <w:kern w:val="0"/>
          <w:sz w:val="21"/>
          <w:szCs w:val="21"/>
        </w:rPr>
        <w:t>本工程不接受联合体投标。</w:t>
      </w:r>
    </w:p>
    <w:p>
      <w:pPr>
        <w:spacing w:line="520" w:lineRule="exact"/>
        <w:ind w:firstLine="422" w:firstLineChars="200"/>
        <w:jc w:val="left"/>
        <w:rPr>
          <w:rFonts w:ascii="宋体" w:hAnsi="宋体"/>
          <w:b/>
          <w:snapToGrid w:val="0"/>
          <w:kern w:val="0"/>
          <w:szCs w:val="21"/>
        </w:rPr>
      </w:pPr>
      <w:r>
        <w:rPr>
          <w:rFonts w:hint="eastAsia" w:ascii="宋体" w:hAnsi="宋体"/>
          <w:b/>
          <w:snapToGrid w:val="0"/>
          <w:kern w:val="0"/>
          <w:szCs w:val="21"/>
        </w:rPr>
        <w:t>3.投标费用</w:t>
      </w:r>
    </w:p>
    <w:p>
      <w:pPr>
        <w:spacing w:line="360" w:lineRule="auto"/>
        <w:ind w:firstLine="420" w:firstLineChars="200"/>
        <w:jc w:val="left"/>
        <w:rPr>
          <w:rFonts w:hint="eastAsia" w:ascii="宋体" w:hAnsi="宋体"/>
          <w:snapToGrid w:val="0"/>
          <w:kern w:val="0"/>
          <w:szCs w:val="21"/>
        </w:rPr>
      </w:pPr>
      <w:r>
        <w:rPr>
          <w:rFonts w:hint="eastAsia" w:ascii="宋体" w:hAnsi="宋体"/>
          <w:snapToGrid w:val="0"/>
          <w:kern w:val="0"/>
          <w:szCs w:val="21"/>
        </w:rPr>
        <w:t>投标人应自行承担所有准备及参加投标相关的费用。不论投标的结果如何，招标人均</w:t>
      </w:r>
      <w:r>
        <w:rPr>
          <w:rFonts w:hint="eastAsia" w:ascii="宋体" w:hAnsi="宋体"/>
          <w:snapToGrid w:val="0"/>
          <w:kern w:val="0"/>
          <w:szCs w:val="21"/>
          <w:lang w:val="en-US" w:eastAsia="zh-CN"/>
        </w:rPr>
        <w:t>无</w:t>
      </w:r>
      <w:r>
        <w:rPr>
          <w:rFonts w:hint="eastAsia" w:ascii="宋体" w:hAnsi="宋体"/>
          <w:snapToGrid w:val="0"/>
          <w:kern w:val="0"/>
          <w:szCs w:val="21"/>
        </w:rPr>
        <w:t>承担</w:t>
      </w:r>
      <w:r>
        <w:rPr>
          <w:rFonts w:hint="eastAsia" w:ascii="宋体" w:hAnsi="宋体"/>
          <w:snapToGrid w:val="0"/>
          <w:kern w:val="0"/>
          <w:szCs w:val="21"/>
          <w:lang w:val="en-US" w:eastAsia="zh-CN"/>
        </w:rPr>
        <w:t>相应</w:t>
      </w:r>
      <w:r>
        <w:rPr>
          <w:rFonts w:hint="eastAsia" w:ascii="宋体" w:hAnsi="宋体"/>
          <w:snapToGrid w:val="0"/>
          <w:kern w:val="0"/>
          <w:szCs w:val="21"/>
        </w:rPr>
        <w:t>的义务和责任。</w:t>
      </w:r>
    </w:p>
    <w:p>
      <w:pPr>
        <w:spacing w:line="520" w:lineRule="exact"/>
        <w:ind w:firstLine="422" w:firstLineChars="200"/>
        <w:jc w:val="left"/>
        <w:rPr>
          <w:rFonts w:ascii="宋体" w:hAnsi="宋体"/>
          <w:b/>
          <w:snapToGrid w:val="0"/>
          <w:kern w:val="0"/>
          <w:szCs w:val="21"/>
        </w:rPr>
      </w:pPr>
      <w:r>
        <w:rPr>
          <w:rFonts w:hint="eastAsia" w:ascii="宋体" w:hAnsi="宋体"/>
          <w:b/>
          <w:snapToGrid w:val="0"/>
          <w:kern w:val="0"/>
          <w:szCs w:val="21"/>
        </w:rPr>
        <w:t>4.踏勘现场</w:t>
      </w:r>
    </w:p>
    <w:p>
      <w:pPr>
        <w:spacing w:line="360" w:lineRule="auto"/>
        <w:ind w:firstLine="420" w:firstLineChars="200"/>
        <w:jc w:val="left"/>
        <w:rPr>
          <w:rFonts w:hint="eastAsia" w:ascii="宋体" w:hAnsi="宋体"/>
          <w:snapToGrid w:val="0"/>
          <w:kern w:val="0"/>
          <w:szCs w:val="21"/>
          <w:highlight w:val="none"/>
        </w:rPr>
      </w:pPr>
      <w:r>
        <w:rPr>
          <w:rFonts w:ascii="宋体" w:hAnsi="宋体"/>
          <w:snapToGrid w:val="0"/>
          <w:kern w:val="0"/>
          <w:szCs w:val="21"/>
          <w:highlight w:val="none"/>
        </w:rPr>
        <w:t>本项目不组织现场踏</w:t>
      </w:r>
      <w:r>
        <w:rPr>
          <w:rFonts w:hint="eastAsia" w:ascii="宋体" w:hAnsi="宋体"/>
          <w:snapToGrid w:val="0"/>
          <w:kern w:val="0"/>
          <w:szCs w:val="21"/>
          <w:highlight w:val="none"/>
        </w:rPr>
        <w:t>勘。</w:t>
      </w:r>
    </w:p>
    <w:p>
      <w:pPr>
        <w:spacing w:line="240" w:lineRule="auto"/>
        <w:ind w:firstLine="0" w:firstLineChars="0"/>
        <w:jc w:val="left"/>
        <w:rPr>
          <w:rFonts w:hint="eastAsia" w:ascii="宋体" w:hAnsi="宋体"/>
          <w:snapToGrid w:val="0"/>
          <w:kern w:val="0"/>
          <w:szCs w:val="21"/>
        </w:rPr>
      </w:pPr>
      <w:r>
        <w:rPr>
          <w:rFonts w:hint="eastAsia" w:ascii="宋体" w:hAnsi="宋体"/>
          <w:snapToGrid w:val="0"/>
          <w:kern w:val="0"/>
          <w:szCs w:val="21"/>
        </w:rPr>
        <w:br w:type="page"/>
      </w:r>
    </w:p>
    <w:p>
      <w:pPr>
        <w:spacing w:line="360" w:lineRule="auto"/>
        <w:jc w:val="center"/>
        <w:outlineLvl w:val="2"/>
        <w:rPr>
          <w:rFonts w:hint="eastAsia" w:ascii="宋体" w:hAnsi="宋体"/>
          <w:b/>
          <w:snapToGrid w:val="0"/>
          <w:kern w:val="0"/>
          <w:sz w:val="32"/>
          <w:szCs w:val="32"/>
        </w:rPr>
      </w:pPr>
      <w:bookmarkStart w:id="4" w:name="_Toc509669687"/>
      <w:r>
        <w:rPr>
          <w:rFonts w:hint="eastAsia" w:ascii="宋体" w:hAnsi="宋体"/>
          <w:b/>
          <w:snapToGrid w:val="0"/>
          <w:kern w:val="0"/>
          <w:sz w:val="32"/>
          <w:szCs w:val="32"/>
        </w:rPr>
        <w:t>二、投标文件的编制</w:t>
      </w:r>
      <w:bookmarkEnd w:id="4"/>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5.投标文件的语言及度量单位</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5.1投标人与招标人之间与投标有关的所有往来通知、函件和投标文件均应用中文。投标人随投标文件提供的证明文件和资料可以为</w:t>
      </w:r>
      <w:r>
        <w:rPr>
          <w:rFonts w:hint="eastAsia" w:ascii="宋体" w:hAnsi="宋体"/>
          <w:snapToGrid w:val="0"/>
          <w:kern w:val="0"/>
          <w:szCs w:val="21"/>
          <w:lang w:eastAsia="zh-CN"/>
        </w:rPr>
        <w:t>其他</w:t>
      </w:r>
      <w:r>
        <w:rPr>
          <w:rFonts w:hint="eastAsia" w:ascii="宋体" w:hAnsi="宋体"/>
          <w:snapToGrid w:val="0"/>
          <w:kern w:val="0"/>
          <w:szCs w:val="21"/>
        </w:rPr>
        <w:t>语言，但必须附中文译文。在此，为了解释投标文件，应以中文为准。</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5.2 除技术规范另有规定外，投标文件使用的度量单位，均采用中华人民共和国法定计量单位。</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5.3</w:t>
      </w:r>
      <w:r>
        <w:rPr>
          <w:rFonts w:hint="eastAsia" w:ascii="宋体" w:hAnsi="宋体"/>
          <w:snapToGrid w:val="0"/>
          <w:kern w:val="0"/>
          <w:szCs w:val="21"/>
          <w:lang w:eastAsia="zh-CN"/>
        </w:rPr>
        <w:t>公开招标（自主）</w:t>
      </w:r>
      <w:r>
        <w:rPr>
          <w:rFonts w:hint="eastAsia" w:ascii="宋体" w:hAnsi="宋体"/>
          <w:snapToGrid w:val="0"/>
          <w:kern w:val="0"/>
          <w:szCs w:val="21"/>
        </w:rPr>
        <w:t>文件中所出现的日期为自然日，货币单位为人民币。</w:t>
      </w:r>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6.投标有效期</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6.1投标有效期60天。在此期间，所有投标均保持有效。</w:t>
      </w:r>
    </w:p>
    <w:p>
      <w:pPr>
        <w:spacing w:line="360" w:lineRule="auto"/>
        <w:ind w:firstLine="420" w:firstLineChars="200"/>
        <w:jc w:val="left"/>
        <w:rPr>
          <w:rFonts w:ascii="宋体" w:hAnsi="宋体"/>
          <w:snapToGrid w:val="0"/>
          <w:kern w:val="0"/>
          <w:szCs w:val="21"/>
        </w:rPr>
      </w:pPr>
    </w:p>
    <w:p>
      <w:pPr>
        <w:spacing w:line="360" w:lineRule="auto"/>
        <w:jc w:val="center"/>
        <w:outlineLvl w:val="2"/>
        <w:rPr>
          <w:rFonts w:hint="eastAsia" w:ascii="宋体" w:hAnsi="宋体" w:eastAsia="宋体"/>
          <w:b/>
          <w:snapToGrid w:val="0"/>
          <w:kern w:val="0"/>
          <w:sz w:val="32"/>
          <w:szCs w:val="32"/>
        </w:rPr>
      </w:pPr>
      <w:bookmarkStart w:id="5" w:name="_Toc509669688"/>
      <w:r>
        <w:rPr>
          <w:rFonts w:hint="eastAsia" w:ascii="宋体" w:hAnsi="宋体" w:eastAsia="宋体"/>
          <w:b/>
          <w:snapToGrid w:val="0"/>
          <w:kern w:val="0"/>
          <w:sz w:val="32"/>
          <w:szCs w:val="32"/>
        </w:rPr>
        <w:t>三、投标文件的</w:t>
      </w:r>
      <w:r>
        <w:rPr>
          <w:rFonts w:hint="eastAsia" w:ascii="宋体" w:hAnsi="宋体"/>
          <w:b/>
          <w:snapToGrid w:val="0"/>
          <w:kern w:val="0"/>
          <w:sz w:val="32"/>
          <w:szCs w:val="32"/>
          <w:lang w:val="en-US" w:eastAsia="zh-CN"/>
        </w:rPr>
        <w:t>递</w:t>
      </w:r>
      <w:r>
        <w:rPr>
          <w:rFonts w:hint="eastAsia" w:ascii="宋体" w:hAnsi="宋体" w:eastAsia="宋体"/>
          <w:b/>
          <w:snapToGrid w:val="0"/>
          <w:kern w:val="0"/>
          <w:sz w:val="32"/>
          <w:szCs w:val="32"/>
        </w:rPr>
        <w:t>交</w:t>
      </w:r>
      <w:bookmarkEnd w:id="5"/>
    </w:p>
    <w:p>
      <w:pPr>
        <w:spacing w:line="540" w:lineRule="exact"/>
        <w:ind w:firstLine="422" w:firstLineChars="200"/>
        <w:jc w:val="left"/>
        <w:rPr>
          <w:rFonts w:ascii="宋体" w:hAnsi="宋体"/>
          <w:b/>
          <w:snapToGrid w:val="0"/>
          <w:kern w:val="0"/>
          <w:szCs w:val="21"/>
        </w:rPr>
      </w:pPr>
      <w:r>
        <w:rPr>
          <w:rFonts w:hint="eastAsia" w:ascii="宋体" w:hAnsi="宋体"/>
          <w:b/>
          <w:snapToGrid w:val="0"/>
          <w:kern w:val="0"/>
          <w:szCs w:val="21"/>
        </w:rPr>
        <w:t>8.投标文件的</w:t>
      </w:r>
      <w:r>
        <w:rPr>
          <w:rFonts w:hint="eastAsia" w:ascii="宋体" w:hAnsi="宋体"/>
          <w:b/>
          <w:snapToGrid w:val="0"/>
          <w:kern w:val="0"/>
          <w:szCs w:val="21"/>
          <w:lang w:val="en-US" w:eastAsia="zh-CN"/>
        </w:rPr>
        <w:t>递交</w:t>
      </w:r>
      <w:r>
        <w:rPr>
          <w:rFonts w:hint="eastAsia" w:ascii="宋体" w:hAnsi="宋体"/>
          <w:b/>
          <w:snapToGrid w:val="0"/>
          <w:kern w:val="0"/>
          <w:szCs w:val="21"/>
        </w:rPr>
        <w:t>和截标时投标文件的数量要求</w:t>
      </w:r>
    </w:p>
    <w:p>
      <w:pPr>
        <w:spacing w:line="360" w:lineRule="auto"/>
        <w:ind w:firstLine="420" w:firstLineChars="200"/>
        <w:jc w:val="left"/>
        <w:rPr>
          <w:rFonts w:hint="eastAsia" w:ascii="宋体" w:hAnsi="宋体"/>
          <w:b w:val="0"/>
          <w:snapToGrid w:val="0"/>
          <w:kern w:val="0"/>
          <w:szCs w:val="21"/>
        </w:rPr>
      </w:pPr>
      <w:r>
        <w:rPr>
          <w:rFonts w:hint="eastAsia" w:ascii="宋体" w:hAnsi="宋体"/>
          <w:snapToGrid w:val="0"/>
          <w:kern w:val="0"/>
          <w:szCs w:val="21"/>
        </w:rPr>
        <w:t>8.1投标截止时间和地点。</w:t>
      </w:r>
      <w:r>
        <w:rPr>
          <w:rFonts w:hint="eastAsia" w:ascii="宋体" w:hAnsi="宋体"/>
          <w:b w:val="0"/>
          <w:snapToGrid w:val="0"/>
          <w:kern w:val="0"/>
          <w:szCs w:val="21"/>
        </w:rPr>
        <w:t>投标人应在</w:t>
      </w:r>
      <w:r>
        <w:rPr>
          <w:rFonts w:hint="eastAsia" w:ascii="宋体" w:hAnsi="宋体"/>
          <w:b w:val="0"/>
          <w:snapToGrid w:val="0"/>
          <w:kern w:val="0"/>
          <w:szCs w:val="21"/>
          <w:highlight w:val="yellow"/>
        </w:rPr>
        <w:t>202</w:t>
      </w:r>
      <w:r>
        <w:rPr>
          <w:rFonts w:hint="eastAsia" w:ascii="宋体" w:hAnsi="宋体"/>
          <w:b w:val="0"/>
          <w:snapToGrid w:val="0"/>
          <w:kern w:val="0"/>
          <w:szCs w:val="21"/>
          <w:highlight w:val="yellow"/>
          <w:lang w:val="en-US" w:eastAsia="zh-CN"/>
        </w:rPr>
        <w:t>4</w:t>
      </w:r>
      <w:r>
        <w:rPr>
          <w:rFonts w:hint="eastAsia" w:ascii="宋体" w:hAnsi="宋体"/>
          <w:b w:val="0"/>
          <w:snapToGrid w:val="0"/>
          <w:kern w:val="0"/>
          <w:szCs w:val="21"/>
          <w:highlight w:val="yellow"/>
        </w:rPr>
        <w:t>年</w:t>
      </w:r>
      <w:r>
        <w:rPr>
          <w:rFonts w:hint="eastAsia" w:ascii="宋体" w:hAnsi="宋体"/>
          <w:b w:val="0"/>
          <w:snapToGrid w:val="0"/>
          <w:kern w:val="0"/>
          <w:szCs w:val="21"/>
          <w:highlight w:val="yellow"/>
          <w:lang w:val="en-US" w:eastAsia="zh-CN"/>
        </w:rPr>
        <w:t>4月30</w:t>
      </w:r>
      <w:r>
        <w:rPr>
          <w:rFonts w:hint="eastAsia" w:ascii="宋体" w:hAnsi="宋体"/>
          <w:b w:val="0"/>
          <w:snapToGrid w:val="0"/>
          <w:kern w:val="0"/>
          <w:szCs w:val="21"/>
          <w:highlight w:val="none"/>
          <w:lang w:val="en-US" w:eastAsia="zh-CN"/>
        </w:rPr>
        <w:t>日</w:t>
      </w:r>
      <w:r>
        <w:rPr>
          <w:rFonts w:hint="eastAsia" w:ascii="宋体" w:hAnsi="宋体"/>
          <w:b w:val="0"/>
          <w:snapToGrid w:val="0"/>
          <w:kern w:val="0"/>
          <w:szCs w:val="21"/>
          <w:highlight w:val="none"/>
        </w:rPr>
        <w:t>下</w:t>
      </w:r>
      <w:r>
        <w:rPr>
          <w:rFonts w:hint="eastAsia" w:ascii="宋体" w:hAnsi="宋体"/>
          <w:b w:val="0"/>
          <w:snapToGrid w:val="0"/>
          <w:kern w:val="0"/>
          <w:szCs w:val="21"/>
        </w:rPr>
        <w:t>午15：00之前将投标文件送达</w:t>
      </w:r>
      <w:r>
        <w:rPr>
          <w:rFonts w:hint="eastAsia" w:ascii="宋体" w:hAnsi="宋体" w:cs="Times New Roman"/>
          <w:snapToGrid w:val="0"/>
          <w:kern w:val="0"/>
          <w:szCs w:val="21"/>
        </w:rPr>
        <w:t>龙岗区中心城腾飞路创投大厦22楼</w:t>
      </w:r>
      <w:r>
        <w:rPr>
          <w:rFonts w:hint="eastAsia" w:ascii="宋体" w:hAnsi="宋体" w:cs="Times New Roman"/>
          <w:snapToGrid w:val="0"/>
          <w:kern w:val="0"/>
          <w:szCs w:val="21"/>
          <w:lang w:eastAsia="zh-CN"/>
        </w:rPr>
        <w:t>2210室</w:t>
      </w:r>
      <w:r>
        <w:rPr>
          <w:rFonts w:hint="eastAsia" w:ascii="宋体" w:hAnsi="宋体"/>
          <w:b w:val="0"/>
          <w:snapToGrid w:val="0"/>
          <w:kern w:val="0"/>
          <w:szCs w:val="21"/>
        </w:rPr>
        <w:t>。</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8.2投标文件的密封和标记</w:t>
      </w:r>
    </w:p>
    <w:p>
      <w:pPr>
        <w:spacing w:line="360" w:lineRule="auto"/>
        <w:ind w:firstLine="420" w:firstLineChars="200"/>
        <w:jc w:val="left"/>
        <w:rPr>
          <w:rFonts w:hint="eastAsia" w:ascii="宋体" w:hAnsi="宋体"/>
          <w:snapToGrid w:val="0"/>
          <w:kern w:val="0"/>
          <w:szCs w:val="21"/>
        </w:rPr>
      </w:pPr>
      <w:r>
        <w:rPr>
          <w:rFonts w:hint="eastAsia" w:ascii="宋体" w:hAnsi="宋体"/>
          <w:snapToGrid w:val="0"/>
          <w:kern w:val="0"/>
          <w:szCs w:val="21"/>
        </w:rPr>
        <w:t>8.2.1投标文件1正</w:t>
      </w:r>
      <w:r>
        <w:rPr>
          <w:rFonts w:hint="eastAsia" w:ascii="宋体" w:hAnsi="宋体"/>
          <w:snapToGrid w:val="0"/>
          <w:kern w:val="0"/>
          <w:szCs w:val="21"/>
          <w:lang w:val="en-US" w:eastAsia="zh-CN"/>
        </w:rPr>
        <w:t>4</w:t>
      </w:r>
      <w:r>
        <w:rPr>
          <w:rFonts w:hint="eastAsia" w:ascii="宋体" w:hAnsi="宋体"/>
          <w:snapToGrid w:val="0"/>
          <w:kern w:val="0"/>
          <w:szCs w:val="21"/>
        </w:rPr>
        <w:t>副，1个密封袋密封。将密封包装好的投标文件密封袋上注明工程名称、招标人、投标人名称、开封时间等，并在密封袋的封口处和标签上应加盖投标人公章，同时1正</w:t>
      </w:r>
      <w:r>
        <w:rPr>
          <w:rFonts w:hint="eastAsia" w:ascii="宋体" w:hAnsi="宋体"/>
          <w:snapToGrid w:val="0"/>
          <w:kern w:val="0"/>
          <w:szCs w:val="21"/>
          <w:lang w:val="en-US" w:eastAsia="zh-CN"/>
        </w:rPr>
        <w:t>4</w:t>
      </w:r>
      <w:r>
        <w:rPr>
          <w:rFonts w:hint="eastAsia" w:ascii="宋体" w:hAnsi="宋体"/>
          <w:snapToGrid w:val="0"/>
          <w:kern w:val="0"/>
          <w:szCs w:val="21"/>
        </w:rPr>
        <w:t>副投标文件封面加盖公章及骑缝章。</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8.2.2投标文件若未按规定进行密封及标志，招标人不承担投标文件错放或提前开封的责任。</w:t>
      </w:r>
    </w:p>
    <w:p>
      <w:pPr>
        <w:spacing w:line="360" w:lineRule="auto"/>
        <w:ind w:firstLine="420" w:firstLineChars="200"/>
        <w:jc w:val="left"/>
        <w:rPr>
          <w:rFonts w:hint="eastAsia" w:ascii="宋体" w:hAnsi="宋体"/>
          <w:b/>
          <w:bCs/>
          <w:snapToGrid w:val="0"/>
          <w:kern w:val="0"/>
          <w:szCs w:val="21"/>
        </w:rPr>
      </w:pPr>
      <w:r>
        <w:rPr>
          <w:rFonts w:hint="eastAsia" w:ascii="宋体" w:hAnsi="宋体"/>
          <w:snapToGrid w:val="0"/>
          <w:kern w:val="0"/>
          <w:szCs w:val="21"/>
        </w:rPr>
        <w:t>8.3</w:t>
      </w:r>
      <w:r>
        <w:rPr>
          <w:rFonts w:hint="eastAsia" w:ascii="宋体" w:hAnsi="宋体"/>
          <w:b/>
          <w:bCs/>
          <w:snapToGrid w:val="0"/>
          <w:kern w:val="0"/>
          <w:szCs w:val="21"/>
        </w:rPr>
        <w:t>一次</w:t>
      </w:r>
      <w:r>
        <w:rPr>
          <w:rFonts w:hint="eastAsia" w:ascii="宋体" w:hAnsi="宋体"/>
          <w:b/>
          <w:bCs/>
          <w:snapToGrid w:val="0"/>
          <w:color w:val="auto"/>
          <w:kern w:val="0"/>
          <w:szCs w:val="21"/>
        </w:rPr>
        <w:t>公告后，</w:t>
      </w:r>
      <w:r>
        <w:rPr>
          <w:rFonts w:hint="eastAsia" w:ascii="宋体" w:hAnsi="宋体"/>
          <w:b/>
          <w:bCs/>
          <w:snapToGrid w:val="0"/>
          <w:color w:val="auto"/>
          <w:kern w:val="0"/>
          <w:szCs w:val="21"/>
          <w:lang w:val="en-US" w:eastAsia="zh-CN"/>
        </w:rPr>
        <w:t>递</w:t>
      </w:r>
      <w:r>
        <w:rPr>
          <w:rFonts w:hint="eastAsia" w:ascii="宋体" w:hAnsi="宋体"/>
          <w:b/>
          <w:bCs/>
          <w:snapToGrid w:val="0"/>
          <w:color w:val="auto"/>
          <w:kern w:val="0"/>
          <w:szCs w:val="21"/>
        </w:rPr>
        <w:t>交资审文件或资格审查合格投标人少于3家的，重新发布</w:t>
      </w:r>
      <w:r>
        <w:rPr>
          <w:rFonts w:hint="eastAsia" w:ascii="宋体" w:hAnsi="宋体"/>
          <w:b/>
          <w:bCs/>
          <w:snapToGrid w:val="0"/>
          <w:color w:val="auto"/>
          <w:kern w:val="0"/>
          <w:szCs w:val="21"/>
          <w:lang w:eastAsia="zh-CN"/>
        </w:rPr>
        <w:t>公开招标（自主）</w:t>
      </w:r>
      <w:r>
        <w:rPr>
          <w:rFonts w:hint="eastAsia" w:ascii="宋体" w:hAnsi="宋体"/>
          <w:b/>
          <w:bCs/>
          <w:snapToGrid w:val="0"/>
          <w:color w:val="auto"/>
          <w:kern w:val="0"/>
          <w:szCs w:val="21"/>
        </w:rPr>
        <w:t>公告（原则不少于一次公告发布时间的50%）。二次公告后，</w:t>
      </w:r>
      <w:r>
        <w:rPr>
          <w:rFonts w:hint="eastAsia" w:ascii="宋体" w:hAnsi="宋体"/>
          <w:b/>
          <w:bCs/>
          <w:snapToGrid w:val="0"/>
          <w:color w:val="auto"/>
          <w:kern w:val="0"/>
          <w:szCs w:val="21"/>
          <w:lang w:val="en-US" w:eastAsia="zh-CN"/>
        </w:rPr>
        <w:t>递</w:t>
      </w:r>
      <w:r>
        <w:rPr>
          <w:rFonts w:hint="eastAsia" w:ascii="宋体" w:hAnsi="宋体"/>
          <w:b/>
          <w:bCs/>
          <w:snapToGrid w:val="0"/>
          <w:color w:val="auto"/>
          <w:kern w:val="0"/>
          <w:szCs w:val="21"/>
        </w:rPr>
        <w:t>交资审文件或资格审查合格投标人数量不足3家的，将按定标规则横向对比后</w:t>
      </w:r>
      <w:r>
        <w:rPr>
          <w:rFonts w:hint="eastAsia" w:ascii="宋体" w:hAnsi="宋体"/>
          <w:b/>
          <w:bCs/>
          <w:snapToGrid w:val="0"/>
          <w:kern w:val="0"/>
          <w:szCs w:val="21"/>
        </w:rPr>
        <w:t>选取1家；</w:t>
      </w:r>
      <w:r>
        <w:rPr>
          <w:rFonts w:hint="eastAsia" w:ascii="宋体" w:hAnsi="宋体"/>
          <w:b/>
          <w:bCs/>
          <w:snapToGrid w:val="0"/>
          <w:kern w:val="0"/>
          <w:szCs w:val="21"/>
          <w:lang w:val="en-US" w:eastAsia="zh-CN"/>
        </w:rPr>
        <w:t>递</w:t>
      </w:r>
      <w:r>
        <w:rPr>
          <w:rFonts w:hint="eastAsia" w:ascii="宋体" w:hAnsi="宋体"/>
          <w:b/>
          <w:bCs/>
          <w:snapToGrid w:val="0"/>
          <w:kern w:val="0"/>
          <w:szCs w:val="21"/>
        </w:rPr>
        <w:t>交资审文件或资格审查合格投标人数量不足2家的，将进入直接委托程序。</w:t>
      </w:r>
    </w:p>
    <w:p>
      <w:pPr>
        <w:spacing w:line="360" w:lineRule="auto"/>
        <w:ind w:firstLine="420" w:firstLineChars="200"/>
        <w:jc w:val="left"/>
        <w:rPr>
          <w:rFonts w:hint="eastAsia" w:ascii="宋体" w:hAnsi="宋体"/>
          <w:snapToGrid w:val="0"/>
          <w:kern w:val="0"/>
          <w:szCs w:val="21"/>
        </w:rPr>
      </w:pPr>
      <w:r>
        <w:rPr>
          <w:rFonts w:hint="eastAsia" w:ascii="宋体" w:hAnsi="宋体"/>
          <w:snapToGrid w:val="0"/>
          <w:kern w:val="0"/>
          <w:szCs w:val="21"/>
        </w:rPr>
        <w:t>8.4迟交的投标文件</w:t>
      </w:r>
    </w:p>
    <w:p>
      <w:pPr>
        <w:spacing w:line="360" w:lineRule="auto"/>
        <w:ind w:firstLine="420" w:firstLineChars="200"/>
        <w:jc w:val="left"/>
        <w:rPr>
          <w:rFonts w:hint="eastAsia" w:ascii="宋体" w:hAnsi="宋体"/>
          <w:snapToGrid w:val="0"/>
          <w:kern w:val="0"/>
          <w:szCs w:val="21"/>
        </w:rPr>
      </w:pPr>
      <w:r>
        <w:rPr>
          <w:rFonts w:hint="eastAsia" w:ascii="宋体" w:hAnsi="宋体"/>
          <w:snapToGrid w:val="0"/>
          <w:kern w:val="0"/>
          <w:szCs w:val="21"/>
        </w:rPr>
        <w:t>招标人在本须知第8.1条规定的投标截止日期以后收到的投标文件，将被拒绝或原封退回给投标人。</w:t>
      </w:r>
    </w:p>
    <w:p>
      <w:pPr>
        <w:spacing w:line="360" w:lineRule="auto"/>
        <w:jc w:val="center"/>
        <w:outlineLvl w:val="2"/>
        <w:rPr>
          <w:rFonts w:hint="eastAsia" w:ascii="宋体" w:hAnsi="宋体"/>
          <w:b/>
          <w:snapToGrid w:val="0"/>
          <w:kern w:val="0"/>
          <w:sz w:val="32"/>
          <w:szCs w:val="32"/>
        </w:rPr>
      </w:pPr>
      <w:bookmarkStart w:id="6" w:name="_Toc509669689"/>
    </w:p>
    <w:p>
      <w:pPr>
        <w:spacing w:line="360" w:lineRule="auto"/>
        <w:jc w:val="center"/>
        <w:outlineLvl w:val="2"/>
        <w:rPr>
          <w:rFonts w:ascii="宋体" w:hAnsi="宋体"/>
          <w:b/>
          <w:snapToGrid w:val="0"/>
          <w:kern w:val="0"/>
          <w:sz w:val="32"/>
          <w:szCs w:val="32"/>
        </w:rPr>
      </w:pPr>
      <w:r>
        <w:rPr>
          <w:rFonts w:hint="eastAsia" w:ascii="宋体" w:hAnsi="宋体"/>
          <w:b/>
          <w:snapToGrid w:val="0"/>
          <w:kern w:val="0"/>
          <w:sz w:val="32"/>
          <w:szCs w:val="32"/>
        </w:rPr>
        <w:t>四、开  标</w:t>
      </w:r>
      <w:bookmarkEnd w:id="6"/>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9.开标</w:t>
      </w:r>
    </w:p>
    <w:p>
      <w:pPr>
        <w:pStyle w:val="98"/>
        <w:tabs>
          <w:tab w:val="left" w:pos="14"/>
          <w:tab w:val="left" w:pos="1232"/>
        </w:tabs>
        <w:spacing w:line="360" w:lineRule="auto"/>
        <w:rPr>
          <w:rFonts w:ascii="宋体" w:hAnsi="宋体"/>
          <w:snapToGrid w:val="0"/>
          <w:kern w:val="0"/>
          <w:szCs w:val="21"/>
        </w:rPr>
      </w:pPr>
      <w:r>
        <w:rPr>
          <w:rFonts w:hint="eastAsia" w:ascii="宋体" w:hAnsi="宋体"/>
          <w:snapToGrid w:val="0"/>
          <w:kern w:val="0"/>
          <w:szCs w:val="21"/>
        </w:rPr>
        <w:t>9.1招标人</w:t>
      </w:r>
      <w:r>
        <w:rPr>
          <w:rFonts w:hint="eastAsia" w:ascii="宋体" w:hAnsi="宋体"/>
          <w:snapToGrid w:val="0"/>
          <w:kern w:val="0"/>
          <w:szCs w:val="21"/>
          <w:lang w:val="en-US" w:eastAsia="zh-CN"/>
        </w:rPr>
        <w:t>计划</w:t>
      </w:r>
      <w:r>
        <w:rPr>
          <w:rFonts w:hint="eastAsia" w:ascii="宋体" w:hAnsi="宋体"/>
          <w:snapToGrid w:val="0"/>
          <w:kern w:val="0"/>
          <w:szCs w:val="21"/>
        </w:rPr>
        <w:t>在</w:t>
      </w:r>
      <w:r>
        <w:rPr>
          <w:rFonts w:hint="eastAsia" w:ascii="宋体" w:hAnsi="宋体"/>
          <w:b/>
          <w:snapToGrid w:val="0"/>
          <w:color w:val="000000"/>
          <w:kern w:val="0"/>
          <w:szCs w:val="21"/>
          <w:highlight w:val="yellow"/>
        </w:rPr>
        <w:t>202</w:t>
      </w:r>
      <w:r>
        <w:rPr>
          <w:rFonts w:hint="eastAsia" w:ascii="宋体" w:hAnsi="宋体"/>
          <w:b/>
          <w:snapToGrid w:val="0"/>
          <w:color w:val="000000"/>
          <w:kern w:val="0"/>
          <w:szCs w:val="21"/>
          <w:highlight w:val="yellow"/>
          <w:lang w:val="en-US" w:eastAsia="zh-CN"/>
        </w:rPr>
        <w:t>4</w:t>
      </w:r>
      <w:r>
        <w:rPr>
          <w:rFonts w:hint="eastAsia" w:ascii="宋体" w:hAnsi="宋体"/>
          <w:b/>
          <w:snapToGrid w:val="0"/>
          <w:color w:val="000000"/>
          <w:kern w:val="0"/>
          <w:szCs w:val="21"/>
          <w:highlight w:val="yellow"/>
        </w:rPr>
        <w:t>年</w:t>
      </w:r>
      <w:r>
        <w:rPr>
          <w:rFonts w:hint="eastAsia" w:ascii="宋体" w:hAnsi="宋体"/>
          <w:b/>
          <w:snapToGrid w:val="0"/>
          <w:color w:val="000000"/>
          <w:kern w:val="0"/>
          <w:szCs w:val="21"/>
          <w:highlight w:val="yellow"/>
          <w:lang w:val="en-US" w:eastAsia="zh-CN"/>
        </w:rPr>
        <w:t>4</w:t>
      </w:r>
      <w:r>
        <w:rPr>
          <w:rFonts w:hint="eastAsia" w:ascii="宋体" w:hAnsi="宋体"/>
          <w:b/>
          <w:snapToGrid w:val="0"/>
          <w:color w:val="000000"/>
          <w:kern w:val="0"/>
          <w:szCs w:val="21"/>
          <w:highlight w:val="yellow"/>
        </w:rPr>
        <w:t>月</w:t>
      </w:r>
      <w:r>
        <w:rPr>
          <w:rFonts w:hint="eastAsia" w:ascii="宋体" w:hAnsi="宋体"/>
          <w:b/>
          <w:snapToGrid w:val="0"/>
          <w:color w:val="000000"/>
          <w:kern w:val="0"/>
          <w:szCs w:val="21"/>
          <w:highlight w:val="yellow"/>
          <w:u w:val="single"/>
        </w:rPr>
        <w:t xml:space="preserve"> </w:t>
      </w:r>
      <w:r>
        <w:rPr>
          <w:rFonts w:hint="eastAsia" w:ascii="宋体" w:hAnsi="宋体"/>
          <w:b/>
          <w:snapToGrid w:val="0"/>
          <w:color w:val="000000"/>
          <w:kern w:val="0"/>
          <w:szCs w:val="21"/>
          <w:highlight w:val="yellow"/>
          <w:u w:val="single"/>
          <w:lang w:val="en-US" w:eastAsia="zh-CN"/>
        </w:rPr>
        <w:t>30</w:t>
      </w:r>
      <w:r>
        <w:rPr>
          <w:rFonts w:hint="eastAsia" w:ascii="宋体" w:hAnsi="宋体"/>
          <w:b/>
          <w:snapToGrid w:val="0"/>
          <w:color w:val="000000"/>
          <w:kern w:val="0"/>
          <w:szCs w:val="21"/>
          <w:highlight w:val="yellow"/>
        </w:rPr>
        <w:t>日</w:t>
      </w:r>
      <w:r>
        <w:rPr>
          <w:rFonts w:hint="eastAsia" w:ascii="宋体" w:hAnsi="宋体"/>
          <w:b/>
          <w:snapToGrid w:val="0"/>
          <w:color w:val="000000"/>
          <w:kern w:val="0"/>
          <w:szCs w:val="21"/>
          <w:highlight w:val="none"/>
        </w:rPr>
        <w:t>下午15:00</w:t>
      </w:r>
      <w:r>
        <w:rPr>
          <w:rFonts w:ascii="宋体" w:hAnsi="宋体" w:cs="宋体"/>
          <w:kern w:val="0"/>
          <w:szCs w:val="21"/>
          <w:highlight w:val="none"/>
        </w:rPr>
        <w:t>龙岗区中心城腾飞路创投大厦</w:t>
      </w:r>
      <w:r>
        <w:rPr>
          <w:rFonts w:hint="eastAsia" w:ascii="宋体" w:hAnsi="宋体"/>
          <w:szCs w:val="21"/>
          <w:highlight w:val="none"/>
        </w:rPr>
        <w:t>深</w:t>
      </w:r>
      <w:r>
        <w:rPr>
          <w:rFonts w:hint="eastAsia" w:ascii="宋体" w:hAnsi="宋体"/>
          <w:szCs w:val="21"/>
        </w:rPr>
        <w:t>圳市龙岗区城市建设投资集团有限公司会议室</w:t>
      </w:r>
      <w:r>
        <w:rPr>
          <w:rFonts w:hint="eastAsia" w:ascii="宋体" w:hAnsi="宋体"/>
          <w:b/>
          <w:snapToGrid w:val="0"/>
          <w:color w:val="000000"/>
          <w:kern w:val="0"/>
          <w:szCs w:val="21"/>
        </w:rPr>
        <w:t>开标</w:t>
      </w:r>
      <w:r>
        <w:rPr>
          <w:rFonts w:hint="eastAsia" w:ascii="宋体" w:hAnsi="宋体"/>
          <w:snapToGrid w:val="0"/>
          <w:kern w:val="0"/>
          <w:szCs w:val="21"/>
        </w:rPr>
        <w:t>，并邀请</w:t>
      </w:r>
      <w:r>
        <w:rPr>
          <w:rFonts w:hint="eastAsia" w:ascii="宋体" w:hAnsi="宋体"/>
          <w:szCs w:val="21"/>
        </w:rPr>
        <w:t>评标委员会委员和监督小组成员</w:t>
      </w:r>
      <w:r>
        <w:rPr>
          <w:rFonts w:hint="eastAsia" w:ascii="宋体" w:hAnsi="宋体"/>
          <w:snapToGrid w:val="0"/>
          <w:kern w:val="0"/>
          <w:szCs w:val="21"/>
        </w:rPr>
        <w:t>参加。</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9.2开标会由招标人主持。</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9.3</w:t>
      </w:r>
      <w:r>
        <w:rPr>
          <w:rFonts w:hint="eastAsia" w:ascii="宋体" w:hAnsi="宋体"/>
          <w:szCs w:val="21"/>
        </w:rPr>
        <w:t>开标会结束，相关资料送交评标委员会。</w:t>
      </w:r>
    </w:p>
    <w:p>
      <w:pPr>
        <w:spacing w:line="360" w:lineRule="auto"/>
        <w:jc w:val="center"/>
        <w:outlineLvl w:val="2"/>
        <w:rPr>
          <w:rFonts w:hint="eastAsia" w:ascii="宋体" w:hAnsi="宋体"/>
          <w:b/>
          <w:snapToGrid w:val="0"/>
          <w:kern w:val="0"/>
          <w:sz w:val="32"/>
          <w:szCs w:val="32"/>
        </w:rPr>
      </w:pPr>
      <w:bookmarkStart w:id="7" w:name="_Toc509669690"/>
    </w:p>
    <w:p>
      <w:pPr>
        <w:spacing w:line="360" w:lineRule="auto"/>
        <w:jc w:val="center"/>
        <w:outlineLvl w:val="2"/>
        <w:rPr>
          <w:rFonts w:ascii="宋体" w:hAnsi="宋体"/>
          <w:b/>
          <w:snapToGrid w:val="0"/>
          <w:kern w:val="0"/>
          <w:sz w:val="32"/>
          <w:szCs w:val="32"/>
        </w:rPr>
      </w:pPr>
      <w:r>
        <w:rPr>
          <w:rFonts w:hint="eastAsia" w:ascii="宋体" w:hAnsi="宋体"/>
          <w:b/>
          <w:snapToGrid w:val="0"/>
          <w:kern w:val="0"/>
          <w:sz w:val="32"/>
          <w:szCs w:val="32"/>
        </w:rPr>
        <w:t>五、资格审查</w:t>
      </w:r>
      <w:bookmarkEnd w:id="7"/>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10.资格审查按以下规定进行</w:t>
      </w:r>
    </w:p>
    <w:p>
      <w:pPr>
        <w:spacing w:line="360" w:lineRule="auto"/>
        <w:ind w:firstLine="420" w:firstLineChars="200"/>
        <w:jc w:val="left"/>
        <w:rPr>
          <w:rFonts w:ascii="宋体" w:hAnsi="宋体"/>
          <w:snapToGrid w:val="0"/>
          <w:color w:val="000000"/>
          <w:kern w:val="0"/>
          <w:szCs w:val="21"/>
        </w:rPr>
      </w:pPr>
      <w:r>
        <w:rPr>
          <w:rFonts w:hint="eastAsia" w:ascii="宋体" w:hAnsi="宋体"/>
          <w:snapToGrid w:val="0"/>
          <w:color w:val="000000"/>
          <w:kern w:val="0"/>
          <w:szCs w:val="21"/>
        </w:rPr>
        <w:t>10.1资格审查由评标委员会负责。</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10.2评标委员严格对照</w:t>
      </w:r>
      <w:r>
        <w:rPr>
          <w:rFonts w:hint="eastAsia" w:ascii="宋体" w:hAnsi="宋体"/>
          <w:snapToGrid w:val="0"/>
          <w:kern w:val="0"/>
          <w:szCs w:val="21"/>
          <w:lang w:eastAsia="zh-CN"/>
        </w:rPr>
        <w:t>公开招标（自主）</w:t>
      </w:r>
      <w:r>
        <w:rPr>
          <w:rFonts w:hint="eastAsia" w:ascii="宋体" w:hAnsi="宋体"/>
          <w:snapToGrid w:val="0"/>
          <w:kern w:val="0"/>
          <w:szCs w:val="21"/>
        </w:rPr>
        <w:t>要求的投标人资格条件，逐个审查投标人递交的资格审查文件，审核判断投标人是否满足该资格条件。</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10.3全部投标人的资格审查材料审查完毕后，</w:t>
      </w:r>
      <w:r>
        <w:rPr>
          <w:rFonts w:hint="eastAsia" w:ascii="宋体" w:hAnsi="宋体"/>
          <w:b/>
          <w:snapToGrid w:val="0"/>
          <w:color w:val="000000"/>
          <w:kern w:val="0"/>
          <w:szCs w:val="21"/>
        </w:rPr>
        <w:t>评标委员会出具资格审查报告</w:t>
      </w:r>
      <w:r>
        <w:rPr>
          <w:rFonts w:hint="eastAsia" w:ascii="宋体" w:hAnsi="宋体"/>
          <w:snapToGrid w:val="0"/>
          <w:kern w:val="0"/>
          <w:szCs w:val="21"/>
        </w:rPr>
        <w:t>。资格审查合格投标人少于3家的，不再进行后续</w:t>
      </w:r>
      <w:r>
        <w:rPr>
          <w:rFonts w:hint="eastAsia" w:ascii="宋体" w:hAnsi="宋体"/>
          <w:snapToGrid w:val="0"/>
          <w:kern w:val="0"/>
          <w:szCs w:val="21"/>
          <w:lang w:eastAsia="zh-CN"/>
        </w:rPr>
        <w:t>公开招标（自主）</w:t>
      </w:r>
      <w:r>
        <w:rPr>
          <w:rFonts w:hint="eastAsia" w:ascii="宋体" w:hAnsi="宋体"/>
          <w:snapToGrid w:val="0"/>
          <w:kern w:val="0"/>
          <w:szCs w:val="21"/>
        </w:rPr>
        <w:t>投标程序。</w:t>
      </w:r>
    </w:p>
    <w:p>
      <w:pPr>
        <w:spacing w:line="360" w:lineRule="auto"/>
        <w:jc w:val="center"/>
        <w:outlineLvl w:val="2"/>
        <w:rPr>
          <w:rFonts w:hint="eastAsia" w:ascii="宋体" w:hAnsi="宋体"/>
          <w:b/>
          <w:snapToGrid w:val="0"/>
          <w:kern w:val="0"/>
          <w:sz w:val="32"/>
          <w:szCs w:val="32"/>
        </w:rPr>
      </w:pPr>
      <w:bookmarkStart w:id="8" w:name="_Toc509669691"/>
    </w:p>
    <w:p>
      <w:pPr>
        <w:spacing w:line="360" w:lineRule="auto"/>
        <w:jc w:val="center"/>
        <w:outlineLvl w:val="2"/>
        <w:rPr>
          <w:rFonts w:ascii="宋体" w:hAnsi="宋体"/>
          <w:b/>
          <w:snapToGrid w:val="0"/>
          <w:kern w:val="0"/>
          <w:sz w:val="32"/>
          <w:szCs w:val="32"/>
        </w:rPr>
      </w:pPr>
      <w:r>
        <w:rPr>
          <w:rFonts w:hint="eastAsia" w:ascii="宋体" w:hAnsi="宋体"/>
          <w:b/>
          <w:snapToGrid w:val="0"/>
          <w:kern w:val="0"/>
          <w:sz w:val="32"/>
          <w:szCs w:val="32"/>
        </w:rPr>
        <w:t>六、评标</w:t>
      </w:r>
      <w:bookmarkEnd w:id="8"/>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11.评标委员会和评标</w:t>
      </w:r>
    </w:p>
    <w:p>
      <w:pPr>
        <w:spacing w:line="360" w:lineRule="auto"/>
        <w:ind w:firstLine="420" w:firstLineChars="200"/>
        <w:jc w:val="left"/>
        <w:rPr>
          <w:rFonts w:hAnsi="宋体"/>
        </w:rPr>
      </w:pPr>
      <w:r>
        <w:rPr>
          <w:rFonts w:hint="eastAsia" w:ascii="宋体" w:hAnsi="宋体"/>
          <w:snapToGrid w:val="0"/>
          <w:kern w:val="0"/>
          <w:szCs w:val="21"/>
        </w:rPr>
        <w:t>11.1评标委员会的组建：招标人依法组建评标委员会，负责该</w:t>
      </w:r>
      <w:r>
        <w:rPr>
          <w:rFonts w:hint="eastAsia" w:ascii="宋体" w:hAnsi="宋体"/>
          <w:snapToGrid w:val="0"/>
          <w:kern w:val="0"/>
          <w:szCs w:val="21"/>
          <w:lang w:eastAsia="zh-CN"/>
        </w:rPr>
        <w:t>公开招标（自主）</w:t>
      </w:r>
      <w:r>
        <w:rPr>
          <w:rFonts w:hint="eastAsia" w:ascii="宋体" w:hAnsi="宋体"/>
          <w:snapToGrid w:val="0"/>
          <w:kern w:val="0"/>
          <w:szCs w:val="21"/>
        </w:rPr>
        <w:t>项目的评标活动。</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11.2评标委员会的职责：评标委员会应根据</w:t>
      </w:r>
      <w:r>
        <w:rPr>
          <w:rFonts w:hint="eastAsia" w:ascii="宋体" w:hAnsi="宋体"/>
          <w:snapToGrid w:val="0"/>
          <w:kern w:val="0"/>
          <w:szCs w:val="21"/>
          <w:lang w:eastAsia="zh-CN"/>
        </w:rPr>
        <w:t>公开招标（自主）</w:t>
      </w:r>
      <w:r>
        <w:rPr>
          <w:rFonts w:hint="eastAsia" w:ascii="宋体" w:hAnsi="宋体"/>
          <w:snapToGrid w:val="0"/>
          <w:kern w:val="0"/>
          <w:szCs w:val="21"/>
        </w:rPr>
        <w:t>文件规定的评标方法和标准，对投标文件进行系统地评审。评标委员会根据</w:t>
      </w:r>
      <w:r>
        <w:rPr>
          <w:rFonts w:hint="eastAsia" w:ascii="宋体" w:hAnsi="宋体"/>
          <w:snapToGrid w:val="0"/>
          <w:kern w:val="0"/>
          <w:szCs w:val="21"/>
          <w:lang w:eastAsia="zh-CN"/>
        </w:rPr>
        <w:t>公开招标（自主）</w:t>
      </w:r>
      <w:r>
        <w:rPr>
          <w:rFonts w:hint="eastAsia" w:ascii="宋体" w:hAnsi="宋体"/>
          <w:snapToGrid w:val="0"/>
          <w:kern w:val="0"/>
          <w:szCs w:val="21"/>
        </w:rPr>
        <w:t>文件的规定直接确定中标人。</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11.3评标委员会的原则：</w:t>
      </w:r>
      <w:r>
        <w:rPr>
          <w:rFonts w:ascii="宋体" w:hAnsi="宋体"/>
          <w:snapToGrid w:val="0"/>
          <w:kern w:val="0"/>
          <w:szCs w:val="21"/>
        </w:rPr>
        <w:t>评标活动</w:t>
      </w:r>
      <w:r>
        <w:rPr>
          <w:rFonts w:hint="eastAsia" w:ascii="宋体" w:hAnsi="宋体"/>
          <w:snapToGrid w:val="0"/>
          <w:kern w:val="0"/>
          <w:szCs w:val="21"/>
        </w:rPr>
        <w:t>应</w:t>
      </w:r>
      <w:r>
        <w:rPr>
          <w:rFonts w:ascii="宋体" w:hAnsi="宋体"/>
          <w:snapToGrid w:val="0"/>
          <w:kern w:val="0"/>
          <w:szCs w:val="21"/>
        </w:rPr>
        <w:t>遵循公开、公正、公平、科学、择优的原则。</w:t>
      </w:r>
      <w:r>
        <w:rPr>
          <w:rFonts w:hint="eastAsia" w:ascii="宋体" w:hAnsi="宋体"/>
          <w:snapToGrid w:val="0"/>
          <w:kern w:val="0"/>
          <w:szCs w:val="21"/>
        </w:rPr>
        <w:t>评标委员会的评审应实行少数服从多数的原则，经评标委员会成员</w:t>
      </w:r>
      <w:r>
        <w:rPr>
          <w:rFonts w:hint="eastAsia" w:ascii="宋体" w:hAnsi="宋体"/>
          <w:snapToGrid w:val="0"/>
          <w:kern w:val="0"/>
          <w:szCs w:val="21"/>
          <w:lang w:val="en-US" w:eastAsia="zh-CN"/>
        </w:rPr>
        <w:t>实</w:t>
      </w:r>
      <w:r>
        <w:rPr>
          <w:rFonts w:hint="eastAsia" w:ascii="宋体" w:hAnsi="宋体"/>
          <w:snapToGrid w:val="0"/>
          <w:kern w:val="0"/>
          <w:szCs w:val="21"/>
        </w:rPr>
        <w:t>名表决半数以上通过的评标结果有效。</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11.4招标人应向评标委员会提供以下资料，供评标使用：</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w:t>
      </w:r>
      <w:r>
        <w:rPr>
          <w:rFonts w:hint="eastAsia" w:ascii="宋体" w:hAnsi="宋体"/>
          <w:snapToGrid w:val="0"/>
          <w:kern w:val="0"/>
          <w:szCs w:val="21"/>
          <w:lang w:eastAsia="zh-CN"/>
        </w:rPr>
        <w:t>公开招标（自主）</w:t>
      </w:r>
      <w:r>
        <w:rPr>
          <w:rFonts w:hint="eastAsia" w:ascii="宋体" w:hAnsi="宋体"/>
          <w:snapToGrid w:val="0"/>
          <w:kern w:val="0"/>
          <w:szCs w:val="21"/>
        </w:rPr>
        <w:t>文件，包括</w:t>
      </w:r>
      <w:r>
        <w:rPr>
          <w:rFonts w:hint="eastAsia" w:ascii="宋体" w:hAnsi="宋体"/>
          <w:snapToGrid w:val="0"/>
          <w:kern w:val="0"/>
          <w:szCs w:val="21"/>
          <w:lang w:eastAsia="zh-CN"/>
        </w:rPr>
        <w:t>公开招标（自主）</w:t>
      </w:r>
      <w:r>
        <w:rPr>
          <w:rFonts w:hint="eastAsia" w:ascii="宋体" w:hAnsi="宋体"/>
          <w:snapToGrid w:val="0"/>
          <w:kern w:val="0"/>
          <w:szCs w:val="21"/>
        </w:rPr>
        <w:t>文件的补充、修改或澄清文件；</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(2)其他评标必</w:t>
      </w:r>
      <w:r>
        <w:rPr>
          <w:rFonts w:hint="eastAsia" w:ascii="宋体" w:hAnsi="宋体"/>
          <w:snapToGrid w:val="0"/>
          <w:kern w:val="0"/>
          <w:szCs w:val="21"/>
          <w:lang w:val="en-US" w:eastAsia="zh-CN"/>
        </w:rPr>
        <w:t>需</w:t>
      </w:r>
      <w:r>
        <w:rPr>
          <w:rFonts w:hint="eastAsia" w:ascii="宋体" w:hAnsi="宋体"/>
          <w:snapToGrid w:val="0"/>
          <w:kern w:val="0"/>
          <w:szCs w:val="21"/>
        </w:rPr>
        <w:t>的资料。</w:t>
      </w:r>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12.投标文件的澄清和对答辩人的要求（此次不要求）</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12.1可以要求投标人对投标文件含义不明确的内容作必要的澄清、说明。澄清、说明应以书面方式进行并不得超出投标文件的范围或改变投标文件的实质性内容。</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12.2</w:t>
      </w:r>
      <w:r>
        <w:rPr>
          <w:rFonts w:ascii="宋体" w:hAnsi="宋体"/>
          <w:snapToGrid w:val="0"/>
          <w:kern w:val="0"/>
          <w:szCs w:val="21"/>
        </w:rPr>
        <w:t>投标</w:t>
      </w:r>
      <w:r>
        <w:rPr>
          <w:rFonts w:hint="eastAsia" w:ascii="宋体" w:hAnsi="宋体"/>
          <w:snapToGrid w:val="0"/>
          <w:kern w:val="0"/>
          <w:szCs w:val="21"/>
        </w:rPr>
        <w:t>人委派</w:t>
      </w:r>
      <w:r>
        <w:rPr>
          <w:rFonts w:ascii="宋体" w:hAnsi="宋体"/>
          <w:snapToGrid w:val="0"/>
          <w:kern w:val="0"/>
          <w:szCs w:val="21"/>
        </w:rPr>
        <w:t>的答辩人</w:t>
      </w:r>
      <w:r>
        <w:rPr>
          <w:rFonts w:hint="eastAsia" w:ascii="宋体" w:hAnsi="宋体"/>
          <w:snapToGrid w:val="0"/>
          <w:kern w:val="0"/>
          <w:szCs w:val="21"/>
        </w:rPr>
        <w:t>应符合以</w:t>
      </w:r>
      <w:r>
        <w:rPr>
          <w:rFonts w:ascii="宋体" w:hAnsi="宋体"/>
          <w:snapToGrid w:val="0"/>
          <w:kern w:val="0"/>
          <w:szCs w:val="21"/>
        </w:rPr>
        <w:t>下</w:t>
      </w:r>
      <w:r>
        <w:rPr>
          <w:rFonts w:hint="eastAsia" w:ascii="宋体" w:hAnsi="宋体"/>
          <w:snapToGrid w:val="0"/>
          <w:kern w:val="0"/>
          <w:szCs w:val="21"/>
        </w:rPr>
        <w:t>条件</w:t>
      </w:r>
      <w:r>
        <w:rPr>
          <w:rFonts w:ascii="宋体" w:hAnsi="宋体"/>
          <w:snapToGrid w:val="0"/>
          <w:kern w:val="0"/>
          <w:szCs w:val="21"/>
        </w:rPr>
        <w:t>：</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12.2.1拟进行投标</w:t>
      </w:r>
      <w:r>
        <w:rPr>
          <w:rFonts w:ascii="宋体" w:hAnsi="宋体"/>
          <w:snapToGrid w:val="0"/>
          <w:kern w:val="0"/>
          <w:szCs w:val="21"/>
        </w:rPr>
        <w:t>答辩</w:t>
      </w:r>
      <w:r>
        <w:rPr>
          <w:rFonts w:hint="eastAsia" w:ascii="宋体" w:hAnsi="宋体"/>
          <w:snapToGrid w:val="0"/>
          <w:kern w:val="0"/>
          <w:szCs w:val="21"/>
        </w:rPr>
        <w:t>的，答辩人必须是投标人拟派往本</w:t>
      </w:r>
      <w:r>
        <w:rPr>
          <w:rFonts w:hint="eastAsia" w:ascii="宋体" w:hAnsi="宋体"/>
          <w:snapToGrid w:val="0"/>
          <w:kern w:val="0"/>
          <w:szCs w:val="21"/>
          <w:lang w:eastAsia="zh-CN"/>
        </w:rPr>
        <w:t>公开招标（自主）</w:t>
      </w:r>
      <w:r>
        <w:rPr>
          <w:rFonts w:hint="eastAsia" w:ascii="宋体" w:hAnsi="宋体"/>
          <w:snapToGrid w:val="0"/>
          <w:kern w:val="0"/>
          <w:szCs w:val="21"/>
        </w:rPr>
        <w:t>项目的项目负责人、其法定代表人或者法定代表人委托代理人。</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12.3要求投标人进行答辩，但投标人在规定时间内未派出答辩人的，将根据</w:t>
      </w:r>
      <w:r>
        <w:rPr>
          <w:rFonts w:hint="eastAsia" w:ascii="宋体" w:hAnsi="宋体"/>
          <w:snapToGrid w:val="0"/>
          <w:kern w:val="0"/>
          <w:szCs w:val="21"/>
          <w:lang w:eastAsia="zh-CN"/>
        </w:rPr>
        <w:t>公开招标（自主）</w:t>
      </w:r>
      <w:r>
        <w:rPr>
          <w:rFonts w:hint="eastAsia" w:ascii="宋体" w:hAnsi="宋体"/>
          <w:snapToGrid w:val="0"/>
          <w:kern w:val="0"/>
          <w:szCs w:val="21"/>
        </w:rPr>
        <w:t>文件规定作出不利于投标人的判定，且投标人不得因此提出任何异议。</w:t>
      </w:r>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1</w:t>
      </w:r>
      <w:r>
        <w:rPr>
          <w:rFonts w:ascii="宋体" w:hAnsi="宋体"/>
          <w:b/>
          <w:snapToGrid w:val="0"/>
          <w:kern w:val="0"/>
          <w:szCs w:val="21"/>
        </w:rPr>
        <w:t>3</w:t>
      </w:r>
      <w:r>
        <w:rPr>
          <w:rFonts w:hint="eastAsia" w:ascii="宋体" w:hAnsi="宋体"/>
          <w:b/>
          <w:snapToGrid w:val="0"/>
          <w:kern w:val="0"/>
          <w:szCs w:val="21"/>
        </w:rPr>
        <w:t>.评标方法</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评标委员会对进入评标环节的全部投标文件进行评审，给出评审意见，评委采用投票方式推荐综合评价最优的1名投标单位为中标候选人。</w:t>
      </w:r>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14．投标人的推荐</w:t>
      </w:r>
    </w:p>
    <w:p>
      <w:pPr>
        <w:spacing w:line="360" w:lineRule="auto"/>
        <w:ind w:firstLine="420" w:firstLineChars="200"/>
        <w:jc w:val="left"/>
        <w:rPr>
          <w:rFonts w:hint="eastAsia" w:ascii="宋体" w:hAnsi="宋体"/>
          <w:snapToGrid w:val="0"/>
          <w:kern w:val="0"/>
          <w:szCs w:val="21"/>
        </w:rPr>
      </w:pPr>
      <w:r>
        <w:rPr>
          <w:rFonts w:hint="eastAsia" w:ascii="宋体" w:hAnsi="宋体"/>
          <w:snapToGrid w:val="0"/>
          <w:kern w:val="0"/>
          <w:szCs w:val="21"/>
        </w:rPr>
        <w:t>14.1评标委员会完成评标后，应向招标人提出书面评标报告。评标报告由评标委员会全体成员签字。按为“优”项数多少选取排名第一(且得票超过半数以上)的投标人作为中标候选人.如得优数量一致不能满足要求，则根据评审人对本项目的理解，再次投票确定中标候选人。</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14.2本次</w:t>
      </w:r>
      <w:r>
        <w:rPr>
          <w:rFonts w:hint="eastAsia" w:ascii="宋体" w:hAnsi="宋体"/>
          <w:snapToGrid w:val="0"/>
          <w:kern w:val="0"/>
          <w:szCs w:val="21"/>
          <w:lang w:eastAsia="zh-CN"/>
        </w:rPr>
        <w:t>公开招标（自主）</w:t>
      </w:r>
      <w:r>
        <w:rPr>
          <w:rFonts w:hint="eastAsia" w:ascii="宋体" w:hAnsi="宋体"/>
          <w:snapToGrid w:val="0"/>
          <w:kern w:val="0"/>
          <w:szCs w:val="21"/>
        </w:rPr>
        <w:t>如果评标委员会已推荐投标人，无论随后出现何种情形，招标人在本次</w:t>
      </w:r>
      <w:r>
        <w:rPr>
          <w:rFonts w:hint="eastAsia" w:ascii="宋体" w:hAnsi="宋体"/>
          <w:snapToGrid w:val="0"/>
          <w:kern w:val="0"/>
          <w:szCs w:val="21"/>
          <w:lang w:eastAsia="zh-CN"/>
        </w:rPr>
        <w:t>公开招标（自主）</w:t>
      </w:r>
      <w:r>
        <w:rPr>
          <w:rFonts w:hint="eastAsia" w:ascii="宋体" w:hAnsi="宋体"/>
          <w:snapToGrid w:val="0"/>
          <w:kern w:val="0"/>
          <w:szCs w:val="21"/>
        </w:rPr>
        <w:t>中不再接受另外的投标人，除非重新组织</w:t>
      </w:r>
      <w:r>
        <w:rPr>
          <w:rFonts w:hint="eastAsia" w:ascii="宋体" w:hAnsi="宋体"/>
          <w:snapToGrid w:val="0"/>
          <w:kern w:val="0"/>
          <w:szCs w:val="21"/>
          <w:lang w:eastAsia="zh-CN"/>
        </w:rPr>
        <w:t>公开招标（自主）</w:t>
      </w:r>
      <w:r>
        <w:rPr>
          <w:rFonts w:hint="eastAsia" w:ascii="宋体" w:hAnsi="宋体"/>
          <w:snapToGrid w:val="0"/>
          <w:kern w:val="0"/>
          <w:szCs w:val="21"/>
        </w:rPr>
        <w:t>投标。</w:t>
      </w:r>
    </w:p>
    <w:p>
      <w:pPr>
        <w:spacing w:line="360" w:lineRule="auto"/>
        <w:jc w:val="center"/>
        <w:outlineLvl w:val="2"/>
        <w:rPr>
          <w:rFonts w:hint="eastAsia" w:ascii="宋体" w:hAnsi="宋体"/>
          <w:b/>
          <w:snapToGrid w:val="0"/>
          <w:kern w:val="0"/>
          <w:sz w:val="32"/>
          <w:szCs w:val="32"/>
        </w:rPr>
      </w:pPr>
      <w:bookmarkStart w:id="9" w:name="_Toc509669692"/>
    </w:p>
    <w:p>
      <w:pPr>
        <w:spacing w:line="360" w:lineRule="auto"/>
        <w:jc w:val="center"/>
        <w:outlineLvl w:val="2"/>
        <w:rPr>
          <w:rFonts w:ascii="宋体" w:hAnsi="宋体"/>
          <w:b/>
          <w:snapToGrid w:val="0"/>
          <w:kern w:val="0"/>
          <w:sz w:val="32"/>
          <w:szCs w:val="32"/>
        </w:rPr>
      </w:pPr>
      <w:r>
        <w:rPr>
          <w:rFonts w:hint="eastAsia" w:ascii="宋体" w:hAnsi="宋体"/>
          <w:b/>
          <w:snapToGrid w:val="0"/>
          <w:kern w:val="0"/>
          <w:sz w:val="32"/>
          <w:szCs w:val="32"/>
        </w:rPr>
        <w:t>七、签订合同</w:t>
      </w:r>
      <w:bookmarkEnd w:id="9"/>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15.中标通知</w:t>
      </w:r>
    </w:p>
    <w:p>
      <w:pPr>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15</w:t>
      </w:r>
      <w:r>
        <w:rPr>
          <w:rFonts w:ascii="宋体" w:hAnsi="宋体"/>
          <w:snapToGrid w:val="0"/>
          <w:kern w:val="0"/>
          <w:szCs w:val="21"/>
        </w:rPr>
        <w:t>.</w:t>
      </w:r>
      <w:r>
        <w:rPr>
          <w:rFonts w:hint="eastAsia" w:ascii="宋体" w:hAnsi="宋体"/>
          <w:snapToGrid w:val="0"/>
          <w:kern w:val="0"/>
          <w:szCs w:val="21"/>
        </w:rPr>
        <w:t>1招标人应在确定中标人后，发出委托函。委托函是本</w:t>
      </w:r>
      <w:r>
        <w:rPr>
          <w:rFonts w:hint="eastAsia" w:ascii="宋体" w:hAnsi="宋体"/>
          <w:snapToGrid w:val="0"/>
          <w:kern w:val="0"/>
          <w:szCs w:val="21"/>
          <w:lang w:eastAsia="zh-CN"/>
        </w:rPr>
        <w:t>公开招标（自主）</w:t>
      </w:r>
      <w:r>
        <w:rPr>
          <w:rFonts w:hint="eastAsia" w:ascii="宋体" w:hAnsi="宋体"/>
          <w:snapToGrid w:val="0"/>
          <w:kern w:val="0"/>
          <w:szCs w:val="21"/>
        </w:rPr>
        <w:t>项目合同的组成部分。如接到有关投诉的，招标人将可能暂停发出委托函。</w:t>
      </w:r>
    </w:p>
    <w:p>
      <w:pPr>
        <w:spacing w:line="360" w:lineRule="auto"/>
        <w:ind w:firstLine="422" w:firstLineChars="200"/>
        <w:jc w:val="left"/>
        <w:rPr>
          <w:rFonts w:ascii="宋体" w:hAnsi="宋体"/>
          <w:b/>
          <w:snapToGrid w:val="0"/>
          <w:kern w:val="0"/>
          <w:szCs w:val="21"/>
        </w:rPr>
      </w:pPr>
      <w:r>
        <w:rPr>
          <w:rFonts w:hint="eastAsia" w:ascii="宋体" w:hAnsi="宋体"/>
          <w:b/>
          <w:snapToGrid w:val="0"/>
          <w:kern w:val="0"/>
          <w:szCs w:val="21"/>
        </w:rPr>
        <w:t>16.签订合同</w:t>
      </w:r>
    </w:p>
    <w:p>
      <w:pPr>
        <w:spacing w:line="360" w:lineRule="auto"/>
        <w:ind w:firstLine="420" w:firstLineChars="200"/>
        <w:jc w:val="left"/>
        <w:rPr>
          <w:rFonts w:hint="eastAsia" w:ascii="宋体" w:hAnsi="宋体"/>
          <w:snapToGrid w:val="0"/>
          <w:kern w:val="0"/>
          <w:szCs w:val="21"/>
        </w:rPr>
      </w:pPr>
      <w:r>
        <w:rPr>
          <w:rFonts w:hint="eastAsia" w:ascii="宋体" w:hAnsi="宋体"/>
          <w:snapToGrid w:val="0"/>
          <w:kern w:val="0"/>
          <w:szCs w:val="21"/>
        </w:rPr>
        <w:t>16.1招标人和中标人应当按在委</w:t>
      </w:r>
      <w:r>
        <w:rPr>
          <w:rFonts w:hint="eastAsia" w:ascii="宋体" w:hAnsi="宋体"/>
          <w:snapToGrid w:val="0"/>
          <w:kern w:val="0"/>
          <w:szCs w:val="21"/>
          <w:highlight w:val="none"/>
        </w:rPr>
        <w:t>托函</w:t>
      </w:r>
      <w:r>
        <w:rPr>
          <w:rFonts w:hint="eastAsia" w:ascii="宋体" w:hAnsi="宋体"/>
          <w:snapToGrid w:val="0"/>
          <w:color w:val="0000FF"/>
          <w:kern w:val="0"/>
          <w:szCs w:val="21"/>
          <w:highlight w:val="none"/>
        </w:rPr>
        <w:t>发出</w:t>
      </w:r>
      <w:r>
        <w:rPr>
          <w:rFonts w:hint="eastAsia" w:ascii="宋体" w:hAnsi="宋体"/>
          <w:snapToGrid w:val="0"/>
          <w:color w:val="0000FF"/>
          <w:kern w:val="0"/>
          <w:szCs w:val="21"/>
          <w:highlight w:val="none"/>
          <w:lang w:val="en-US" w:eastAsia="zh-CN"/>
        </w:rPr>
        <w:t>30</w:t>
      </w:r>
      <w:r>
        <w:rPr>
          <w:rFonts w:hint="eastAsia" w:ascii="宋体" w:hAnsi="宋体"/>
          <w:snapToGrid w:val="0"/>
          <w:color w:val="0000FF"/>
          <w:kern w:val="0"/>
          <w:szCs w:val="21"/>
          <w:highlight w:val="none"/>
        </w:rPr>
        <w:t>日内</w:t>
      </w:r>
      <w:r>
        <w:rPr>
          <w:rFonts w:hint="eastAsia" w:ascii="宋体" w:hAnsi="宋体"/>
          <w:snapToGrid w:val="0"/>
          <w:kern w:val="0"/>
          <w:szCs w:val="21"/>
          <w:highlight w:val="none"/>
        </w:rPr>
        <w:t>，依据</w:t>
      </w:r>
      <w:r>
        <w:rPr>
          <w:rFonts w:hint="eastAsia" w:ascii="宋体" w:hAnsi="宋体"/>
          <w:snapToGrid w:val="0"/>
          <w:kern w:val="0"/>
          <w:szCs w:val="21"/>
          <w:highlight w:val="none"/>
          <w:lang w:eastAsia="zh-CN"/>
        </w:rPr>
        <w:t>公开招标（自主）</w:t>
      </w:r>
      <w:r>
        <w:rPr>
          <w:rFonts w:hint="eastAsia" w:ascii="宋体" w:hAnsi="宋体"/>
          <w:snapToGrid w:val="0"/>
          <w:kern w:val="0"/>
          <w:szCs w:val="21"/>
          <w:highlight w:val="none"/>
        </w:rPr>
        <w:t>文件和中标人的投标文件订立书面合同。</w:t>
      </w:r>
    </w:p>
    <w:p>
      <w:pPr>
        <w:spacing w:line="360" w:lineRule="auto"/>
        <w:ind w:firstLine="422" w:firstLineChars="200"/>
        <w:jc w:val="left"/>
        <w:rPr>
          <w:rFonts w:ascii="宋体" w:hAnsi="宋体"/>
          <w:sz w:val="24"/>
          <w:szCs w:val="24"/>
          <w:highlight w:val="yellow"/>
        </w:rPr>
      </w:pPr>
      <w:r>
        <w:rPr>
          <w:rFonts w:hAnsi="宋体"/>
          <w:b/>
          <w:szCs w:val="21"/>
        </w:rPr>
        <w:br w:type="page"/>
      </w:r>
    </w:p>
    <w:p>
      <w:pPr>
        <w:pStyle w:val="100"/>
        <w:widowControl/>
        <w:spacing w:line="560" w:lineRule="exact"/>
        <w:rPr>
          <w:rFonts w:hint="default" w:ascii="仿宋" w:hAnsi="仿宋" w:eastAsia="仿宋"/>
          <w:sz w:val="30"/>
          <w:szCs w:val="30"/>
        </w:rPr>
      </w:pPr>
      <w:r>
        <w:rPr>
          <w:rFonts w:ascii="仿宋" w:hAnsi="仿宋" w:eastAsia="仿宋"/>
          <w:b/>
          <w:sz w:val="30"/>
          <w:szCs w:val="30"/>
        </w:rPr>
        <w:t>投标文件一览表</w:t>
      </w:r>
    </w:p>
    <w:tbl>
      <w:tblPr>
        <w:tblStyle w:val="53"/>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234"/>
        <w:gridCol w:w="5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02" w:type="dxa"/>
            <w:vAlign w:val="center"/>
          </w:tcPr>
          <w:p>
            <w:pPr>
              <w:pStyle w:val="98"/>
              <w:spacing w:line="360" w:lineRule="exact"/>
              <w:ind w:firstLine="0" w:firstLineChars="0"/>
              <w:jc w:val="center"/>
              <w:rPr>
                <w:rFonts w:ascii="宋体" w:hAnsi="宋体"/>
                <w:b/>
                <w:bCs/>
                <w:sz w:val="24"/>
                <w:szCs w:val="24"/>
              </w:rPr>
            </w:pPr>
            <w:r>
              <w:rPr>
                <w:rFonts w:hint="eastAsia" w:ascii="宋体" w:hAnsi="宋体"/>
                <w:b/>
                <w:bCs/>
                <w:sz w:val="24"/>
                <w:szCs w:val="24"/>
              </w:rPr>
              <w:t>序号</w:t>
            </w:r>
          </w:p>
        </w:tc>
        <w:tc>
          <w:tcPr>
            <w:tcW w:w="3234" w:type="dxa"/>
            <w:vAlign w:val="center"/>
          </w:tcPr>
          <w:p>
            <w:pPr>
              <w:pStyle w:val="98"/>
              <w:spacing w:line="360" w:lineRule="exact"/>
              <w:ind w:firstLine="0" w:firstLineChars="0"/>
              <w:jc w:val="center"/>
              <w:rPr>
                <w:rFonts w:hint="eastAsia" w:ascii="宋体" w:hAnsi="宋体"/>
                <w:b/>
                <w:bCs/>
                <w:sz w:val="24"/>
                <w:szCs w:val="24"/>
              </w:rPr>
            </w:pPr>
            <w:r>
              <w:rPr>
                <w:rFonts w:hint="eastAsia" w:ascii="宋体" w:hAnsi="宋体"/>
                <w:b/>
                <w:bCs/>
                <w:sz w:val="24"/>
                <w:szCs w:val="24"/>
              </w:rPr>
              <w:t>文件名称</w:t>
            </w:r>
          </w:p>
        </w:tc>
        <w:tc>
          <w:tcPr>
            <w:tcW w:w="5095" w:type="dxa"/>
            <w:vAlign w:val="center"/>
          </w:tcPr>
          <w:p>
            <w:pPr>
              <w:pStyle w:val="98"/>
              <w:spacing w:line="360" w:lineRule="exact"/>
              <w:ind w:firstLine="0" w:firstLineChars="0"/>
              <w:jc w:val="center"/>
              <w:rPr>
                <w:rFonts w:hint="eastAsia" w:ascii="宋体" w:hAnsi="宋体"/>
                <w:b/>
                <w:bCs/>
                <w:sz w:val="24"/>
                <w:szCs w:val="24"/>
              </w:rPr>
            </w:pPr>
            <w:r>
              <w:rPr>
                <w:rFonts w:hint="eastAsia" w:ascii="宋体" w:hAnsi="宋体"/>
                <w:b/>
                <w:bCs/>
                <w:sz w:val="24"/>
                <w:szCs w:val="24"/>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702" w:type="dxa"/>
            <w:vAlign w:val="center"/>
          </w:tcPr>
          <w:p>
            <w:pPr>
              <w:pStyle w:val="98"/>
              <w:spacing w:line="360" w:lineRule="exact"/>
              <w:ind w:firstLine="0" w:firstLineChars="0"/>
              <w:jc w:val="center"/>
              <w:rPr>
                <w:rFonts w:ascii="宋体" w:hAnsi="宋体"/>
                <w:sz w:val="24"/>
                <w:szCs w:val="24"/>
              </w:rPr>
            </w:pPr>
            <w:r>
              <w:rPr>
                <w:rFonts w:hint="eastAsia" w:ascii="宋体" w:hAnsi="宋体"/>
                <w:sz w:val="24"/>
                <w:szCs w:val="24"/>
              </w:rPr>
              <w:t>1</w:t>
            </w:r>
          </w:p>
        </w:tc>
        <w:tc>
          <w:tcPr>
            <w:tcW w:w="3234" w:type="dxa"/>
            <w:vAlign w:val="center"/>
          </w:tcPr>
          <w:p>
            <w:pPr>
              <w:adjustRightInd w:val="0"/>
              <w:snapToGrid w:val="0"/>
              <w:spacing w:line="580" w:lineRule="exact"/>
              <w:jc w:val="left"/>
              <w:rPr>
                <w:rFonts w:ascii="宋体" w:hAnsi="宋体"/>
                <w:sz w:val="24"/>
                <w:szCs w:val="24"/>
              </w:rPr>
            </w:pPr>
            <w:r>
              <w:rPr>
                <w:rFonts w:hint="eastAsia" w:ascii="宋体" w:hAnsi="宋体"/>
                <w:sz w:val="24"/>
                <w:szCs w:val="24"/>
              </w:rPr>
              <w:t>基本情况资料</w:t>
            </w:r>
          </w:p>
        </w:tc>
        <w:tc>
          <w:tcPr>
            <w:tcW w:w="5095" w:type="dxa"/>
            <w:vAlign w:val="center"/>
          </w:tcPr>
          <w:p>
            <w:pPr>
              <w:pStyle w:val="28"/>
              <w:rPr>
                <w:rFonts w:hint="eastAsia" w:hAnsi="宋体" w:eastAsia="宋体"/>
                <w:sz w:val="24"/>
                <w:szCs w:val="24"/>
                <w:lang w:eastAsia="zh-CN"/>
              </w:rPr>
            </w:pPr>
            <w:r>
              <w:rPr>
                <w:rFonts w:hint="eastAsia" w:hAnsi="宋体"/>
                <w:sz w:val="24"/>
                <w:szCs w:val="24"/>
              </w:rPr>
              <w:t>提供营业执照复印件、资质证书复印件、法定代表人证明书及身份证复印件、法定代表人授权委托书及身份证复印件</w:t>
            </w:r>
            <w:r>
              <w:rPr>
                <w:rFonts w:hint="eastAsia" w:hAnsi="宋体"/>
                <w:sz w:val="24"/>
                <w:szCs w:val="24"/>
                <w:lang w:eastAsia="zh-CN"/>
              </w:rPr>
              <w:t>（</w:t>
            </w:r>
            <w:r>
              <w:rPr>
                <w:rFonts w:hint="eastAsia" w:hAnsi="宋体"/>
                <w:sz w:val="24"/>
                <w:szCs w:val="24"/>
                <w:lang w:val="en-US" w:eastAsia="zh-CN"/>
              </w:rPr>
              <w:t>如有</w:t>
            </w:r>
            <w:r>
              <w:rPr>
                <w:rFonts w:hint="eastAsia"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02" w:type="dxa"/>
            <w:vAlign w:val="center"/>
          </w:tcPr>
          <w:p>
            <w:pPr>
              <w:pStyle w:val="98"/>
              <w:spacing w:line="360" w:lineRule="exact"/>
              <w:ind w:firstLine="0" w:firstLineChars="0"/>
              <w:jc w:val="center"/>
              <w:rPr>
                <w:rFonts w:ascii="宋体" w:hAnsi="宋体"/>
                <w:sz w:val="24"/>
                <w:szCs w:val="24"/>
                <w:highlight w:val="none"/>
              </w:rPr>
            </w:pPr>
            <w:r>
              <w:rPr>
                <w:rFonts w:hint="eastAsia" w:ascii="宋体" w:hAnsi="宋体"/>
                <w:sz w:val="24"/>
                <w:szCs w:val="24"/>
                <w:highlight w:val="none"/>
              </w:rPr>
              <w:t>2</w:t>
            </w:r>
          </w:p>
        </w:tc>
        <w:tc>
          <w:tcPr>
            <w:tcW w:w="3234" w:type="dxa"/>
            <w:vAlign w:val="center"/>
          </w:tcPr>
          <w:p>
            <w:pPr>
              <w:adjustRightInd w:val="0"/>
              <w:snapToGrid w:val="0"/>
              <w:spacing w:line="580" w:lineRule="exact"/>
              <w:jc w:val="left"/>
              <w:rPr>
                <w:rFonts w:ascii="宋体" w:hAnsi="宋体"/>
                <w:sz w:val="24"/>
                <w:szCs w:val="24"/>
                <w:highlight w:val="none"/>
              </w:rPr>
            </w:pPr>
            <w:r>
              <w:rPr>
                <w:rFonts w:hint="eastAsia" w:ascii="宋体" w:hAnsi="宋体"/>
                <w:sz w:val="24"/>
                <w:szCs w:val="24"/>
                <w:highlight w:val="none"/>
              </w:rPr>
              <w:t>承诺函</w:t>
            </w:r>
          </w:p>
        </w:tc>
        <w:tc>
          <w:tcPr>
            <w:tcW w:w="5095" w:type="dxa"/>
            <w:vAlign w:val="center"/>
          </w:tcPr>
          <w:p>
            <w:pPr>
              <w:pStyle w:val="98"/>
              <w:spacing w:line="360" w:lineRule="exact"/>
              <w:ind w:firstLine="0" w:firstLineChars="0"/>
              <w:jc w:val="left"/>
              <w:rPr>
                <w:rFonts w:hint="eastAsia" w:ascii="宋体" w:hAnsi="宋体" w:eastAsia="宋体"/>
                <w:sz w:val="24"/>
                <w:szCs w:val="24"/>
                <w:highlight w:val="none"/>
                <w:lang w:val="en-US" w:eastAsia="zh-CN"/>
              </w:rPr>
            </w:pPr>
            <w:r>
              <w:rPr>
                <w:rFonts w:hint="eastAsia" w:ascii="宋体" w:hAnsi="宋体"/>
                <w:sz w:val="24"/>
                <w:szCs w:val="24"/>
                <w:highlight w:val="none"/>
              </w:rPr>
              <w:t>格式</w:t>
            </w:r>
            <w:r>
              <w:rPr>
                <w:rFonts w:hint="eastAsia" w:ascii="宋体" w:hAnsi="宋体"/>
                <w:sz w:val="24"/>
                <w:szCs w:val="24"/>
                <w:highlight w:val="none"/>
                <w:lang w:val="en-US" w:eastAsia="zh-CN"/>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2" w:type="dxa"/>
            <w:vAlign w:val="center"/>
          </w:tcPr>
          <w:p>
            <w:pPr>
              <w:pStyle w:val="98"/>
              <w:spacing w:line="360" w:lineRule="exact"/>
              <w:ind w:firstLine="0" w:firstLineChars="0"/>
              <w:jc w:val="center"/>
              <w:rPr>
                <w:rFonts w:ascii="宋体" w:hAnsi="宋体"/>
                <w:sz w:val="24"/>
                <w:szCs w:val="24"/>
                <w:highlight w:val="none"/>
              </w:rPr>
            </w:pPr>
            <w:r>
              <w:rPr>
                <w:rFonts w:hint="eastAsia" w:ascii="宋体" w:hAnsi="宋体"/>
                <w:sz w:val="24"/>
                <w:szCs w:val="24"/>
                <w:highlight w:val="none"/>
              </w:rPr>
              <w:t>3</w:t>
            </w:r>
          </w:p>
        </w:tc>
        <w:tc>
          <w:tcPr>
            <w:tcW w:w="3234" w:type="dxa"/>
            <w:vAlign w:val="center"/>
          </w:tcPr>
          <w:p>
            <w:pPr>
              <w:pStyle w:val="98"/>
              <w:spacing w:line="360" w:lineRule="exact"/>
              <w:ind w:firstLine="0" w:firstLineChars="0"/>
              <w:jc w:val="left"/>
              <w:rPr>
                <w:rFonts w:ascii="宋体" w:hAnsi="宋体" w:cs="宋体"/>
                <w:kern w:val="0"/>
                <w:sz w:val="24"/>
                <w:szCs w:val="24"/>
                <w:highlight w:val="none"/>
              </w:rPr>
            </w:pPr>
            <w:r>
              <w:rPr>
                <w:rFonts w:hint="eastAsia" w:ascii="宋体" w:hAnsi="宋体" w:cs="宋体"/>
                <w:kern w:val="0"/>
                <w:sz w:val="24"/>
                <w:szCs w:val="24"/>
                <w:highlight w:val="none"/>
              </w:rPr>
              <w:t>龙岗区进一步规范政商交往行为告知书</w:t>
            </w:r>
          </w:p>
        </w:tc>
        <w:tc>
          <w:tcPr>
            <w:tcW w:w="5095" w:type="dxa"/>
            <w:vAlign w:val="center"/>
          </w:tcPr>
          <w:p>
            <w:pPr>
              <w:pStyle w:val="98"/>
              <w:spacing w:line="360" w:lineRule="exact"/>
              <w:ind w:firstLine="0" w:firstLineChars="0"/>
              <w:jc w:val="left"/>
              <w:rPr>
                <w:rFonts w:hint="eastAsia" w:ascii="宋体" w:hAnsi="宋体"/>
                <w:sz w:val="24"/>
                <w:szCs w:val="24"/>
                <w:highlight w:val="none"/>
              </w:rPr>
            </w:pPr>
            <w:r>
              <w:rPr>
                <w:rFonts w:hint="eastAsia" w:ascii="宋体" w:hAnsi="宋体"/>
                <w:sz w:val="24"/>
                <w:szCs w:val="24"/>
                <w:highlight w:val="none"/>
              </w:rPr>
              <w:t>提供法定代表人或者法定代表人授权人签字版</w:t>
            </w:r>
          </w:p>
          <w:p>
            <w:pPr>
              <w:pStyle w:val="98"/>
              <w:spacing w:line="360" w:lineRule="exact"/>
              <w:ind w:firstLine="0" w:firstLineChars="0"/>
              <w:jc w:val="left"/>
              <w:rPr>
                <w:rFonts w:hint="default" w:ascii="宋体" w:hAnsi="宋体"/>
                <w:sz w:val="24"/>
                <w:szCs w:val="24"/>
                <w:highlight w:val="none"/>
                <w:lang w:val="en-US"/>
              </w:rPr>
            </w:pPr>
            <w:r>
              <w:rPr>
                <w:rFonts w:hint="eastAsia" w:ascii="宋体" w:hAnsi="宋体"/>
                <w:sz w:val="24"/>
                <w:szCs w:val="24"/>
                <w:highlight w:val="none"/>
              </w:rPr>
              <w:t>格式</w:t>
            </w:r>
            <w:r>
              <w:rPr>
                <w:rFonts w:hint="eastAsia" w:ascii="宋体" w:hAnsi="宋体"/>
                <w:sz w:val="24"/>
                <w:szCs w:val="24"/>
                <w:highlight w:val="none"/>
                <w:lang w:val="en-US" w:eastAsia="zh-CN"/>
              </w:rPr>
              <w:t>见后附件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2" w:type="dxa"/>
            <w:vAlign w:val="center"/>
          </w:tcPr>
          <w:p>
            <w:pPr>
              <w:pStyle w:val="98"/>
              <w:spacing w:line="360" w:lineRule="exact"/>
              <w:ind w:firstLine="0" w:firstLineChars="0"/>
              <w:jc w:val="center"/>
              <w:rPr>
                <w:rFonts w:ascii="宋体" w:hAnsi="宋体"/>
                <w:sz w:val="24"/>
                <w:szCs w:val="24"/>
              </w:rPr>
            </w:pPr>
            <w:r>
              <w:rPr>
                <w:rFonts w:ascii="宋体" w:hAnsi="宋体"/>
                <w:sz w:val="24"/>
                <w:szCs w:val="24"/>
              </w:rPr>
              <w:t>4</w:t>
            </w:r>
          </w:p>
        </w:tc>
        <w:tc>
          <w:tcPr>
            <w:tcW w:w="3234" w:type="dxa"/>
            <w:vAlign w:val="center"/>
          </w:tcPr>
          <w:p>
            <w:pPr>
              <w:pStyle w:val="98"/>
              <w:spacing w:line="360" w:lineRule="exact"/>
              <w:ind w:firstLine="0"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资信</w:t>
            </w:r>
            <w:r>
              <w:rPr>
                <w:rFonts w:hint="eastAsia" w:ascii="宋体" w:hAnsi="宋体" w:cs="宋体"/>
                <w:kern w:val="0"/>
                <w:sz w:val="24"/>
                <w:szCs w:val="24"/>
                <w:lang w:val="en-US" w:eastAsia="zh-CN"/>
              </w:rPr>
              <w:t>与方案</w:t>
            </w:r>
            <w:r>
              <w:rPr>
                <w:rFonts w:hint="eastAsia" w:ascii="宋体" w:hAnsi="宋体" w:eastAsia="宋体" w:cs="宋体"/>
                <w:kern w:val="0"/>
                <w:sz w:val="24"/>
                <w:szCs w:val="24"/>
              </w:rPr>
              <w:t>要求</w:t>
            </w:r>
          </w:p>
        </w:tc>
        <w:tc>
          <w:tcPr>
            <w:tcW w:w="5095" w:type="dxa"/>
            <w:vAlign w:val="center"/>
          </w:tcPr>
          <w:p>
            <w:pPr>
              <w:pStyle w:val="98"/>
              <w:spacing w:line="360" w:lineRule="exact"/>
              <w:ind w:firstLine="0" w:firstLineChars="0"/>
              <w:jc w:val="left"/>
              <w:rPr>
                <w:rFonts w:hint="default" w:ascii="宋体" w:hAnsi="宋体"/>
                <w:sz w:val="24"/>
                <w:szCs w:val="24"/>
                <w:lang w:val="en-US" w:eastAsia="zh-CN"/>
              </w:rPr>
            </w:pPr>
            <w:r>
              <w:rPr>
                <w:rFonts w:hint="eastAsia" w:ascii="宋体" w:hAnsi="宋体"/>
                <w:sz w:val="24"/>
                <w:szCs w:val="24"/>
                <w:lang w:val="en-US" w:eastAsia="zh-CN"/>
              </w:rPr>
              <w:t>按</w:t>
            </w:r>
            <w:r>
              <w:rPr>
                <w:rFonts w:hint="default" w:ascii="宋体" w:hAnsi="宋体"/>
                <w:sz w:val="24"/>
                <w:szCs w:val="24"/>
                <w:lang w:val="en-US" w:eastAsia="zh-CN"/>
              </w:rPr>
              <w:t>“</w:t>
            </w:r>
            <w:r>
              <w:rPr>
                <w:rFonts w:hint="eastAsia" w:ascii="宋体" w:hAnsi="宋体"/>
                <w:sz w:val="24"/>
                <w:szCs w:val="24"/>
              </w:rPr>
              <w:t>资信</w:t>
            </w:r>
            <w:r>
              <w:rPr>
                <w:rFonts w:hint="eastAsia" w:ascii="宋体" w:hAnsi="宋体"/>
                <w:sz w:val="24"/>
                <w:szCs w:val="24"/>
                <w:lang w:val="en-US" w:eastAsia="zh-CN"/>
              </w:rPr>
              <w:t>与方案</w:t>
            </w:r>
            <w:r>
              <w:rPr>
                <w:rFonts w:hint="eastAsia" w:ascii="宋体" w:hAnsi="宋体"/>
                <w:sz w:val="24"/>
                <w:szCs w:val="24"/>
              </w:rPr>
              <w:t>要求</w:t>
            </w:r>
            <w:r>
              <w:rPr>
                <w:rFonts w:hint="default" w:ascii="宋体" w:hAnsi="宋体"/>
                <w:sz w:val="24"/>
                <w:szCs w:val="24"/>
                <w:lang w:val="en-US" w:eastAsia="zh-CN"/>
              </w:rPr>
              <w:t>”</w:t>
            </w:r>
            <w:r>
              <w:rPr>
                <w:rFonts w:hint="eastAsia" w:ascii="宋体" w:hAnsi="宋体"/>
                <w:sz w:val="24"/>
                <w:szCs w:val="24"/>
                <w:lang w:val="en-US" w:eastAsia="zh-CN"/>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02" w:type="dxa"/>
            <w:vAlign w:val="center"/>
          </w:tcPr>
          <w:p>
            <w:pPr>
              <w:pStyle w:val="98"/>
              <w:spacing w:line="360" w:lineRule="exact"/>
              <w:ind w:firstLine="0" w:firstLineChars="0"/>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3234" w:type="dxa"/>
            <w:vAlign w:val="center"/>
          </w:tcPr>
          <w:p>
            <w:pPr>
              <w:pStyle w:val="98"/>
              <w:spacing w:line="360" w:lineRule="exact"/>
              <w:ind w:firstLine="0" w:firstLineChars="0"/>
              <w:jc w:val="left"/>
              <w:rPr>
                <w:rFonts w:hint="eastAsia" w:ascii="宋体" w:hAnsi="宋体" w:cs="宋体"/>
                <w:kern w:val="0"/>
                <w:sz w:val="24"/>
                <w:szCs w:val="24"/>
              </w:rPr>
            </w:pPr>
            <w:r>
              <w:rPr>
                <w:rFonts w:hint="eastAsia" w:ascii="宋体" w:hAnsi="宋体" w:cs="宋体"/>
                <w:kern w:val="0"/>
                <w:sz w:val="24"/>
                <w:szCs w:val="24"/>
                <w:lang w:val="en-US" w:eastAsia="zh-CN"/>
              </w:rPr>
              <w:t>报价人认为需要加以说明的其他内容</w:t>
            </w:r>
          </w:p>
        </w:tc>
        <w:tc>
          <w:tcPr>
            <w:tcW w:w="5095" w:type="dxa"/>
            <w:vAlign w:val="center"/>
          </w:tcPr>
          <w:p>
            <w:pPr>
              <w:pStyle w:val="28"/>
              <w:rPr>
                <w:rFonts w:hAnsi="宋体"/>
                <w:sz w:val="24"/>
                <w:szCs w:val="24"/>
              </w:rPr>
            </w:pPr>
            <w:r>
              <w:rPr>
                <w:rFonts w:hint="eastAsia" w:hAnsi="宋体"/>
                <w:sz w:val="24"/>
                <w:szCs w:val="24"/>
              </w:rPr>
              <w:t>如有</w:t>
            </w:r>
          </w:p>
        </w:tc>
      </w:tr>
    </w:tbl>
    <w:p>
      <w:pPr>
        <w:pStyle w:val="98"/>
        <w:tabs>
          <w:tab w:val="left" w:pos="426"/>
          <w:tab w:val="left" w:pos="567"/>
        </w:tabs>
        <w:spacing w:line="560" w:lineRule="exact"/>
        <w:ind w:left="622" w:firstLine="0" w:firstLineChars="0"/>
        <w:outlineLvl w:val="0"/>
        <w:rPr>
          <w:rFonts w:ascii="仿宋" w:hAnsi="仿宋" w:eastAsia="仿宋"/>
          <w:b/>
          <w:sz w:val="30"/>
          <w:szCs w:val="30"/>
        </w:rPr>
      </w:pPr>
    </w:p>
    <w:p>
      <w:pPr>
        <w:widowControl/>
        <w:spacing w:beforeLines="-2147483648" w:afterLines="-2147483648"/>
        <w:jc w:val="left"/>
        <w:rPr>
          <w:rFonts w:hint="eastAsia" w:ascii="黑体" w:eastAsia="黑体"/>
          <w:snapToGrid w:val="0"/>
          <w:kern w:val="0"/>
          <w:sz w:val="32"/>
          <w:szCs w:val="32"/>
        </w:rPr>
      </w:pPr>
    </w:p>
    <w:p>
      <w:pPr>
        <w:pStyle w:val="100"/>
        <w:widowControl/>
        <w:spacing w:line="560" w:lineRule="exact"/>
        <w:rPr>
          <w:rFonts w:ascii="仿宋" w:hAnsi="仿宋" w:eastAsia="仿宋"/>
          <w:b/>
          <w:sz w:val="30"/>
          <w:szCs w:val="30"/>
        </w:rPr>
      </w:pPr>
    </w:p>
    <w:p>
      <w:pPr>
        <w:rPr>
          <w:rFonts w:ascii="仿宋" w:hAnsi="仿宋" w:eastAsia="仿宋"/>
          <w:b/>
          <w:sz w:val="30"/>
          <w:szCs w:val="30"/>
        </w:rPr>
      </w:pPr>
      <w:r>
        <w:rPr>
          <w:rFonts w:ascii="仿宋" w:hAnsi="仿宋" w:eastAsia="仿宋"/>
          <w:b/>
          <w:sz w:val="30"/>
          <w:szCs w:val="30"/>
        </w:rPr>
        <w:br w:type="page"/>
      </w:r>
    </w:p>
    <w:p>
      <w:pPr>
        <w:pStyle w:val="100"/>
        <w:widowControl/>
        <w:spacing w:line="560" w:lineRule="exact"/>
        <w:rPr>
          <w:rFonts w:hint="eastAsia" w:ascii="仿宋" w:hAnsi="仿宋" w:eastAsia="仿宋"/>
          <w:b/>
          <w:sz w:val="30"/>
          <w:szCs w:val="30"/>
          <w:highlight w:val="none"/>
        </w:rPr>
      </w:pPr>
      <w:r>
        <w:rPr>
          <w:rFonts w:hint="eastAsia" w:ascii="仿宋" w:hAnsi="仿宋" w:eastAsia="仿宋"/>
          <w:b/>
          <w:sz w:val="30"/>
          <w:szCs w:val="30"/>
          <w:highlight w:val="none"/>
        </w:rPr>
        <w:t>资信</w:t>
      </w:r>
      <w:r>
        <w:rPr>
          <w:rFonts w:hint="eastAsia" w:ascii="仿宋" w:hAnsi="仿宋" w:eastAsia="仿宋"/>
          <w:b/>
          <w:sz w:val="30"/>
          <w:szCs w:val="30"/>
          <w:highlight w:val="none"/>
          <w:lang w:val="en-US" w:eastAsia="zh-CN"/>
        </w:rPr>
        <w:t>与方案</w:t>
      </w:r>
      <w:r>
        <w:rPr>
          <w:rFonts w:hint="eastAsia" w:ascii="仿宋" w:hAnsi="仿宋" w:eastAsia="仿宋"/>
          <w:b/>
          <w:sz w:val="30"/>
          <w:szCs w:val="30"/>
          <w:highlight w:val="none"/>
        </w:rPr>
        <w:t>要求</w:t>
      </w:r>
      <w:bookmarkStart w:id="10" w:name="_Toc306716037"/>
      <w:bookmarkStart w:id="11" w:name="_Toc151020524"/>
      <w:bookmarkStart w:id="12" w:name="_Toc509669694"/>
    </w:p>
    <w:tbl>
      <w:tblPr>
        <w:tblStyle w:val="53"/>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563"/>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trPr>
        <w:tc>
          <w:tcPr>
            <w:tcW w:w="944"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color w:val="auto"/>
                <w:kern w:val="0"/>
                <w:sz w:val="28"/>
                <w:szCs w:val="28"/>
                <w:lang w:bidi="ar"/>
              </w:rPr>
            </w:pPr>
            <w:r>
              <w:rPr>
                <w:rFonts w:hint="eastAsia" w:ascii="仿宋" w:hAnsi="仿宋" w:eastAsia="仿宋" w:cs="仿宋"/>
                <w:b/>
                <w:color w:val="auto"/>
                <w:sz w:val="28"/>
                <w:szCs w:val="28"/>
              </w:rPr>
              <w:t>序号</w:t>
            </w:r>
          </w:p>
        </w:tc>
        <w:tc>
          <w:tcPr>
            <w:tcW w:w="156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color w:val="auto"/>
                <w:kern w:val="0"/>
                <w:sz w:val="28"/>
                <w:szCs w:val="28"/>
                <w:lang w:bidi="ar"/>
              </w:rPr>
            </w:pPr>
            <w:r>
              <w:rPr>
                <w:rFonts w:hint="eastAsia" w:ascii="仿宋" w:hAnsi="仿宋" w:eastAsia="仿宋" w:cs="仿宋"/>
                <w:b/>
                <w:color w:val="auto"/>
                <w:sz w:val="28"/>
                <w:szCs w:val="28"/>
              </w:rPr>
              <w:t>要素名称</w:t>
            </w:r>
          </w:p>
        </w:tc>
        <w:tc>
          <w:tcPr>
            <w:tcW w:w="6012"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color w:val="auto"/>
                <w:kern w:val="0"/>
                <w:sz w:val="28"/>
                <w:szCs w:val="28"/>
                <w:lang w:bidi="ar"/>
              </w:rPr>
            </w:pPr>
            <w:r>
              <w:rPr>
                <w:rFonts w:hint="eastAsia" w:ascii="仿宋" w:hAnsi="仿宋" w:eastAsia="仿宋" w:cs="仿宋"/>
                <w:b/>
                <w:color w:val="auto"/>
                <w:sz w:val="28"/>
                <w:szCs w:val="28"/>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944" w:type="dxa"/>
            <w:vAlign w:val="center"/>
          </w:tcPr>
          <w:p>
            <w:pPr>
              <w:keepNext w:val="0"/>
              <w:keepLines w:val="0"/>
              <w:widowControl/>
              <w:suppressLineNumbers w:val="0"/>
              <w:adjustRightInd w:val="0"/>
              <w:snapToGrid w:val="0"/>
              <w:spacing w:before="80" w:beforeAutospacing="0" w:after="80" w:afterAutospacing="0"/>
              <w:ind w:left="0" w:right="0"/>
              <w:jc w:val="center"/>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1</w:t>
            </w:r>
          </w:p>
        </w:tc>
        <w:tc>
          <w:tcPr>
            <w:tcW w:w="1563" w:type="dxa"/>
            <w:vAlign w:val="center"/>
          </w:tcPr>
          <w:p>
            <w:pPr>
              <w:widowControl/>
              <w:adjustRightInd w:val="0"/>
              <w:snapToGrid w:val="0"/>
              <w:spacing w:before="80" w:after="80"/>
              <w:jc w:val="left"/>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rPr>
              <w:t>投标人类似</w:t>
            </w:r>
            <w:r>
              <w:rPr>
                <w:rFonts w:ascii="仿宋_GB2312" w:hAnsi="仿宋_GB2312" w:eastAsia="仿宋_GB2312" w:cs="仿宋_GB2312"/>
                <w:color w:val="auto"/>
                <w:kern w:val="0"/>
                <w:sz w:val="28"/>
                <w:szCs w:val="28"/>
              </w:rPr>
              <w:t>工程业绩</w:t>
            </w:r>
          </w:p>
        </w:tc>
        <w:tc>
          <w:tcPr>
            <w:tcW w:w="6012" w:type="dxa"/>
            <w:vAlign w:val="center"/>
          </w:tcPr>
          <w:p>
            <w:pPr>
              <w:widowControl/>
              <w:spacing w:line="0" w:lineRule="atLeas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提供2021年1月1日至今，投标人类似工程业绩（不超过3项，若超过3项，招标人仅对前3项业绩进行复核及统计，以合同签订时间为准，合同未体现签订时间的，则不予统计此项业绩）</w:t>
            </w:r>
          </w:p>
          <w:p>
            <w:pPr>
              <w:spacing w:line="0" w:lineRule="atLeast"/>
              <w:jc w:val="left"/>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sz w:val="28"/>
                <w:szCs w:val="28"/>
              </w:rPr>
              <w:t>（证明资料为相关合同，应包含工程名称、委托单位名称、受托单位名称、合同金额等信息，可提供合同关键页扫描件，若未体现以上信息，可提供其他相关证明材料。）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4" w:type="dxa"/>
            <w:vAlign w:val="center"/>
          </w:tcPr>
          <w:p>
            <w:pPr>
              <w:keepNext w:val="0"/>
              <w:keepLines w:val="0"/>
              <w:widowControl/>
              <w:suppressLineNumbers w:val="0"/>
              <w:adjustRightInd w:val="0"/>
              <w:snapToGrid w:val="0"/>
              <w:spacing w:before="80" w:beforeAutospacing="0" w:after="80" w:afterAutospacing="0"/>
              <w:ind w:left="0" w:right="0"/>
              <w:jc w:val="center"/>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w:t>
            </w:r>
          </w:p>
        </w:tc>
        <w:tc>
          <w:tcPr>
            <w:tcW w:w="1563" w:type="dxa"/>
            <w:vAlign w:val="center"/>
          </w:tcPr>
          <w:p>
            <w:pPr>
              <w:widowControl/>
              <w:adjustRightInd w:val="0"/>
              <w:snapToGrid w:val="0"/>
              <w:spacing w:before="80" w:after="80"/>
              <w:jc w:val="left"/>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rPr>
              <w:t>项目负责人类似工程业绩</w:t>
            </w:r>
          </w:p>
        </w:tc>
        <w:tc>
          <w:tcPr>
            <w:tcW w:w="6012" w:type="dxa"/>
            <w:vAlign w:val="center"/>
          </w:tcPr>
          <w:p>
            <w:pPr>
              <w:spacing w:line="0" w:lineRule="atLeas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提供2021年1月1日至今，项目负责人类似工程业绩（不超过3项，若超过3项，招标人仅对前3项业绩进行复核及统计，以合同签订时间为准，合同未体现签订时间的，则不予统计此项业绩。）</w:t>
            </w:r>
          </w:p>
          <w:p>
            <w:pPr>
              <w:widowControl/>
              <w:adjustRightInd w:val="0"/>
              <w:snapToGrid w:val="0"/>
              <w:spacing w:before="80" w:after="80"/>
              <w:jc w:val="left"/>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sz w:val="28"/>
                <w:szCs w:val="28"/>
              </w:rPr>
              <w:t>（证明资料为合同关键页等证明文件扫描件，须体现合同签订时间、合同签订金额和项目负责人任职信息等，如无法体现任职信息，需提供业主证明等证明材料。）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5" w:hRule="atLeast"/>
        </w:trPr>
        <w:tc>
          <w:tcPr>
            <w:tcW w:w="944" w:type="dxa"/>
            <w:vAlign w:val="center"/>
          </w:tcPr>
          <w:p>
            <w:pPr>
              <w:keepNext w:val="0"/>
              <w:keepLines w:val="0"/>
              <w:widowControl/>
              <w:suppressLineNumbers w:val="0"/>
              <w:adjustRightInd w:val="0"/>
              <w:snapToGrid w:val="0"/>
              <w:spacing w:before="80" w:beforeAutospacing="0" w:after="80" w:afterAutospacing="0"/>
              <w:ind w:left="0" w:right="0"/>
              <w:jc w:val="center"/>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3</w:t>
            </w:r>
          </w:p>
        </w:tc>
        <w:tc>
          <w:tcPr>
            <w:tcW w:w="1563" w:type="dxa"/>
            <w:vAlign w:val="center"/>
          </w:tcPr>
          <w:p>
            <w:pPr>
              <w:widowControl/>
              <w:adjustRightInd w:val="0"/>
              <w:snapToGrid w:val="0"/>
              <w:spacing w:before="80" w:after="80"/>
              <w:jc w:val="left"/>
              <w:rPr>
                <w:rFonts w:hint="default" w:ascii="仿宋_GB2312" w:hAnsi="仿宋_GB2312" w:eastAsia="仿宋_GB2312" w:cs="仿宋_GB2312"/>
                <w:color w:val="auto"/>
                <w:kern w:val="0"/>
                <w:sz w:val="28"/>
                <w:szCs w:val="28"/>
                <w:lang w:val="en-US" w:eastAsia="zh-CN" w:bidi="ar"/>
              </w:rPr>
            </w:pPr>
            <w:r>
              <w:rPr>
                <w:rFonts w:ascii="仿宋_GB2312" w:hAnsi="仿宋_GB2312" w:eastAsia="仿宋_GB2312" w:cs="仿宋_GB2312"/>
                <w:color w:val="auto"/>
                <w:kern w:val="0"/>
                <w:sz w:val="28"/>
                <w:szCs w:val="28"/>
              </w:rPr>
              <w:t>履约评价</w:t>
            </w:r>
          </w:p>
        </w:tc>
        <w:tc>
          <w:tcPr>
            <w:tcW w:w="6012" w:type="dxa"/>
            <w:vAlign w:val="center"/>
          </w:tcPr>
          <w:p>
            <w:pPr>
              <w:widowControl/>
              <w:adjustRightInd w:val="0"/>
              <w:snapToGrid w:val="0"/>
              <w:spacing w:before="80" w:after="80"/>
              <w:jc w:val="left"/>
              <w:rPr>
                <w:rFonts w:ascii="仿宋_GB2312" w:hAnsi="仿宋_GB2312" w:eastAsia="仿宋_GB2312" w:cs="仿宋_GB2312"/>
                <w:color w:val="auto"/>
                <w:kern w:val="0"/>
                <w:sz w:val="28"/>
                <w:szCs w:val="28"/>
              </w:rPr>
            </w:pPr>
            <w:r>
              <w:rPr>
                <w:rFonts w:ascii="仿宋_GB2312" w:hAnsi="仿宋_GB2312" w:eastAsia="仿宋_GB2312" w:cs="仿宋_GB2312"/>
                <w:color w:val="auto"/>
                <w:kern w:val="0"/>
                <w:sz w:val="28"/>
                <w:szCs w:val="28"/>
              </w:rPr>
              <w:t>提供</w:t>
            </w:r>
            <w:r>
              <w:rPr>
                <w:rFonts w:hint="eastAsia" w:ascii="仿宋_GB2312" w:hAnsi="仿宋_GB2312" w:eastAsia="仿宋_GB2312" w:cs="仿宋_GB2312"/>
                <w:color w:val="auto"/>
                <w:sz w:val="28"/>
                <w:szCs w:val="28"/>
              </w:rPr>
              <w:t>2021年1月1日至今</w:t>
            </w:r>
            <w:r>
              <w:rPr>
                <w:rFonts w:hint="eastAsia" w:ascii="仿宋_GB2312" w:hAnsi="仿宋_GB2312" w:eastAsia="仿宋_GB2312" w:cs="仿宋_GB2312"/>
                <w:color w:val="auto"/>
                <w:kern w:val="0"/>
                <w:sz w:val="28"/>
                <w:szCs w:val="28"/>
              </w:rPr>
              <w:t>，类似</w:t>
            </w:r>
            <w:r>
              <w:rPr>
                <w:rFonts w:ascii="仿宋_GB2312" w:hAnsi="仿宋_GB2312" w:eastAsia="仿宋_GB2312" w:cs="仿宋_GB2312"/>
                <w:color w:val="auto"/>
                <w:kern w:val="0"/>
                <w:sz w:val="28"/>
                <w:szCs w:val="28"/>
              </w:rPr>
              <w:t>工程合同履约情况；（不超过3项，若超过3项，招标人仅对前3项履约进行复核及统计）。</w:t>
            </w:r>
          </w:p>
          <w:p>
            <w:pPr>
              <w:widowControl/>
              <w:adjustRightInd w:val="0"/>
              <w:snapToGrid w:val="0"/>
              <w:spacing w:before="80" w:after="80"/>
              <w:jc w:val="left"/>
              <w:rPr>
                <w:rFonts w:hint="default" w:ascii="仿宋_GB2312" w:hAnsi="仿宋_GB2312" w:eastAsia="仿宋_GB2312" w:cs="仿宋_GB2312"/>
                <w:color w:val="auto"/>
                <w:kern w:val="0"/>
                <w:sz w:val="28"/>
                <w:szCs w:val="28"/>
                <w:lang w:val="en-US" w:eastAsia="zh-CN" w:bidi="ar"/>
              </w:rPr>
            </w:pPr>
            <w:r>
              <w:rPr>
                <w:rFonts w:ascii="仿宋_GB2312" w:hAnsi="仿宋_GB2312" w:eastAsia="仿宋_GB2312" w:cs="仿宋_GB2312"/>
                <w:color w:val="auto"/>
                <w:kern w:val="0"/>
                <w:sz w:val="28"/>
                <w:szCs w:val="28"/>
              </w:rPr>
              <w:cr/>
            </w:r>
            <w:r>
              <w:rPr>
                <w:rFonts w:ascii="仿宋_GB2312" w:hAnsi="仿宋_GB2312" w:eastAsia="仿宋_GB2312" w:cs="仿宋_GB2312"/>
                <w:color w:val="auto"/>
                <w:kern w:val="0"/>
                <w:sz w:val="28"/>
                <w:szCs w:val="28"/>
              </w:rPr>
              <w:t>证明材料：履约证明等扫描件（应包含工程名称、评价单位名称、被评价单位名称、评价结论等，若未体现以上信息，可提供其他相关证明材料），以履约证明上载明的时间为准，未体现履约评价时间的，则不予统计此项履约。一个项目的履约评价只计1项。若未附证明材料或证明材料中未能清晰体现关键信息或证明材料前后不一致，招标人有可能做出对投标人不利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44" w:type="dxa"/>
            <w:vAlign w:val="center"/>
          </w:tcPr>
          <w:p>
            <w:pPr>
              <w:keepNext w:val="0"/>
              <w:keepLines w:val="0"/>
              <w:widowControl/>
              <w:suppressLineNumbers w:val="0"/>
              <w:adjustRightInd w:val="0"/>
              <w:snapToGrid w:val="0"/>
              <w:spacing w:before="80" w:beforeAutospacing="0" w:after="80" w:afterAutospacing="0"/>
              <w:ind w:left="0" w:right="0"/>
              <w:jc w:val="center"/>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4</w:t>
            </w:r>
          </w:p>
        </w:tc>
        <w:tc>
          <w:tcPr>
            <w:tcW w:w="1563" w:type="dxa"/>
            <w:vAlign w:val="center"/>
          </w:tcPr>
          <w:p>
            <w:pPr>
              <w:widowControl/>
              <w:adjustRightInd w:val="0"/>
              <w:snapToGrid w:val="0"/>
              <w:spacing w:before="80" w:after="80"/>
              <w:jc w:val="left"/>
              <w:rPr>
                <w:rFonts w:hint="default" w:ascii="仿宋_GB2312" w:hAnsi="仿宋_GB2312" w:eastAsia="仿宋_GB2312" w:cs="仿宋_GB2312"/>
                <w:color w:val="auto"/>
                <w:kern w:val="0"/>
                <w:sz w:val="28"/>
                <w:szCs w:val="28"/>
                <w:lang w:val="en-US" w:eastAsia="zh-CN" w:bidi="ar"/>
              </w:rPr>
            </w:pPr>
            <w:r>
              <w:rPr>
                <w:rFonts w:ascii="仿宋_GB2312" w:hAnsi="仿宋_GB2312" w:eastAsia="仿宋_GB2312" w:cs="仿宋_GB2312"/>
                <w:color w:val="auto"/>
                <w:kern w:val="0"/>
                <w:sz w:val="28"/>
                <w:szCs w:val="28"/>
              </w:rPr>
              <w:t>投标人诚信</w:t>
            </w:r>
          </w:p>
        </w:tc>
        <w:tc>
          <w:tcPr>
            <w:tcW w:w="6012" w:type="dxa"/>
            <w:vAlign w:val="center"/>
          </w:tcPr>
          <w:p>
            <w:pPr>
              <w:widowControl/>
              <w:adjustRightInd w:val="0"/>
              <w:snapToGrid w:val="0"/>
              <w:spacing w:before="80" w:after="8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提供通</w:t>
            </w:r>
            <w:r>
              <w:rPr>
                <w:rFonts w:hint="eastAsia" w:ascii="仿宋_GB2312" w:hAnsi="仿宋_GB2312" w:eastAsia="仿宋_GB2312" w:cs="仿宋_GB2312"/>
                <w:color w:val="auto"/>
                <w:kern w:val="0"/>
                <w:sz w:val="28"/>
                <w:szCs w:val="28"/>
              </w:rPr>
              <w:t>过“国家企业信用信息公示系统”、“</w:t>
            </w:r>
            <w:r>
              <w:rPr>
                <w:rFonts w:hint="eastAsia" w:ascii="仿宋_GB2312" w:hAnsi="仿宋_GB2312" w:eastAsia="仿宋_GB2312" w:cs="仿宋_GB2312"/>
                <w:color w:val="auto"/>
                <w:sz w:val="28"/>
                <w:szCs w:val="28"/>
              </w:rPr>
              <w:t>信用中国”、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中国政府采购网</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严重违法失信行为查询截图。</w:t>
            </w:r>
          </w:p>
          <w:p>
            <w:pPr>
              <w:widowControl/>
              <w:adjustRightInd w:val="0"/>
              <w:snapToGrid w:val="0"/>
              <w:spacing w:before="80" w:after="80"/>
              <w:jc w:val="left"/>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sz w:val="28"/>
                <w:szCs w:val="28"/>
              </w:rPr>
              <w:t>（</w:t>
            </w:r>
            <w:r>
              <w:rPr>
                <w:rFonts w:ascii="仿宋_GB2312" w:hAnsi="仿宋_GB2312" w:eastAsia="仿宋_GB2312" w:cs="仿宋_GB2312"/>
                <w:color w:val="auto"/>
                <w:kern w:val="0"/>
                <w:sz w:val="28"/>
                <w:szCs w:val="28"/>
              </w:rPr>
              <w:t>证明资料为相关查询结果截图</w:t>
            </w: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944" w:type="dxa"/>
            <w:vAlign w:val="center"/>
          </w:tcPr>
          <w:p>
            <w:pPr>
              <w:keepNext w:val="0"/>
              <w:keepLines w:val="0"/>
              <w:widowControl/>
              <w:suppressLineNumbers w:val="0"/>
              <w:adjustRightInd w:val="0"/>
              <w:snapToGrid w:val="0"/>
              <w:spacing w:before="80" w:beforeAutospacing="0" w:after="80" w:afterAutospacing="0"/>
              <w:ind w:left="0" w:right="0"/>
              <w:jc w:val="center"/>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5</w:t>
            </w:r>
          </w:p>
        </w:tc>
        <w:tc>
          <w:tcPr>
            <w:tcW w:w="1563" w:type="dxa"/>
            <w:vAlign w:val="center"/>
          </w:tcPr>
          <w:p>
            <w:pPr>
              <w:widowControl/>
              <w:adjustRightInd w:val="0"/>
              <w:snapToGrid w:val="0"/>
              <w:spacing w:before="80" w:after="80"/>
              <w:jc w:val="left"/>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rPr>
              <w:t>实施方案</w:t>
            </w:r>
          </w:p>
        </w:tc>
        <w:tc>
          <w:tcPr>
            <w:tcW w:w="6012" w:type="dxa"/>
            <w:vAlign w:val="center"/>
          </w:tcPr>
          <w:p>
            <w:pPr>
              <w:widowControl/>
              <w:adjustRightInd w:val="0"/>
              <w:snapToGrid w:val="0"/>
              <w:spacing w:before="80" w:after="80"/>
              <w:jc w:val="left"/>
              <w:rPr>
                <w:rFonts w:hint="eastAsia" w:ascii="仿宋_GB2312" w:hAnsi="仿宋_GB2312" w:eastAsia="仿宋_GB2312" w:cs="仿宋_GB2312"/>
                <w:color w:val="auto"/>
                <w:kern w:val="0"/>
                <w:sz w:val="28"/>
                <w:szCs w:val="28"/>
                <w:lang w:val="en-US" w:eastAsia="zh-CN" w:bidi="ar"/>
              </w:rPr>
            </w:pPr>
            <w:r>
              <w:rPr>
                <w:rFonts w:ascii="仿宋_GB2312" w:hAnsi="仿宋_GB2312" w:eastAsia="仿宋_GB2312" w:cs="仿宋_GB2312"/>
                <w:color w:val="auto"/>
                <w:kern w:val="0"/>
                <w:sz w:val="28"/>
                <w:szCs w:val="28"/>
              </w:rPr>
              <w:t>投标人</w:t>
            </w:r>
            <w:r>
              <w:rPr>
                <w:rFonts w:hint="eastAsia" w:ascii="仿宋_GB2312" w:hAnsi="仿宋_GB2312" w:eastAsia="仿宋_GB2312" w:cs="仿宋_GB2312"/>
                <w:color w:val="auto"/>
                <w:kern w:val="0"/>
                <w:sz w:val="28"/>
                <w:szCs w:val="28"/>
              </w:rPr>
              <w:t>结合自身情况，依据本招标文件要求，编写本项目</w:t>
            </w:r>
            <w:r>
              <w:rPr>
                <w:rFonts w:hint="eastAsia" w:ascii="仿宋_GB2312" w:hAnsi="仿宋_GB2312" w:eastAsia="仿宋_GB2312" w:cs="仿宋_GB2312"/>
                <w:color w:val="auto"/>
                <w:kern w:val="0"/>
                <w:sz w:val="28"/>
                <w:szCs w:val="28"/>
                <w:lang w:val="en-US" w:eastAsia="zh-CN"/>
              </w:rPr>
              <w:t>勘察</w:t>
            </w:r>
            <w:r>
              <w:rPr>
                <w:rFonts w:hint="eastAsia" w:ascii="仿宋_GB2312" w:hAnsi="仿宋_GB2312" w:eastAsia="仿宋_GB2312" w:cs="仿宋_GB2312"/>
                <w:color w:val="auto"/>
                <w:kern w:val="0"/>
                <w:sz w:val="28"/>
                <w:szCs w:val="28"/>
              </w:rPr>
              <w:t>服务实施方案。</w:t>
            </w:r>
            <w:r>
              <w:rPr>
                <w:rFonts w:hint="eastAsia" w:ascii="仿宋_GB2312" w:hAnsi="仿宋_GB2312" w:eastAsia="仿宋_GB2312" w:cs="仿宋_GB2312"/>
                <w:color w:val="auto"/>
                <w:kern w:val="0"/>
                <w:sz w:val="28"/>
                <w:szCs w:val="28"/>
                <w:lang w:val="en-US" w:eastAsia="zh-CN"/>
              </w:rPr>
              <w:t>包括资源投入、工程质量保证、进度计划及管控、后续服务、应急预案等。</w:t>
            </w:r>
          </w:p>
        </w:tc>
      </w:tr>
    </w:tbl>
    <w:p>
      <w:pPr>
        <w:pStyle w:val="24"/>
        <w:jc w:val="center"/>
        <w:rPr>
          <w:rFonts w:hint="eastAsia"/>
          <w:b/>
          <w:sz w:val="36"/>
          <w:szCs w:val="36"/>
        </w:rPr>
      </w:pPr>
    </w:p>
    <w:p>
      <w:pPr>
        <w:rPr>
          <w:rFonts w:hint="eastAsia"/>
          <w:b/>
          <w:sz w:val="36"/>
          <w:szCs w:val="36"/>
        </w:rPr>
      </w:pPr>
      <w:r>
        <w:rPr>
          <w:rFonts w:hint="eastAsia"/>
          <w:b/>
          <w:sz w:val="36"/>
          <w:szCs w:val="36"/>
        </w:rPr>
        <w:br w:type="page"/>
      </w:r>
    </w:p>
    <w:p>
      <w:pPr>
        <w:pStyle w:val="24"/>
        <w:jc w:val="center"/>
        <w:rPr>
          <w:b/>
          <w:sz w:val="36"/>
          <w:szCs w:val="36"/>
        </w:rPr>
      </w:pPr>
      <w:r>
        <w:rPr>
          <w:rFonts w:hint="eastAsia"/>
          <w:b/>
          <w:sz w:val="36"/>
          <w:szCs w:val="36"/>
        </w:rPr>
        <w:t xml:space="preserve">第三章  </w:t>
      </w:r>
      <w:bookmarkEnd w:id="10"/>
      <w:bookmarkEnd w:id="11"/>
      <w:bookmarkEnd w:id="12"/>
      <w:bookmarkStart w:id="13" w:name="_Toc509669699"/>
      <w:r>
        <w:rPr>
          <w:rFonts w:hint="eastAsia"/>
          <w:b/>
          <w:sz w:val="36"/>
          <w:szCs w:val="36"/>
        </w:rPr>
        <w:t>合同文件</w:t>
      </w:r>
    </w:p>
    <w:p>
      <w:pPr>
        <w:pStyle w:val="167"/>
        <w:ind w:left="420" w:firstLine="0" w:firstLineChars="0"/>
        <w:rPr>
          <w:rFonts w:hint="eastAsia" w:ascii="宋体" w:hAnsi="宋体"/>
          <w:b/>
          <w:color w:val="auto"/>
          <w:sz w:val="28"/>
          <w:szCs w:val="28"/>
          <w:highlight w:val="none"/>
        </w:rPr>
      </w:pPr>
    </w:p>
    <w:tbl>
      <w:tblPr>
        <w:tblStyle w:val="53"/>
        <w:tblW w:w="8901" w:type="dxa"/>
        <w:jc w:val="center"/>
        <w:tblLayout w:type="fixed"/>
        <w:tblCellMar>
          <w:top w:w="0" w:type="dxa"/>
          <w:left w:w="108" w:type="dxa"/>
          <w:bottom w:w="0" w:type="dxa"/>
          <w:right w:w="108" w:type="dxa"/>
        </w:tblCellMar>
      </w:tblPr>
      <w:tblGrid>
        <w:gridCol w:w="4076"/>
        <w:gridCol w:w="2098"/>
        <w:gridCol w:w="246"/>
        <w:gridCol w:w="2481"/>
      </w:tblGrid>
      <w:tr>
        <w:tblPrEx>
          <w:tblCellMar>
            <w:top w:w="0" w:type="dxa"/>
            <w:left w:w="108" w:type="dxa"/>
            <w:bottom w:w="0" w:type="dxa"/>
            <w:right w:w="108" w:type="dxa"/>
          </w:tblCellMar>
        </w:tblPrEx>
        <w:trPr>
          <w:trHeight w:val="524" w:hRule="atLeast"/>
          <w:jc w:val="center"/>
        </w:trPr>
        <w:tc>
          <w:tcPr>
            <w:tcW w:w="4076" w:type="dxa"/>
            <w:noWrap w:val="0"/>
            <w:vAlign w:val="bottom"/>
          </w:tcPr>
          <w:p>
            <w:pPr>
              <w:spacing w:line="240" w:lineRule="atLeast"/>
              <w:rPr>
                <w:rFonts w:hint="eastAsia"/>
                <w:color w:val="auto"/>
                <w:highlight w:val="none"/>
              </w:rPr>
            </w:pPr>
            <w:r>
              <w:rPr>
                <w:color w:val="auto"/>
                <w:highlight w:val="none"/>
              </w:rPr>
              <w:t xml:space="preserve">               </w:t>
            </w:r>
          </w:p>
          <w:p>
            <w:pPr>
              <w:spacing w:line="240" w:lineRule="atLeast"/>
              <w:rPr>
                <w:rFonts w:ascii="宋体"/>
                <w:color w:val="auto"/>
                <w:szCs w:val="21"/>
                <w:highlight w:val="none"/>
              </w:rPr>
            </w:pPr>
          </w:p>
        </w:tc>
        <w:tc>
          <w:tcPr>
            <w:tcW w:w="2098" w:type="dxa"/>
            <w:noWrap w:val="0"/>
            <w:vAlign w:val="bottom"/>
          </w:tcPr>
          <w:p>
            <w:pPr>
              <w:spacing w:line="240" w:lineRule="atLeast"/>
              <w:jc w:val="center"/>
              <w:rPr>
                <w:rFonts w:ascii="宋体"/>
                <w:color w:val="auto"/>
                <w:szCs w:val="21"/>
                <w:highlight w:val="none"/>
              </w:rPr>
            </w:pPr>
            <w:r>
              <w:rPr>
                <w:rFonts w:hint="eastAsia" w:ascii="宋体" w:hAnsi="宋体"/>
                <w:color w:val="auto"/>
                <w:sz w:val="24"/>
                <w:highlight w:val="none"/>
              </w:rPr>
              <w:t xml:space="preserve">      合同编号</w:t>
            </w:r>
          </w:p>
        </w:tc>
        <w:tc>
          <w:tcPr>
            <w:tcW w:w="246" w:type="dxa"/>
            <w:noWrap w:val="0"/>
            <w:vAlign w:val="bottom"/>
          </w:tcPr>
          <w:p>
            <w:pPr>
              <w:spacing w:line="240" w:lineRule="atLeast"/>
              <w:ind w:left="-105" w:leftChars="-50" w:right="-105" w:rightChars="-50"/>
              <w:jc w:val="center"/>
              <w:rPr>
                <w:rFonts w:ascii="宋体"/>
                <w:color w:val="auto"/>
                <w:szCs w:val="21"/>
                <w:highlight w:val="none"/>
              </w:rPr>
            </w:pPr>
            <w:r>
              <w:rPr>
                <w:rFonts w:hint="eastAsia" w:ascii="宋体" w:hAnsi="宋体"/>
                <w:color w:val="auto"/>
                <w:sz w:val="24"/>
                <w:highlight w:val="none"/>
              </w:rPr>
              <w:t>：</w:t>
            </w:r>
          </w:p>
        </w:tc>
        <w:tc>
          <w:tcPr>
            <w:tcW w:w="2481" w:type="dxa"/>
            <w:tcBorders>
              <w:bottom w:val="single" w:color="auto" w:sz="4" w:space="0"/>
            </w:tcBorders>
            <w:noWrap w:val="0"/>
            <w:vAlign w:val="bottom"/>
          </w:tcPr>
          <w:p>
            <w:pPr>
              <w:spacing w:line="240" w:lineRule="atLeast"/>
              <w:jc w:val="center"/>
              <w:rPr>
                <w:rFonts w:ascii="宋体"/>
                <w:color w:val="auto"/>
                <w:szCs w:val="21"/>
                <w:highlight w:val="none"/>
                <w:u w:val="single"/>
              </w:rPr>
            </w:pPr>
          </w:p>
        </w:tc>
      </w:tr>
    </w:tbl>
    <w:p>
      <w:pPr>
        <w:jc w:val="center"/>
        <w:rPr>
          <w:rFonts w:hint="eastAsia" w:ascii="黑体" w:hAnsi="宋体" w:eastAsia="黑体"/>
          <w:color w:val="auto"/>
          <w:szCs w:val="21"/>
          <w:highlight w:val="none"/>
        </w:rPr>
      </w:pPr>
    </w:p>
    <w:p>
      <w:pPr>
        <w:jc w:val="center"/>
        <w:rPr>
          <w:rFonts w:hint="eastAsia" w:ascii="黑体" w:hAnsi="宋体" w:eastAsia="黑体"/>
          <w:color w:val="auto"/>
          <w:sz w:val="68"/>
          <w:szCs w:val="68"/>
          <w:highlight w:val="none"/>
        </w:rPr>
      </w:pPr>
    </w:p>
    <w:p>
      <w:pPr>
        <w:jc w:val="center"/>
        <w:rPr>
          <w:rFonts w:ascii="黑体" w:hAnsi="宋体" w:eastAsia="黑体"/>
          <w:color w:val="auto"/>
          <w:spacing w:val="20"/>
          <w:sz w:val="68"/>
          <w:szCs w:val="68"/>
          <w:highlight w:val="none"/>
        </w:rPr>
      </w:pPr>
      <w:r>
        <w:rPr>
          <w:rFonts w:hint="eastAsia" w:ascii="黑体" w:hAnsi="宋体" w:eastAsia="黑体"/>
          <w:color w:val="auto"/>
          <w:spacing w:val="20"/>
          <w:sz w:val="68"/>
          <w:szCs w:val="68"/>
          <w:highlight w:val="none"/>
        </w:rPr>
        <w:t>建设工程勘察合同</w:t>
      </w:r>
    </w:p>
    <w:p>
      <w:pPr>
        <w:rPr>
          <w:rFonts w:hint="eastAsia" w:ascii="宋体"/>
          <w:color w:val="auto"/>
          <w:highlight w:val="none"/>
        </w:rPr>
      </w:pPr>
    </w:p>
    <w:p>
      <w:pPr>
        <w:rPr>
          <w:rFonts w:ascii="宋体"/>
          <w:color w:val="auto"/>
          <w:highlight w:val="none"/>
        </w:rPr>
      </w:pPr>
    </w:p>
    <w:p>
      <w:pPr>
        <w:jc w:val="center"/>
        <w:rPr>
          <w:rFonts w:hint="eastAsia" w:ascii="宋体"/>
          <w:color w:val="auto"/>
          <w:highlight w:val="none"/>
        </w:rPr>
      </w:pPr>
    </w:p>
    <w:p>
      <w:pPr>
        <w:rPr>
          <w:rFonts w:hint="eastAsia" w:ascii="宋体"/>
          <w:color w:val="auto"/>
          <w:highlight w:val="none"/>
        </w:rPr>
      </w:pPr>
    </w:p>
    <w:p>
      <w:pPr>
        <w:rPr>
          <w:rFonts w:hint="eastAsia" w:ascii="宋体"/>
          <w:color w:val="auto"/>
          <w:highlight w:val="none"/>
        </w:rPr>
      </w:pPr>
    </w:p>
    <w:p>
      <w:pPr>
        <w:rPr>
          <w:rFonts w:hint="eastAsia" w:ascii="宋体"/>
          <w:color w:val="auto"/>
          <w:highlight w:val="none"/>
        </w:rPr>
      </w:pPr>
    </w:p>
    <w:tbl>
      <w:tblPr>
        <w:tblStyle w:val="53"/>
        <w:tblW w:w="7779" w:type="dxa"/>
        <w:jc w:val="center"/>
        <w:tblLayout w:type="fixed"/>
        <w:tblCellMar>
          <w:top w:w="0" w:type="dxa"/>
          <w:left w:w="108" w:type="dxa"/>
          <w:bottom w:w="0" w:type="dxa"/>
          <w:right w:w="108" w:type="dxa"/>
        </w:tblCellMar>
      </w:tblPr>
      <w:tblGrid>
        <w:gridCol w:w="1649"/>
        <w:gridCol w:w="367"/>
        <w:gridCol w:w="5763"/>
      </w:tblGrid>
      <w:tr>
        <w:tblPrEx>
          <w:tblCellMar>
            <w:top w:w="0" w:type="dxa"/>
            <w:left w:w="108" w:type="dxa"/>
            <w:bottom w:w="0" w:type="dxa"/>
            <w:right w:w="108" w:type="dxa"/>
          </w:tblCellMar>
        </w:tblPrEx>
        <w:trPr>
          <w:trHeight w:val="851" w:hRule="atLeast"/>
          <w:jc w:val="center"/>
        </w:trPr>
        <w:tc>
          <w:tcPr>
            <w:tcW w:w="1649" w:type="dxa"/>
            <w:noWrap w:val="0"/>
            <w:vAlign w:val="bottom"/>
          </w:tcPr>
          <w:p>
            <w:pPr>
              <w:spacing w:after="60" w:line="240" w:lineRule="atLeast"/>
              <w:jc w:val="center"/>
              <w:rPr>
                <w:rFonts w:ascii="宋体" w:hAnsi="宋体"/>
                <w:color w:val="auto"/>
                <w:sz w:val="32"/>
                <w:szCs w:val="32"/>
                <w:highlight w:val="none"/>
              </w:rPr>
            </w:pPr>
            <w:r>
              <w:rPr>
                <w:rFonts w:hint="eastAsia" w:ascii="宋体" w:hAnsi="宋体"/>
                <w:color w:val="auto"/>
                <w:sz w:val="32"/>
                <w:szCs w:val="32"/>
                <w:highlight w:val="none"/>
              </w:rPr>
              <w:t>工程名称</w:t>
            </w:r>
          </w:p>
        </w:tc>
        <w:tc>
          <w:tcPr>
            <w:tcW w:w="367" w:type="dxa"/>
            <w:noWrap w:val="0"/>
            <w:vAlign w:val="bottom"/>
          </w:tcPr>
          <w:p>
            <w:pPr>
              <w:spacing w:after="60" w:line="240" w:lineRule="atLeast"/>
              <w:ind w:left="-105" w:leftChars="-50" w:right="-105" w:rightChars="-50"/>
              <w:jc w:val="center"/>
              <w:rPr>
                <w:rFonts w:ascii="宋体"/>
                <w:color w:val="auto"/>
                <w:sz w:val="32"/>
                <w:szCs w:val="32"/>
                <w:highlight w:val="none"/>
              </w:rPr>
            </w:pPr>
            <w:r>
              <w:rPr>
                <w:rFonts w:hint="eastAsia" w:ascii="宋体" w:hAnsi="宋体"/>
                <w:color w:val="auto"/>
                <w:sz w:val="32"/>
                <w:szCs w:val="32"/>
                <w:highlight w:val="none"/>
              </w:rPr>
              <w:t>：</w:t>
            </w:r>
          </w:p>
        </w:tc>
        <w:tc>
          <w:tcPr>
            <w:tcW w:w="5763" w:type="dxa"/>
            <w:tcBorders>
              <w:bottom w:val="single" w:color="auto" w:sz="4" w:space="0"/>
            </w:tcBorders>
            <w:noWrap w:val="0"/>
            <w:vAlign w:val="bottom"/>
          </w:tcPr>
          <w:p>
            <w:pPr>
              <w:adjustRightInd w:val="0"/>
              <w:snapToGrid w:val="0"/>
              <w:spacing w:after="60" w:line="240" w:lineRule="auto"/>
              <w:jc w:val="left"/>
              <w:rPr>
                <w:rFonts w:hint="eastAsia" w:ascii="仿宋_GB2312" w:hAnsi="宋体" w:eastAsia="仿宋_GB2312"/>
                <w:b/>
                <w:color w:val="auto"/>
                <w:sz w:val="32"/>
                <w:szCs w:val="32"/>
                <w:highlight w:val="none"/>
              </w:rPr>
            </w:pPr>
            <w:r>
              <w:rPr>
                <w:rFonts w:hint="eastAsia" w:ascii="楷体_GB2312" w:hAnsi="宋体" w:eastAsia="楷体_GB2312"/>
                <w:b/>
                <w:color w:val="auto"/>
                <w:sz w:val="32"/>
                <w:szCs w:val="32"/>
                <w:highlight w:val="none"/>
                <w:u w:val="none"/>
              </w:rPr>
              <w:t>深圳工业软件园配套道路及排洪渠迁改工程</w:t>
            </w:r>
            <w:r>
              <w:rPr>
                <w:rFonts w:hint="eastAsia" w:ascii="楷体_GB2312" w:hAnsi="宋体" w:eastAsia="楷体_GB2312"/>
                <w:b/>
                <w:color w:val="auto"/>
                <w:sz w:val="32"/>
                <w:szCs w:val="32"/>
                <w:highlight w:val="none"/>
              </w:rPr>
              <w:t xml:space="preserve"> </w:t>
            </w:r>
          </w:p>
        </w:tc>
      </w:tr>
      <w:tr>
        <w:tblPrEx>
          <w:tblCellMar>
            <w:top w:w="0" w:type="dxa"/>
            <w:left w:w="108" w:type="dxa"/>
            <w:bottom w:w="0" w:type="dxa"/>
            <w:right w:w="108" w:type="dxa"/>
          </w:tblCellMar>
        </w:tblPrEx>
        <w:trPr>
          <w:trHeight w:val="851" w:hRule="atLeast"/>
          <w:jc w:val="center"/>
        </w:trPr>
        <w:tc>
          <w:tcPr>
            <w:tcW w:w="1649" w:type="dxa"/>
            <w:noWrap w:val="0"/>
            <w:vAlign w:val="bottom"/>
          </w:tcPr>
          <w:p>
            <w:pPr>
              <w:spacing w:after="60" w:line="240" w:lineRule="atLeast"/>
              <w:jc w:val="center"/>
              <w:rPr>
                <w:rFonts w:ascii="宋体" w:hAnsi="宋体"/>
                <w:color w:val="auto"/>
                <w:sz w:val="32"/>
                <w:szCs w:val="32"/>
                <w:highlight w:val="none"/>
              </w:rPr>
            </w:pPr>
            <w:r>
              <w:rPr>
                <w:rFonts w:hint="eastAsia" w:ascii="宋体" w:hAnsi="宋体"/>
                <w:color w:val="auto"/>
                <w:sz w:val="32"/>
                <w:szCs w:val="32"/>
                <w:highlight w:val="none"/>
              </w:rPr>
              <w:t>工程地点</w:t>
            </w:r>
          </w:p>
        </w:tc>
        <w:tc>
          <w:tcPr>
            <w:tcW w:w="367" w:type="dxa"/>
            <w:noWrap w:val="0"/>
            <w:vAlign w:val="bottom"/>
          </w:tcPr>
          <w:p>
            <w:pPr>
              <w:spacing w:after="60" w:line="240" w:lineRule="atLeast"/>
              <w:ind w:left="-105" w:leftChars="-50" w:right="-105" w:rightChars="-50"/>
              <w:jc w:val="center"/>
              <w:rPr>
                <w:rFonts w:ascii="宋体"/>
                <w:color w:val="auto"/>
                <w:sz w:val="32"/>
                <w:szCs w:val="32"/>
                <w:highlight w:val="none"/>
              </w:rPr>
            </w:pPr>
            <w:r>
              <w:rPr>
                <w:rFonts w:hint="eastAsia" w:ascii="宋体" w:hAnsi="宋体"/>
                <w:color w:val="auto"/>
                <w:sz w:val="32"/>
                <w:szCs w:val="32"/>
                <w:highlight w:val="none"/>
              </w:rPr>
              <w:t>：</w:t>
            </w:r>
          </w:p>
        </w:tc>
        <w:tc>
          <w:tcPr>
            <w:tcW w:w="5763" w:type="dxa"/>
            <w:tcBorders>
              <w:top w:val="single" w:color="auto" w:sz="4" w:space="0"/>
              <w:bottom w:val="single" w:color="auto" w:sz="4" w:space="0"/>
            </w:tcBorders>
            <w:noWrap w:val="0"/>
            <w:vAlign w:val="bottom"/>
          </w:tcPr>
          <w:p>
            <w:pPr>
              <w:spacing w:after="60" w:line="240" w:lineRule="atLeast"/>
              <w:jc w:val="both"/>
              <w:rPr>
                <w:rFonts w:hint="eastAsia" w:ascii="仿宋_GB2312" w:hAnsi="宋体" w:eastAsia="仿宋_GB2312"/>
                <w:b/>
                <w:color w:val="auto"/>
                <w:sz w:val="32"/>
                <w:szCs w:val="32"/>
                <w:highlight w:val="none"/>
              </w:rPr>
            </w:pPr>
            <w:r>
              <w:rPr>
                <w:rFonts w:hint="eastAsia" w:ascii="楷体_GB2312" w:hAnsi="宋体" w:eastAsia="楷体_GB2312"/>
                <w:b/>
                <w:color w:val="auto"/>
                <w:sz w:val="32"/>
                <w:szCs w:val="32"/>
                <w:highlight w:val="none"/>
                <w:u w:val="none"/>
              </w:rPr>
              <w:t>深圳市坂田坂李大道与坂澜大道交汇处</w:t>
            </w:r>
            <w:r>
              <w:rPr>
                <w:rFonts w:hint="eastAsia" w:ascii="楷体_GB2312" w:hAnsi="宋体" w:eastAsia="楷体_GB2312"/>
                <w:b/>
                <w:color w:val="auto"/>
                <w:sz w:val="32"/>
                <w:szCs w:val="32"/>
                <w:highlight w:val="none"/>
              </w:rPr>
              <w:t xml:space="preserve"> </w:t>
            </w:r>
          </w:p>
        </w:tc>
      </w:tr>
      <w:tr>
        <w:tblPrEx>
          <w:tblCellMar>
            <w:top w:w="0" w:type="dxa"/>
            <w:left w:w="108" w:type="dxa"/>
            <w:bottom w:w="0" w:type="dxa"/>
            <w:right w:w="108" w:type="dxa"/>
          </w:tblCellMar>
        </w:tblPrEx>
        <w:trPr>
          <w:trHeight w:val="851" w:hRule="atLeast"/>
          <w:jc w:val="center"/>
        </w:trPr>
        <w:tc>
          <w:tcPr>
            <w:tcW w:w="1649" w:type="dxa"/>
            <w:noWrap w:val="0"/>
            <w:vAlign w:val="bottom"/>
          </w:tcPr>
          <w:p>
            <w:pPr>
              <w:spacing w:after="60" w:line="240" w:lineRule="atLeast"/>
              <w:jc w:val="distribute"/>
              <w:rPr>
                <w:rFonts w:ascii="宋体" w:hAnsi="宋体"/>
                <w:color w:val="auto"/>
                <w:sz w:val="32"/>
                <w:szCs w:val="32"/>
                <w:highlight w:val="none"/>
              </w:rPr>
            </w:pPr>
            <w:r>
              <w:rPr>
                <w:rFonts w:hint="eastAsia" w:ascii="宋体" w:hAnsi="宋体"/>
                <w:color w:val="auto"/>
                <w:sz w:val="32"/>
                <w:szCs w:val="32"/>
                <w:highlight w:val="none"/>
              </w:rPr>
              <w:t>发包人</w:t>
            </w:r>
          </w:p>
        </w:tc>
        <w:tc>
          <w:tcPr>
            <w:tcW w:w="367" w:type="dxa"/>
            <w:noWrap w:val="0"/>
            <w:vAlign w:val="bottom"/>
          </w:tcPr>
          <w:p>
            <w:pPr>
              <w:spacing w:after="60" w:line="240" w:lineRule="atLeast"/>
              <w:ind w:left="-105" w:leftChars="-50" w:right="-105" w:rightChars="-50"/>
              <w:jc w:val="center"/>
              <w:rPr>
                <w:rFonts w:ascii="宋体"/>
                <w:color w:val="auto"/>
                <w:sz w:val="32"/>
                <w:szCs w:val="32"/>
                <w:highlight w:val="none"/>
              </w:rPr>
            </w:pPr>
            <w:r>
              <w:rPr>
                <w:rFonts w:hint="eastAsia" w:ascii="宋体" w:hAnsi="宋体"/>
                <w:color w:val="auto"/>
                <w:sz w:val="32"/>
                <w:szCs w:val="32"/>
                <w:highlight w:val="none"/>
              </w:rPr>
              <w:t>：</w:t>
            </w:r>
          </w:p>
        </w:tc>
        <w:tc>
          <w:tcPr>
            <w:tcW w:w="5763" w:type="dxa"/>
            <w:tcBorders>
              <w:top w:val="single" w:color="auto" w:sz="4" w:space="0"/>
              <w:bottom w:val="single" w:color="auto" w:sz="4"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after="60" w:line="240" w:lineRule="auto"/>
              <w:jc w:val="left"/>
              <w:textAlignment w:val="auto"/>
              <w:rPr>
                <w:rFonts w:hint="eastAsia" w:ascii="楷体_GB2312" w:hAnsi="宋体" w:eastAsia="楷体_GB2312"/>
                <w:b/>
                <w:color w:val="auto"/>
                <w:sz w:val="32"/>
                <w:szCs w:val="32"/>
                <w:highlight w:val="none"/>
              </w:rPr>
            </w:pPr>
            <w:r>
              <w:rPr>
                <w:rFonts w:hint="eastAsia" w:ascii="楷体_GB2312" w:hAnsi="宋体" w:eastAsia="楷体_GB2312"/>
                <w:b/>
                <w:color w:val="auto"/>
                <w:sz w:val="32"/>
                <w:szCs w:val="32"/>
                <w:highlight w:val="none"/>
                <w:u w:val="none"/>
              </w:rPr>
              <w:t>深圳市龙岗区城投高新技术产业投资开发有限公司</w:t>
            </w:r>
          </w:p>
        </w:tc>
      </w:tr>
      <w:tr>
        <w:tblPrEx>
          <w:tblCellMar>
            <w:top w:w="0" w:type="dxa"/>
            <w:left w:w="108" w:type="dxa"/>
            <w:bottom w:w="0" w:type="dxa"/>
            <w:right w:w="108" w:type="dxa"/>
          </w:tblCellMar>
        </w:tblPrEx>
        <w:trPr>
          <w:trHeight w:val="851" w:hRule="atLeast"/>
          <w:jc w:val="center"/>
        </w:trPr>
        <w:tc>
          <w:tcPr>
            <w:tcW w:w="1649" w:type="dxa"/>
            <w:noWrap w:val="0"/>
            <w:vAlign w:val="bottom"/>
          </w:tcPr>
          <w:p>
            <w:pPr>
              <w:spacing w:after="60" w:line="240" w:lineRule="atLeast"/>
              <w:jc w:val="distribute"/>
              <w:rPr>
                <w:rFonts w:ascii="宋体" w:hAnsi="宋体"/>
                <w:color w:val="auto"/>
                <w:sz w:val="32"/>
                <w:szCs w:val="32"/>
                <w:highlight w:val="none"/>
              </w:rPr>
            </w:pPr>
            <w:r>
              <w:rPr>
                <w:rFonts w:hint="eastAsia" w:ascii="宋体" w:hAnsi="宋体"/>
                <w:color w:val="auto"/>
                <w:sz w:val="32"/>
                <w:szCs w:val="32"/>
                <w:highlight w:val="none"/>
              </w:rPr>
              <w:t>勘察人</w:t>
            </w:r>
          </w:p>
        </w:tc>
        <w:tc>
          <w:tcPr>
            <w:tcW w:w="367" w:type="dxa"/>
            <w:noWrap w:val="0"/>
            <w:vAlign w:val="bottom"/>
          </w:tcPr>
          <w:p>
            <w:pPr>
              <w:spacing w:after="60" w:line="240" w:lineRule="atLeast"/>
              <w:ind w:left="-105" w:leftChars="-50" w:right="-105" w:rightChars="-50"/>
              <w:jc w:val="center"/>
              <w:rPr>
                <w:rFonts w:ascii="宋体"/>
                <w:color w:val="auto"/>
                <w:sz w:val="32"/>
                <w:szCs w:val="32"/>
                <w:highlight w:val="none"/>
              </w:rPr>
            </w:pPr>
            <w:r>
              <w:rPr>
                <w:rFonts w:hint="eastAsia" w:ascii="宋体" w:hAnsi="宋体"/>
                <w:color w:val="auto"/>
                <w:sz w:val="32"/>
                <w:szCs w:val="32"/>
                <w:highlight w:val="none"/>
              </w:rPr>
              <w:t>：</w:t>
            </w:r>
          </w:p>
        </w:tc>
        <w:tc>
          <w:tcPr>
            <w:tcW w:w="5763" w:type="dxa"/>
            <w:tcBorders>
              <w:top w:val="single" w:color="auto" w:sz="4" w:space="0"/>
              <w:bottom w:val="single" w:color="auto" w:sz="4" w:space="0"/>
            </w:tcBorders>
            <w:noWrap w:val="0"/>
            <w:vAlign w:val="bottom"/>
          </w:tcPr>
          <w:p>
            <w:pPr>
              <w:spacing w:after="60" w:line="240" w:lineRule="atLeast"/>
              <w:jc w:val="center"/>
              <w:rPr>
                <w:rFonts w:ascii="宋体"/>
                <w:color w:val="auto"/>
                <w:sz w:val="32"/>
                <w:szCs w:val="32"/>
                <w:highlight w:val="none"/>
              </w:rPr>
            </w:pPr>
          </w:p>
        </w:tc>
      </w:tr>
    </w:tbl>
    <w:p>
      <w:pPr>
        <w:spacing w:line="360" w:lineRule="auto"/>
        <w:rPr>
          <w:rFonts w:ascii="宋体"/>
          <w:color w:val="auto"/>
          <w:highlight w:val="none"/>
          <w:u w:val="singl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30"/>
          <w:szCs w:val="30"/>
          <w:highlight w:val="none"/>
        </w:rPr>
      </w:pPr>
      <w:r>
        <w:rPr>
          <w:rFonts w:ascii="宋体" w:hAnsi="宋体"/>
          <w:color w:val="auto"/>
          <w:sz w:val="30"/>
          <w:szCs w:val="30"/>
          <w:highlight w:val="none"/>
        </w:rPr>
        <w:t>20</w:t>
      </w:r>
      <w:r>
        <w:rPr>
          <w:rFonts w:hint="eastAsia" w:ascii="宋体" w:hAnsi="宋体"/>
          <w:color w:val="auto"/>
          <w:sz w:val="30"/>
          <w:szCs w:val="30"/>
          <w:highlight w:val="none"/>
        </w:rPr>
        <w:t>2</w:t>
      </w:r>
      <w:r>
        <w:rPr>
          <w:rFonts w:hint="eastAsia" w:ascii="宋体" w:hAnsi="宋体"/>
          <w:color w:val="auto"/>
          <w:sz w:val="30"/>
          <w:szCs w:val="30"/>
          <w:highlight w:val="none"/>
          <w:lang w:val="en-US" w:eastAsia="zh-CN"/>
        </w:rPr>
        <w:t>4</w:t>
      </w:r>
      <w:r>
        <w:rPr>
          <w:rFonts w:hint="eastAsia" w:ascii="宋体" w:hAnsi="宋体"/>
          <w:color w:val="auto"/>
          <w:sz w:val="30"/>
          <w:szCs w:val="30"/>
          <w:highlight w:val="none"/>
        </w:rPr>
        <w:t>年</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月</w:t>
      </w:r>
    </w:p>
    <w:p>
      <w:pPr>
        <w:spacing w:line="360" w:lineRule="auto"/>
        <w:jc w:val="center"/>
        <w:rPr>
          <w:rFonts w:hint="eastAsia" w:ascii="宋体" w:hAnsi="宋体"/>
          <w:color w:val="auto"/>
          <w:sz w:val="30"/>
          <w:szCs w:val="30"/>
          <w:highlight w:val="none"/>
        </w:rPr>
      </w:pPr>
    </w:p>
    <w:p>
      <w:pPr>
        <w:spacing w:line="360" w:lineRule="auto"/>
        <w:jc w:val="center"/>
        <w:rPr>
          <w:rFonts w:hint="eastAsia" w:ascii="宋体" w:hAnsi="宋体"/>
          <w:color w:val="auto"/>
          <w:sz w:val="30"/>
          <w:szCs w:val="30"/>
          <w:highlight w:val="none"/>
        </w:rPr>
      </w:pPr>
    </w:p>
    <w:p>
      <w:pPr>
        <w:spacing w:line="480" w:lineRule="auto"/>
        <w:ind w:right="-1191" w:rightChars="-567"/>
        <w:rPr>
          <w:rFonts w:hint="eastAsia"/>
          <w:color w:val="auto"/>
          <w:highlight w:val="none"/>
        </w:rPr>
      </w:pPr>
    </w:p>
    <w:p>
      <w:pPr>
        <w:spacing w:line="480" w:lineRule="auto"/>
        <w:ind w:right="-1191" w:rightChars="-567"/>
        <w:rPr>
          <w:rFonts w:hint="eastAsia"/>
          <w:color w:val="auto"/>
          <w:highlight w:val="none"/>
        </w:rPr>
      </w:pPr>
    </w:p>
    <w:p>
      <w:pPr>
        <w:spacing w:line="480" w:lineRule="auto"/>
        <w:ind w:right="-1191" w:rightChars="-567"/>
        <w:rPr>
          <w:rFonts w:hint="eastAsia"/>
          <w:color w:val="auto"/>
          <w:highlight w:val="none"/>
        </w:rPr>
      </w:pPr>
    </w:p>
    <w:p>
      <w:pPr>
        <w:keepNext/>
        <w:keepLines/>
        <w:widowControl w:val="0"/>
        <w:numPr>
          <w:ilvl w:val="-1"/>
          <w:numId w:val="0"/>
        </w:numPr>
        <w:spacing w:before="0" w:after="0" w:line="240" w:lineRule="auto"/>
        <w:ind w:left="0"/>
        <w:jc w:val="center"/>
        <w:outlineLvl w:val="1"/>
        <w:rPr>
          <w:rFonts w:hint="eastAsia" w:ascii="Cambria" w:hAnsi="Cambria" w:eastAsia="宋体" w:cs="Times New Roman"/>
          <w:b/>
          <w:bCs/>
          <w:color w:val="auto"/>
          <w:kern w:val="2"/>
          <w:sz w:val="32"/>
          <w:szCs w:val="32"/>
          <w:highlight w:val="none"/>
          <w:lang w:val="en-US" w:eastAsia="zh-CN" w:bidi="ar-SA"/>
        </w:rPr>
      </w:pPr>
      <w:r>
        <w:rPr>
          <w:rFonts w:hint="eastAsia" w:ascii="Cambria" w:hAnsi="Cambria" w:eastAsia="宋体" w:cs="Times New Roman"/>
          <w:b/>
          <w:bCs/>
          <w:color w:val="auto"/>
          <w:kern w:val="2"/>
          <w:sz w:val="32"/>
          <w:szCs w:val="32"/>
          <w:highlight w:val="none"/>
          <w:lang w:val="en-US" w:eastAsia="zh-CN" w:bidi="ar-SA"/>
        </w:rPr>
        <w:t>第一部分 合同协议书</w:t>
      </w:r>
    </w:p>
    <w:p>
      <w:pPr>
        <w:jc w:val="left"/>
        <w:rPr>
          <w:rFonts w:hint="eastAsia" w:ascii="宋体" w:cs="Times New Roman"/>
          <w:color w:val="auto"/>
          <w:szCs w:val="21"/>
          <w:highlight w:val="none"/>
        </w:rPr>
      </w:pPr>
    </w:p>
    <w:p>
      <w:pPr>
        <w:jc w:val="left"/>
        <w:rPr>
          <w:rFonts w:hint="eastAsia" w:ascii="黑体" w:hAnsi="宋体" w:eastAsia="黑体" w:cs="Times New Roman"/>
          <w:b/>
          <w:color w:val="auto"/>
          <w:szCs w:val="21"/>
          <w:highlight w:val="none"/>
          <w:u w:val="single"/>
        </w:rPr>
      </w:pPr>
      <w:r>
        <w:rPr>
          <w:rFonts w:hint="eastAsia" w:ascii="黑体" w:eastAsia="黑体" w:cs="Times New Roman"/>
          <w:color w:val="auto"/>
          <w:szCs w:val="21"/>
          <w:highlight w:val="none"/>
        </w:rPr>
        <w:t>发包人</w:t>
      </w:r>
      <w:r>
        <w:rPr>
          <w:rFonts w:hint="eastAsia" w:ascii="宋体" w:cs="Times New Roman"/>
          <w:color w:val="auto"/>
          <w:szCs w:val="21"/>
          <w:highlight w:val="none"/>
        </w:rPr>
        <w:t>（甲方）：</w:t>
      </w:r>
      <w:r>
        <w:rPr>
          <w:rFonts w:hint="eastAsia" w:ascii="黑体" w:hAnsi="宋体" w:eastAsia="黑体" w:cs="Times New Roman"/>
          <w:b/>
          <w:color w:val="auto"/>
          <w:szCs w:val="21"/>
          <w:highlight w:val="none"/>
          <w:u w:val="single"/>
        </w:rPr>
        <w:t>深圳市龙岗区城投高新技术产业投资开发有限公司</w:t>
      </w:r>
    </w:p>
    <w:p>
      <w:pPr>
        <w:jc w:val="left"/>
        <w:rPr>
          <w:rFonts w:hint="eastAsia" w:ascii="黑体" w:hAnsi="宋体" w:eastAsia="黑体" w:cs="Times New Roman"/>
          <w:b/>
          <w:color w:val="auto"/>
          <w:szCs w:val="21"/>
          <w:highlight w:val="none"/>
          <w:u w:val="single"/>
        </w:rPr>
      </w:pPr>
      <w:r>
        <w:rPr>
          <w:rFonts w:hint="eastAsia" w:ascii="黑体" w:eastAsia="黑体" w:cs="Times New Roman"/>
          <w:color w:val="auto"/>
          <w:szCs w:val="21"/>
          <w:highlight w:val="none"/>
        </w:rPr>
        <w:t>勘察人</w:t>
      </w:r>
      <w:r>
        <w:rPr>
          <w:rFonts w:hint="eastAsia" w:ascii="宋体" w:cs="Times New Roman"/>
          <w:color w:val="auto"/>
          <w:szCs w:val="21"/>
          <w:highlight w:val="none"/>
        </w:rPr>
        <w:t>（乙方）：</w:t>
      </w:r>
      <w:r>
        <w:rPr>
          <w:rFonts w:hint="eastAsia" w:ascii="宋体" w:cs="Times New Roman"/>
          <w:color w:val="auto"/>
          <w:szCs w:val="21"/>
          <w:highlight w:val="none"/>
          <w:u w:val="single"/>
          <w:lang w:val="en-US" w:eastAsia="zh-CN"/>
        </w:rPr>
        <w:t xml:space="preserve">                    </w:t>
      </w:r>
      <w:r>
        <w:rPr>
          <w:rFonts w:hint="eastAsia" w:ascii="黑体" w:hAnsi="宋体" w:eastAsia="黑体" w:cs="Times New Roman"/>
          <w:b/>
          <w:color w:val="auto"/>
          <w:szCs w:val="21"/>
          <w:highlight w:val="none"/>
          <w:u w:val="single"/>
        </w:rPr>
        <w:t xml:space="preserve">                        </w:t>
      </w:r>
    </w:p>
    <w:p>
      <w:pPr>
        <w:ind w:firstLine="420" w:firstLineChars="200"/>
        <w:rPr>
          <w:rFonts w:hint="eastAsia" w:cs="Times New Roman"/>
          <w:color w:val="auto"/>
          <w:szCs w:val="21"/>
          <w:highlight w:val="none"/>
        </w:rPr>
      </w:pPr>
    </w:p>
    <w:p>
      <w:pPr>
        <w:ind w:firstLine="420" w:firstLineChars="200"/>
        <w:rPr>
          <w:rFonts w:hint="eastAsia" w:cs="Times New Roman"/>
          <w:color w:val="auto"/>
          <w:szCs w:val="21"/>
          <w:highlight w:val="none"/>
          <w:u w:val="single"/>
        </w:rPr>
      </w:pPr>
      <w:r>
        <w:rPr>
          <w:rFonts w:hint="eastAsia" w:cs="Times New Roman"/>
          <w:color w:val="auto"/>
          <w:highlight w:val="none"/>
        </w:rPr>
        <w:t>依照《中华人民共和国</w:t>
      </w:r>
      <w:r>
        <w:rPr>
          <w:rFonts w:hint="eastAsia" w:cs="Times New Roman"/>
          <w:color w:val="auto"/>
          <w:highlight w:val="none"/>
          <w:lang w:eastAsia="zh-CN"/>
        </w:rPr>
        <w:t>民法典</w:t>
      </w:r>
      <w:r>
        <w:rPr>
          <w:rFonts w:hint="eastAsia" w:cs="Times New Roman"/>
          <w:color w:val="auto"/>
          <w:highlight w:val="none"/>
        </w:rPr>
        <w:t>》、《中华人民共和国建筑法》、《建设工程勘察设计管理条例》、《深圳经济特区政府投资项目管理</w:t>
      </w:r>
      <w:r>
        <w:rPr>
          <w:rFonts w:hint="eastAsia" w:cs="Times New Roman"/>
          <w:color w:val="auto"/>
          <w:highlight w:val="none"/>
          <w:lang w:val="en-US" w:eastAsia="zh-CN"/>
        </w:rPr>
        <w:t>条例</w:t>
      </w:r>
      <w:r>
        <w:rPr>
          <w:rFonts w:hint="eastAsia" w:cs="Times New Roman"/>
          <w:color w:val="auto"/>
          <w:highlight w:val="none"/>
        </w:rPr>
        <w:t>》及其他国家、省、市现行有关工程勘察设计管理法规和规章、规定，结</w:t>
      </w:r>
      <w:r>
        <w:rPr>
          <w:rFonts w:hint="eastAsia" w:cs="Times New Roman"/>
          <w:color w:val="auto"/>
          <w:szCs w:val="21"/>
          <w:highlight w:val="none"/>
        </w:rPr>
        <w:t>合本工程的招标文件要求和建设工程批准文件，遵循平等、自愿、公平和诚实信用的原则，甲、乙双方就</w:t>
      </w:r>
      <w:r>
        <w:rPr>
          <w:rFonts w:hint="eastAsia" w:cs="Times New Roman"/>
          <w:color w:val="auto"/>
          <w:szCs w:val="21"/>
          <w:highlight w:val="none"/>
          <w:u w:val="single"/>
        </w:rPr>
        <w:t xml:space="preserve">  </w:t>
      </w:r>
      <w:r>
        <w:rPr>
          <w:rFonts w:hint="eastAsia" w:ascii="宋体" w:hAnsi="宋体" w:cs="Times New Roman"/>
          <w:color w:val="auto"/>
          <w:szCs w:val="21"/>
          <w:highlight w:val="none"/>
          <w:u w:val="single"/>
          <w:lang w:val="en-US" w:eastAsia="zh-CN"/>
        </w:rPr>
        <w:t>深圳工业软件园配套道路及排洪渠迁改</w:t>
      </w:r>
      <w:r>
        <w:rPr>
          <w:rFonts w:hint="eastAsia" w:ascii="宋体" w:hAnsi="宋体" w:cs="Times New Roman"/>
          <w:color w:val="auto"/>
          <w:szCs w:val="21"/>
          <w:highlight w:val="none"/>
          <w:u w:val="single"/>
        </w:rPr>
        <w:t>工程</w:t>
      </w:r>
      <w:r>
        <w:rPr>
          <w:rFonts w:hint="eastAsia" w:cs="Times New Roman"/>
          <w:color w:val="auto"/>
          <w:szCs w:val="21"/>
          <w:highlight w:val="none"/>
          <w:u w:val="single"/>
        </w:rPr>
        <w:t>（勘察）</w:t>
      </w:r>
      <w:r>
        <w:rPr>
          <w:rFonts w:hint="eastAsia" w:cs="Times New Roman"/>
          <w:color w:val="auto"/>
          <w:szCs w:val="21"/>
          <w:highlight w:val="none"/>
        </w:rPr>
        <w:t>事项协调一致，订立本协议。</w:t>
      </w:r>
    </w:p>
    <w:p>
      <w:pPr>
        <w:rPr>
          <w:rFonts w:hint="eastAsia" w:ascii="黑体" w:eastAsia="黑体" w:cs="Times New Roman"/>
          <w:b/>
          <w:bCs/>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一、工程概况</w:t>
      </w:r>
    </w:p>
    <w:p>
      <w:pPr>
        <w:rPr>
          <w:rFonts w:hint="eastAsia" w:ascii="宋体" w:hAnsi="宋体" w:cs="Times New Roman"/>
          <w:color w:val="auto"/>
          <w:szCs w:val="21"/>
          <w:highlight w:val="none"/>
          <w:u w:val="single"/>
        </w:rPr>
      </w:pPr>
      <w:r>
        <w:rPr>
          <w:rFonts w:hint="eastAsia" w:ascii="宋体" w:hAnsi="宋体" w:cs="Times New Roman"/>
          <w:color w:val="auto"/>
          <w:szCs w:val="21"/>
          <w:highlight w:val="none"/>
        </w:rPr>
        <w:t>1.1工程名称：</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u w:val="single"/>
          <w:lang w:val="en-US" w:eastAsia="zh-CN"/>
        </w:rPr>
        <w:t>深圳工业软件园配套道路及排洪渠迁改</w:t>
      </w:r>
      <w:r>
        <w:rPr>
          <w:rFonts w:hint="eastAsia" w:ascii="宋体" w:hAnsi="宋体" w:cs="Times New Roman"/>
          <w:color w:val="auto"/>
          <w:szCs w:val="21"/>
          <w:highlight w:val="none"/>
          <w:u w:val="single"/>
        </w:rPr>
        <w:t xml:space="preserve">工程 </w:t>
      </w:r>
    </w:p>
    <w:p>
      <w:pPr>
        <w:rPr>
          <w:rFonts w:hint="eastAsia" w:ascii="宋体" w:hAnsi="宋体" w:cs="Times New Roman"/>
          <w:color w:val="auto"/>
          <w:szCs w:val="21"/>
          <w:highlight w:val="none"/>
          <w:u w:val="single"/>
        </w:rPr>
      </w:pPr>
      <w:r>
        <w:rPr>
          <w:rFonts w:hint="eastAsia" w:ascii="宋体" w:hAnsi="宋体" w:cs="Times New Roman"/>
          <w:color w:val="auto"/>
          <w:szCs w:val="21"/>
          <w:highlight w:val="none"/>
        </w:rPr>
        <w:t>1.2工程地址：</w:t>
      </w:r>
      <w:r>
        <w:rPr>
          <w:rFonts w:hint="eastAsia" w:ascii="宋体" w:hAnsi="宋体" w:cs="Times New Roman"/>
          <w:color w:val="auto"/>
          <w:szCs w:val="21"/>
          <w:highlight w:val="none"/>
          <w:u w:val="single"/>
        </w:rPr>
        <w:t xml:space="preserve">   </w:t>
      </w:r>
      <w:r>
        <w:rPr>
          <w:rFonts w:hint="eastAsia" w:ascii="宋体" w:hAnsi="宋体" w:cs="Times New Roman"/>
          <w:szCs w:val="21"/>
          <w:highlight w:val="none"/>
          <w:u w:val="single"/>
        </w:rPr>
        <w:t>深圳市坂田坂李大道与坂澜大道交汇处</w:t>
      </w:r>
      <w:r>
        <w:rPr>
          <w:rFonts w:hint="eastAsia" w:ascii="宋体" w:hAnsi="宋体" w:cs="Times New Roman"/>
          <w:color w:val="auto"/>
          <w:szCs w:val="21"/>
          <w:highlight w:val="none"/>
          <w:u w:val="single"/>
        </w:rPr>
        <w:t xml:space="preserve">  </w:t>
      </w:r>
    </w:p>
    <w:p>
      <w:pPr>
        <w:rPr>
          <w:rFonts w:hint="eastAsia" w:ascii="宋体" w:hAnsi="宋体" w:cs="Times New Roman"/>
          <w:color w:val="auto"/>
          <w:szCs w:val="21"/>
          <w:highlight w:val="none"/>
          <w:u w:val="single"/>
        </w:rPr>
      </w:pPr>
      <w:r>
        <w:rPr>
          <w:rFonts w:hint="eastAsia" w:ascii="宋体" w:hAnsi="宋体" w:cs="Times New Roman"/>
          <w:color w:val="auto"/>
          <w:szCs w:val="21"/>
          <w:highlight w:val="none"/>
        </w:rPr>
        <w:t>1.3项目批准文件：</w:t>
      </w:r>
      <w:r>
        <w:rPr>
          <w:rFonts w:hint="eastAsia" w:ascii="宋体" w:hAnsi="宋体" w:cs="Times New Roman"/>
          <w:color w:val="auto"/>
          <w:szCs w:val="21"/>
          <w:highlight w:val="none"/>
          <w:u w:val="single"/>
        </w:rPr>
        <w:t xml:space="preserve"> </w:t>
      </w:r>
      <w:r>
        <w:rPr>
          <w:rFonts w:hint="eastAsia" w:ascii="宋体" w:hAnsi="宋体" w:cs="Times New Roman"/>
          <w:szCs w:val="21"/>
          <w:highlight w:val="none"/>
          <w:u w:val="single"/>
        </w:rPr>
        <w:t>深龙发改〔202</w:t>
      </w:r>
      <w:r>
        <w:rPr>
          <w:rFonts w:hint="eastAsia" w:ascii="宋体" w:hAnsi="宋体" w:cs="Times New Roman"/>
          <w:szCs w:val="21"/>
          <w:highlight w:val="none"/>
          <w:u w:val="single"/>
          <w:lang w:eastAsia="zh-CN"/>
        </w:rPr>
        <w:t>4</w:t>
      </w:r>
      <w:r>
        <w:rPr>
          <w:rFonts w:hint="eastAsia" w:ascii="宋体" w:hAnsi="宋体" w:cs="Times New Roman"/>
          <w:szCs w:val="21"/>
          <w:highlight w:val="none"/>
          <w:u w:val="single"/>
        </w:rPr>
        <w:t>〕</w:t>
      </w:r>
      <w:r>
        <w:rPr>
          <w:rFonts w:hint="eastAsia" w:ascii="宋体" w:hAnsi="宋体" w:cs="Times New Roman"/>
          <w:szCs w:val="21"/>
          <w:highlight w:val="none"/>
          <w:u w:val="single"/>
          <w:lang w:eastAsia="zh-CN"/>
        </w:rPr>
        <w:t>8</w:t>
      </w:r>
      <w:r>
        <w:rPr>
          <w:rFonts w:hint="eastAsia" w:ascii="宋体" w:hAnsi="宋体" w:cs="Times New Roman"/>
          <w:szCs w:val="21"/>
          <w:highlight w:val="none"/>
          <w:u w:val="single"/>
          <w:lang w:val="en-US" w:eastAsia="zh-CN"/>
        </w:rPr>
        <w:t>3</w:t>
      </w:r>
      <w:r>
        <w:rPr>
          <w:rFonts w:hint="eastAsia" w:ascii="宋体" w:hAnsi="宋体" w:cs="Times New Roman"/>
          <w:szCs w:val="21"/>
          <w:highlight w:val="none"/>
          <w:u w:val="single"/>
        </w:rPr>
        <w:t>号</w:t>
      </w:r>
      <w:r>
        <w:rPr>
          <w:rFonts w:hint="eastAsia" w:ascii="宋体" w:hAnsi="宋体" w:cs="Times New Roman"/>
          <w:color w:val="auto"/>
          <w:szCs w:val="21"/>
          <w:highlight w:val="none"/>
          <w:u w:val="single"/>
        </w:rPr>
        <w:t xml:space="preserve"> </w:t>
      </w:r>
    </w:p>
    <w:p>
      <w:pPr>
        <w:spacing w:line="276" w:lineRule="auto"/>
        <w:ind w:firstLine="0" w:firstLineChars="0"/>
        <w:jc w:val="left"/>
        <w:rPr>
          <w:rFonts w:hint="eastAsia" w:ascii="宋体" w:hAnsi="宋体" w:eastAsia="宋体" w:cs="宋体"/>
          <w:bCs/>
          <w:sz w:val="21"/>
          <w:szCs w:val="24"/>
          <w:lang w:eastAsia="zh-CN"/>
        </w:rPr>
      </w:pPr>
      <w:r>
        <w:rPr>
          <w:rFonts w:hint="eastAsia" w:ascii="宋体" w:hAnsi="宋体" w:cs="Times New Roman"/>
          <w:color w:val="auto"/>
          <w:szCs w:val="21"/>
          <w:highlight w:val="none"/>
        </w:rPr>
        <w:t>1.4概    况：</w:t>
      </w:r>
      <w:r>
        <w:rPr>
          <w:rFonts w:hint="eastAsia" w:ascii="宋体" w:hAnsi="宋体" w:eastAsia="宋体" w:cs="宋体"/>
          <w:bCs/>
          <w:sz w:val="21"/>
          <w:szCs w:val="24"/>
        </w:rPr>
        <w:t>①新建规划支路1，道路长度约154m，设计时速为20km/h，规划红线宽度为16m，设置为双向3车道。②新建规划支路2，道路长度约85m，设计时速为20km/h，规划红线宽度为16m，设置为双向2车道。③将园区现状排洪渠进行迁改，沿坂澜大道至规划支路1新建DN1500雨水管200m，沿规划支路1新建145m长DN1600 雨水管绕北侧公园排至规划支路2，沿规划支路2、规划三路新建285m长3000x2000雨水箱涵，最终排至现状3000x2000 雨水箱涵</w:t>
      </w:r>
      <w:r>
        <w:rPr>
          <w:rFonts w:hint="eastAsia" w:ascii="宋体" w:hAnsi="宋体" w:eastAsia="宋体" w:cs="宋体"/>
          <w:bCs/>
          <w:sz w:val="21"/>
          <w:szCs w:val="24"/>
          <w:lang w:eastAsia="zh-CN"/>
        </w:rPr>
        <w:t>。</w:t>
      </w:r>
    </w:p>
    <w:p>
      <w:pPr>
        <w:spacing w:line="276" w:lineRule="auto"/>
        <w:ind w:firstLine="420" w:firstLineChars="200"/>
        <w:jc w:val="left"/>
        <w:rPr>
          <w:rFonts w:hint="eastAsia" w:ascii="宋体" w:hAnsi="宋体" w:cs="Times New Roman"/>
          <w:color w:val="auto"/>
          <w:szCs w:val="21"/>
          <w:highlight w:val="none"/>
        </w:rPr>
      </w:pPr>
      <w:r>
        <w:rPr>
          <w:rFonts w:hint="eastAsia" w:ascii="宋体" w:hAnsi="宋体" w:eastAsia="宋体" w:cs="宋体"/>
          <w:bCs/>
          <w:sz w:val="21"/>
          <w:szCs w:val="24"/>
          <w:highlight w:val="none"/>
          <w:lang w:eastAsia="zh-CN"/>
        </w:rPr>
        <w:t>建设内容</w:t>
      </w:r>
      <w:r>
        <w:rPr>
          <w:rFonts w:hint="eastAsia" w:ascii="宋体" w:hAnsi="宋体" w:eastAsia="宋体" w:cs="宋体"/>
          <w:bCs/>
          <w:sz w:val="21"/>
          <w:szCs w:val="24"/>
          <w:highlight w:val="none"/>
          <w:lang w:val="en-US" w:eastAsia="zh-CN"/>
        </w:rPr>
        <w:t>包括</w:t>
      </w:r>
      <w:r>
        <w:rPr>
          <w:rFonts w:hint="eastAsia" w:ascii="宋体" w:hAnsi="宋体" w:eastAsia="宋体" w:cs="宋体"/>
          <w:bCs/>
          <w:sz w:val="21"/>
          <w:szCs w:val="24"/>
          <w:highlight w:val="none"/>
          <w:lang w:eastAsia="zh-CN"/>
        </w:rPr>
        <w:t>：</w:t>
      </w:r>
      <w:r>
        <w:rPr>
          <w:rFonts w:hint="eastAsia" w:ascii="宋体" w:hAnsi="宋体" w:eastAsia="宋体" w:cs="宋体"/>
          <w:bCs/>
        </w:rPr>
        <w:t>道路工程、交通工程、给排水工程、电气工程、燃气工程、桥梁工程、绿化工程、边坡工程、海绵城市、水土保持、管线迁改及交通疏解工程等。</w:t>
      </w:r>
    </w:p>
    <w:p>
      <w:pPr>
        <w:rPr>
          <w:rFonts w:hint="eastAsia" w:ascii="宋体" w:hAnsi="宋体" w:cs="Times New Roman"/>
          <w:color w:val="auto"/>
          <w:szCs w:val="21"/>
          <w:highlight w:val="none"/>
          <w:u w:val="single"/>
        </w:rPr>
      </w:pPr>
      <w:r>
        <w:rPr>
          <w:rFonts w:hint="eastAsia" w:ascii="宋体" w:hAnsi="宋体" w:cs="Times New Roman"/>
          <w:color w:val="auto"/>
          <w:szCs w:val="21"/>
          <w:highlight w:val="none"/>
        </w:rPr>
        <w:t>1.5工程投资额：约人民币（下同）</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u w:val="single"/>
          <w:lang w:val="en-US" w:eastAsia="zh-CN"/>
        </w:rPr>
        <w:t>6850</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rPr>
        <w:t>万元（暂估）；  资金来源：</w:t>
      </w:r>
      <w:r>
        <w:rPr>
          <w:rFonts w:hint="eastAsia" w:ascii="宋体" w:hAnsi="宋体" w:cs="Times New Roman"/>
          <w:color w:val="auto"/>
          <w:szCs w:val="21"/>
          <w:highlight w:val="none"/>
          <w:u w:val="single"/>
        </w:rPr>
        <w:t xml:space="preserve"> 政府投资  </w:t>
      </w:r>
    </w:p>
    <w:p>
      <w:pPr>
        <w:ind w:firstLine="420" w:firstLineChars="200"/>
        <w:rPr>
          <w:rFonts w:hint="eastAsia" w:ascii="宋体" w:hAnsi="宋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二、工作内容</w:t>
      </w:r>
    </w:p>
    <w:p>
      <w:pPr>
        <w:ind w:firstLine="420" w:firstLineChars="200"/>
        <w:rPr>
          <w:rFonts w:hint="eastAsia" w:ascii="宋体" w:hAnsi="宋体" w:cs="Times New Roman"/>
          <w:b/>
          <w:bCs/>
          <w:color w:val="auto"/>
          <w:szCs w:val="21"/>
          <w:highlight w:val="none"/>
        </w:rPr>
      </w:pPr>
      <w:r>
        <w:rPr>
          <w:rFonts w:hint="eastAsia" w:ascii="宋体" w:hAnsi="宋体" w:cs="Times New Roman"/>
          <w:vanish/>
          <w:color w:val="auto"/>
          <w:szCs w:val="21"/>
          <w:highlight w:val="none"/>
        </w:rPr>
        <w:cr/>
      </w:r>
      <w:r>
        <w:rPr>
          <w:rFonts w:hint="eastAsia" w:ascii="宋体" w:hAnsi="宋体" w:cs="Times New Roman"/>
          <w:vanish/>
          <w:color w:val="auto"/>
          <w:szCs w:val="21"/>
          <w:highlight w:val="none"/>
        </w:rPr>
        <w:t>优先次条件（人民币和设计依据不会减轻承包人</w:t>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vanish/>
          <w:color w:val="auto"/>
          <w:szCs w:val="21"/>
          <w:highlight w:val="none"/>
        </w:rPr>
        <w:pgNum/>
      </w:r>
      <w:r>
        <w:rPr>
          <w:rFonts w:hint="eastAsia" w:ascii="宋体" w:hAnsi="宋体" w:cs="Times New Roman"/>
          <w:color w:val="auto"/>
          <w:szCs w:val="21"/>
          <w:highlight w:val="none"/>
        </w:rPr>
        <w:t>详见合同通用条款第四、第五条及合同专用条款4.1。</w:t>
      </w:r>
    </w:p>
    <w:p>
      <w:pPr>
        <w:rPr>
          <w:rFonts w:hint="eastAsia" w:ascii="黑体" w:eastAsia="黑体" w:cs="Times New Roman"/>
          <w:b/>
          <w:bCs/>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三、进度要求及工期安排</w:t>
      </w:r>
    </w:p>
    <w:p>
      <w:pPr>
        <w:rPr>
          <w:rFonts w:hint="eastAsia" w:ascii="宋体" w:hAnsi="宋体" w:cs="Times New Roman"/>
          <w:color w:val="auto"/>
          <w:szCs w:val="21"/>
          <w:highlight w:val="none"/>
        </w:rPr>
      </w:pPr>
      <w:r>
        <w:rPr>
          <w:rFonts w:hint="eastAsia" w:ascii="宋体" w:hAnsi="宋体" w:cs="Times New Roman"/>
          <w:color w:val="auto"/>
          <w:szCs w:val="21"/>
          <w:highlight w:val="none"/>
        </w:rPr>
        <w:t>3.1详细勘察外业：工程设计方案稳定后</w:t>
      </w:r>
      <w:r>
        <w:rPr>
          <w:rFonts w:hint="eastAsia" w:ascii="宋体" w:hAnsi="宋体" w:cs="Times New Roman"/>
          <w:color w:val="auto"/>
          <w:szCs w:val="21"/>
          <w:highlight w:val="none"/>
          <w:u w:val="single"/>
        </w:rPr>
        <w:t xml:space="preserve"> 20 </w:t>
      </w:r>
      <w:r>
        <w:rPr>
          <w:rFonts w:hint="eastAsia" w:ascii="宋体" w:hAnsi="宋体" w:cs="Times New Roman"/>
          <w:color w:val="auto"/>
          <w:szCs w:val="21"/>
          <w:highlight w:val="none"/>
        </w:rPr>
        <w:t>日历天；</w:t>
      </w:r>
    </w:p>
    <w:p>
      <w:pPr>
        <w:rPr>
          <w:rFonts w:hint="eastAsia" w:ascii="宋体" w:hAnsi="宋体" w:cs="Times New Roman"/>
          <w:color w:val="auto"/>
          <w:szCs w:val="21"/>
          <w:highlight w:val="none"/>
        </w:rPr>
      </w:pPr>
      <w:r>
        <w:rPr>
          <w:rFonts w:hint="eastAsia" w:ascii="宋体" w:hAnsi="宋体" w:cs="Times New Roman"/>
          <w:color w:val="auto"/>
          <w:szCs w:val="21"/>
          <w:highlight w:val="none"/>
        </w:rPr>
        <w:t>3.2内业及报告编制：外业完成后</w:t>
      </w:r>
      <w:r>
        <w:rPr>
          <w:rFonts w:hint="eastAsia" w:ascii="宋体" w:hAnsi="宋体" w:cs="Times New Roman"/>
          <w:color w:val="auto"/>
          <w:szCs w:val="21"/>
          <w:highlight w:val="none"/>
          <w:u w:val="single"/>
        </w:rPr>
        <w:t xml:space="preserve"> 10 </w:t>
      </w:r>
      <w:r>
        <w:rPr>
          <w:rFonts w:hint="eastAsia" w:ascii="宋体" w:hAnsi="宋体" w:cs="Times New Roman"/>
          <w:color w:val="auto"/>
          <w:szCs w:val="21"/>
          <w:highlight w:val="none"/>
        </w:rPr>
        <w:t>日历天。</w:t>
      </w:r>
    </w:p>
    <w:p>
      <w:pPr>
        <w:rPr>
          <w:rFonts w:hint="eastAsia" w:ascii="宋体" w:hAnsi="宋体" w:cs="Times New Roman"/>
          <w:color w:val="auto"/>
          <w:szCs w:val="21"/>
          <w:highlight w:val="none"/>
        </w:rPr>
      </w:pPr>
      <w:r>
        <w:rPr>
          <w:rFonts w:hint="eastAsia" w:ascii="宋体" w:hAnsi="宋体" w:cs="Times New Roman"/>
          <w:color w:val="auto"/>
          <w:szCs w:val="21"/>
          <w:highlight w:val="none"/>
        </w:rPr>
        <w:t>3.3勘察及其他相关内容进度必须符合工程建设总体进度要求，满足工程建设需要。</w:t>
      </w:r>
    </w:p>
    <w:p>
      <w:pPr>
        <w:rPr>
          <w:rFonts w:hint="eastAsia" w:ascii="宋体" w:hAnsi="宋体" w:cs="Times New Roman"/>
          <w:b/>
          <w:bCs/>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四、合同价款</w:t>
      </w:r>
    </w:p>
    <w:p>
      <w:pPr>
        <w:jc w:val="left"/>
        <w:rPr>
          <w:rFonts w:hint="eastAsia" w:ascii="宋体" w:hAnsi="宋体" w:cs="Times New Roman"/>
          <w:color w:val="auto"/>
          <w:szCs w:val="21"/>
          <w:highlight w:val="none"/>
        </w:rPr>
      </w:pPr>
      <w:r>
        <w:rPr>
          <w:rFonts w:hint="eastAsia" w:ascii="宋体" w:hAnsi="宋体" w:cs="Times New Roman"/>
          <w:color w:val="auto"/>
          <w:szCs w:val="21"/>
          <w:highlight w:val="none"/>
        </w:rPr>
        <w:t>4.1 合同暂定价：人民币（大写）</w:t>
      </w:r>
      <w:r>
        <w:rPr>
          <w:rFonts w:hint="eastAsia" w:ascii="宋体" w:hAnsi="宋体" w:cs="Times New Roman"/>
          <w:color w:val="auto"/>
          <w:szCs w:val="21"/>
          <w:highlight w:val="none"/>
          <w:u w:val="single"/>
          <w:lang w:val="en-US" w:eastAsia="zh-CN"/>
        </w:rPr>
        <w:t xml:space="preserve">     </w:t>
      </w:r>
      <w:r>
        <w:rPr>
          <w:rFonts w:hint="eastAsia" w:ascii="宋体" w:hAnsi="宋体" w:cs="Times New Roman"/>
          <w:color w:val="auto"/>
          <w:szCs w:val="21"/>
          <w:highlight w:val="none"/>
        </w:rPr>
        <w:t>（¥</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u w:val="single"/>
          <w:lang w:val="en-US" w:eastAsia="zh-CN"/>
        </w:rPr>
        <w:t xml:space="preserve">  </w:t>
      </w:r>
      <w:r>
        <w:rPr>
          <w:rFonts w:hint="eastAsia" w:ascii="宋体" w:hAnsi="宋体" w:cs="Times New Roman"/>
          <w:color w:val="auto"/>
          <w:szCs w:val="21"/>
          <w:highlight w:val="none"/>
          <w:u w:val="none"/>
        </w:rPr>
        <w:t xml:space="preserve"> </w:t>
      </w:r>
      <w:r>
        <w:rPr>
          <w:rFonts w:hint="eastAsia" w:ascii="宋体" w:hAnsi="宋体" w:cs="Times New Roman"/>
          <w:color w:val="auto"/>
          <w:szCs w:val="21"/>
          <w:highlight w:val="none"/>
        </w:rPr>
        <w:t>元）。计算办法详见通用条款6.1及合同专用条款6.1.4；</w:t>
      </w:r>
    </w:p>
    <w:p>
      <w:pPr>
        <w:rPr>
          <w:rFonts w:hint="eastAsia" w:ascii="宋体" w:hAnsi="宋体" w:cs="Times New Roman"/>
          <w:color w:val="auto"/>
          <w:szCs w:val="21"/>
          <w:highlight w:val="none"/>
        </w:rPr>
      </w:pPr>
      <w:r>
        <w:rPr>
          <w:rFonts w:hint="eastAsia" w:ascii="宋体" w:hAnsi="宋体" w:cs="Times New Roman"/>
          <w:color w:val="auto"/>
          <w:szCs w:val="21"/>
          <w:highlight w:val="none"/>
        </w:rPr>
        <w:t>4.2本合同的结算和费用支付详见合同通用条款6.2、7.1和合同专用条款。</w:t>
      </w:r>
    </w:p>
    <w:p>
      <w:pPr>
        <w:rPr>
          <w:rFonts w:hint="eastAsia" w:ascii="黑体" w:eastAsia="黑体" w:cs="Times New Roman"/>
          <w:b/>
          <w:bCs/>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五、合同的组成和相关文件优先次序</w:t>
      </w:r>
    </w:p>
    <w:p>
      <w:pPr>
        <w:rPr>
          <w:rFonts w:hint="eastAsia" w:ascii="宋体" w:hAnsi="宋体" w:cs="Times New Roman"/>
          <w:color w:val="auto"/>
          <w:szCs w:val="21"/>
          <w:highlight w:val="none"/>
        </w:rPr>
      </w:pPr>
      <w:r>
        <w:rPr>
          <w:rFonts w:hint="eastAsia" w:ascii="宋体" w:hAnsi="宋体" w:cs="Times New Roman"/>
          <w:color w:val="auto"/>
          <w:szCs w:val="21"/>
          <w:highlight w:val="none"/>
        </w:rPr>
        <w:t>5.1本合同文件由合同协议书、合同通用条款和合同专用条款及附件组成。</w:t>
      </w:r>
    </w:p>
    <w:p>
      <w:pPr>
        <w:rPr>
          <w:rFonts w:hint="eastAsia" w:ascii="宋体" w:hAnsi="宋体" w:cs="Times New Roman"/>
          <w:color w:val="auto"/>
          <w:szCs w:val="21"/>
          <w:highlight w:val="none"/>
        </w:rPr>
      </w:pPr>
      <w:r>
        <w:rPr>
          <w:rFonts w:hint="eastAsia" w:ascii="宋体" w:hAnsi="宋体" w:cs="Times New Roman"/>
          <w:color w:val="auto"/>
          <w:szCs w:val="21"/>
          <w:highlight w:val="none"/>
        </w:rPr>
        <w:t>5.2合同执行中如相关文件存在歧义或不一致，将按以下次序予以判断：</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1、本合同履行过程中双方以书面形式签署的补充和修正文件</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2、合同协议书</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3、合同专用条款</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4、合同通用条款</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5、中标通知书</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6、招标文件及其附件（含补遗书）</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7、投标书及其附件</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8、标准、规范及规程有关技术文件</w:t>
      </w:r>
    </w:p>
    <w:p>
      <w:pPr>
        <w:ind w:firstLine="420" w:firstLineChars="200"/>
        <w:rPr>
          <w:rFonts w:hint="eastAsia" w:ascii="宋体" w:hAnsi="宋体" w:cs="Times New Roman"/>
          <w:color w:val="auto"/>
          <w:szCs w:val="21"/>
          <w:highlight w:val="none"/>
        </w:rPr>
      </w:pPr>
    </w:p>
    <w:p>
      <w:pPr>
        <w:rPr>
          <w:rFonts w:hint="eastAsia" w:ascii="宋体" w:hAnsi="宋体" w:cs="Times New Roman"/>
          <w:color w:val="auto"/>
          <w:szCs w:val="21"/>
          <w:highlight w:val="none"/>
        </w:rPr>
      </w:pPr>
      <w:r>
        <w:rPr>
          <w:rFonts w:hint="eastAsia" w:ascii="宋体" w:hAnsi="宋体" w:cs="Times New Roman"/>
          <w:color w:val="auto"/>
          <w:szCs w:val="21"/>
          <w:highlight w:val="none"/>
        </w:rPr>
        <w:t>5.3合同附件：</w:t>
      </w:r>
    </w:p>
    <w:p>
      <w:pPr>
        <w:ind w:firstLine="420"/>
        <w:rPr>
          <w:rFonts w:hint="eastAsia" w:ascii="宋体" w:hAnsi="宋体" w:cs="Times New Roman"/>
          <w:color w:val="auto"/>
          <w:szCs w:val="21"/>
          <w:highlight w:val="none"/>
        </w:rPr>
      </w:pPr>
      <w:r>
        <w:rPr>
          <w:rFonts w:hint="eastAsia" w:ascii="宋体" w:hAnsi="宋体" w:cs="Times New Roman"/>
          <w:color w:val="auto"/>
          <w:szCs w:val="21"/>
          <w:highlight w:val="none"/>
        </w:rPr>
        <w:t>1、中标通知书；</w:t>
      </w:r>
    </w:p>
    <w:p>
      <w:pPr>
        <w:ind w:firstLine="420"/>
        <w:rPr>
          <w:rFonts w:hint="eastAsia" w:ascii="宋体" w:hAnsi="宋体" w:cs="Times New Roman"/>
          <w:color w:val="auto"/>
          <w:szCs w:val="21"/>
          <w:highlight w:val="none"/>
        </w:rPr>
      </w:pPr>
      <w:r>
        <w:rPr>
          <w:rFonts w:hint="eastAsia" w:ascii="宋体" w:hAnsi="宋体" w:cs="Times New Roman"/>
          <w:color w:val="auto"/>
          <w:szCs w:val="21"/>
          <w:highlight w:val="none"/>
        </w:rPr>
        <w:t>2、本项目投入人员一览表。</w:t>
      </w:r>
    </w:p>
    <w:p>
      <w:pPr>
        <w:rPr>
          <w:rFonts w:hint="eastAsia" w:ascii="黑体" w:eastAsia="黑体" w:cs="Times New Roman"/>
          <w:b/>
          <w:bCs/>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六、双方承诺</w:t>
      </w:r>
    </w:p>
    <w:p>
      <w:pPr>
        <w:tabs>
          <w:tab w:val="left" w:pos="840"/>
        </w:tabs>
        <w:rPr>
          <w:rFonts w:hint="eastAsia" w:cs="Times New Roman"/>
          <w:color w:val="auto"/>
          <w:szCs w:val="21"/>
          <w:highlight w:val="none"/>
        </w:rPr>
      </w:pPr>
      <w:r>
        <w:rPr>
          <w:rFonts w:hint="eastAsia" w:ascii="宋体" w:hAnsi="宋体" w:cs="Times New Roman"/>
          <w:color w:val="auto"/>
          <w:szCs w:val="21"/>
          <w:highlight w:val="none"/>
        </w:rPr>
        <w:t>6.1乙方</w:t>
      </w:r>
      <w:r>
        <w:rPr>
          <w:rFonts w:hint="eastAsia" w:cs="Times New Roman"/>
          <w:color w:val="auto"/>
          <w:szCs w:val="21"/>
          <w:highlight w:val="none"/>
        </w:rPr>
        <w:t>向甲方承诺，按照合同约定开展工作，并履行本合同所约定的全部义务。</w:t>
      </w:r>
    </w:p>
    <w:p>
      <w:pPr>
        <w:tabs>
          <w:tab w:val="left" w:pos="840"/>
        </w:tabs>
        <w:rPr>
          <w:rFonts w:hint="eastAsia" w:cs="Times New Roman"/>
          <w:b/>
          <w:bCs/>
          <w:color w:val="auto"/>
          <w:szCs w:val="21"/>
          <w:highlight w:val="none"/>
        </w:rPr>
      </w:pPr>
      <w:r>
        <w:rPr>
          <w:rFonts w:hint="eastAsia" w:ascii="宋体" w:hAnsi="宋体" w:cs="Times New Roman"/>
          <w:color w:val="auto"/>
          <w:szCs w:val="21"/>
          <w:highlight w:val="none"/>
        </w:rPr>
        <w:t>6.2甲方向乙方承诺，按照合同约定支付款</w:t>
      </w:r>
      <w:r>
        <w:rPr>
          <w:rFonts w:hint="eastAsia" w:cs="Times New Roman"/>
          <w:color w:val="auto"/>
          <w:szCs w:val="21"/>
          <w:highlight w:val="none"/>
        </w:rPr>
        <w:t>项，并履行本合同所约定的全部义务。</w:t>
      </w:r>
    </w:p>
    <w:p>
      <w:pPr>
        <w:rPr>
          <w:rFonts w:hint="eastAsia" w:ascii="黑体" w:eastAsia="黑体" w:cs="Times New Roman"/>
          <w:b/>
          <w:bCs/>
          <w:color w:val="auto"/>
          <w:szCs w:val="21"/>
          <w:highlight w:val="none"/>
        </w:rPr>
      </w:pPr>
    </w:p>
    <w:p>
      <w:pPr>
        <w:rPr>
          <w:rFonts w:hint="eastAsia" w:ascii="黑体" w:eastAsia="黑体" w:cs="Times New Roman"/>
          <w:color w:val="auto"/>
          <w:szCs w:val="21"/>
          <w:highlight w:val="none"/>
        </w:rPr>
      </w:pPr>
      <w:r>
        <w:rPr>
          <w:rFonts w:hint="eastAsia" w:ascii="黑体" w:eastAsia="黑体" w:cs="Times New Roman"/>
          <w:b/>
          <w:bCs/>
          <w:color w:val="auto"/>
          <w:szCs w:val="21"/>
          <w:highlight w:val="none"/>
        </w:rPr>
        <w:t>七、其他</w:t>
      </w:r>
    </w:p>
    <w:p>
      <w:pPr>
        <w:rPr>
          <w:rFonts w:hint="eastAsia" w:ascii="宋体" w:hAnsi="宋体" w:cs="Times New Roman"/>
          <w:b/>
          <w:bCs/>
          <w:color w:val="auto"/>
          <w:szCs w:val="21"/>
          <w:highlight w:val="none"/>
        </w:rPr>
      </w:pPr>
      <w:r>
        <w:rPr>
          <w:rFonts w:hint="eastAsia" w:ascii="宋体" w:hAnsi="宋体" w:cs="Times New Roman"/>
          <w:color w:val="auto"/>
          <w:szCs w:val="21"/>
          <w:highlight w:val="none"/>
        </w:rPr>
        <w:t>7.1本合同一式十份，其中正本二份，双方各执一份，副本八份，甲方执五份，乙方执三份，具有同等法律效力。</w:t>
      </w:r>
    </w:p>
    <w:p>
      <w:pPr>
        <w:rPr>
          <w:rFonts w:hint="eastAsia" w:ascii="宋体" w:hAnsi="宋体" w:cs="Times New Roman"/>
          <w:b/>
          <w:bCs/>
          <w:color w:val="auto"/>
          <w:szCs w:val="21"/>
          <w:highlight w:val="none"/>
        </w:rPr>
      </w:pPr>
      <w:r>
        <w:rPr>
          <w:rFonts w:hint="eastAsia" w:ascii="宋体" w:hAnsi="宋体" w:cs="Times New Roman"/>
          <w:color w:val="auto"/>
          <w:szCs w:val="21"/>
          <w:highlight w:val="none"/>
        </w:rPr>
        <w:t>7.2本合同经双方法定代表人或其委托代理人签署并加盖公章后生效。</w:t>
      </w:r>
    </w:p>
    <w:p>
      <w:pPr>
        <w:rPr>
          <w:rFonts w:hint="eastAsia" w:ascii="宋体" w:hAnsi="宋体" w:cs="Times New Roman"/>
          <w:color w:val="auto"/>
          <w:szCs w:val="21"/>
          <w:highlight w:val="none"/>
        </w:rPr>
      </w:pPr>
    </w:p>
    <w:p>
      <w:pPr>
        <w:rPr>
          <w:rFonts w:hint="eastAsia" w:ascii="宋体" w:hAnsi="宋体" w:cs="Times New Roman"/>
          <w:bCs/>
          <w:color w:val="auto"/>
          <w:szCs w:val="21"/>
          <w:highlight w:val="none"/>
        </w:rPr>
      </w:pPr>
    </w:p>
    <w:tbl>
      <w:tblPr>
        <w:tblStyle w:val="53"/>
        <w:tblW w:w="8993" w:type="dxa"/>
        <w:jc w:val="center"/>
        <w:tblLayout w:type="fixed"/>
        <w:tblCellMar>
          <w:top w:w="0" w:type="dxa"/>
          <w:left w:w="108" w:type="dxa"/>
          <w:bottom w:w="0" w:type="dxa"/>
          <w:right w:w="108" w:type="dxa"/>
        </w:tblCellMar>
      </w:tblPr>
      <w:tblGrid>
        <w:gridCol w:w="1942"/>
        <w:gridCol w:w="2622"/>
        <w:gridCol w:w="1878"/>
        <w:gridCol w:w="2551"/>
      </w:tblGrid>
      <w:tr>
        <w:tblPrEx>
          <w:tblCellMar>
            <w:top w:w="0" w:type="dxa"/>
            <w:left w:w="108" w:type="dxa"/>
            <w:bottom w:w="0" w:type="dxa"/>
            <w:right w:w="108" w:type="dxa"/>
          </w:tblCellMar>
        </w:tblPrEx>
        <w:trPr>
          <w:trHeight w:val="359" w:hRule="atLeast"/>
          <w:jc w:val="center"/>
        </w:trPr>
        <w:tc>
          <w:tcPr>
            <w:tcW w:w="1942" w:type="dxa"/>
            <w:noWrap w:val="0"/>
            <w:vAlign w:val="center"/>
          </w:tcPr>
          <w:p>
            <w:pPr>
              <w:jc w:val="distribute"/>
              <w:rPr>
                <w:rFonts w:hint="eastAsia" w:ascii="宋体" w:hAnsi="宋体" w:cs="Times New Roman"/>
                <w:color w:val="auto"/>
                <w:szCs w:val="21"/>
                <w:highlight w:val="none"/>
              </w:rPr>
            </w:pPr>
            <w:r>
              <w:rPr>
                <w:rFonts w:hint="eastAsia" w:ascii="宋体" w:hAnsi="宋体" w:cs="Times New Roman"/>
                <w:bCs/>
                <w:color w:val="auto"/>
                <w:szCs w:val="21"/>
                <w:highlight w:val="none"/>
              </w:rPr>
              <w:t>发包人（甲方）</w:t>
            </w:r>
            <w:r>
              <w:rPr>
                <w:rFonts w:ascii="宋体" w:hAnsi="宋体" w:cs="Times New Roman"/>
                <w:color w:val="auto"/>
                <w:szCs w:val="21"/>
                <w:highlight w:val="none"/>
              </w:rPr>
              <w:t>:</w:t>
            </w:r>
          </w:p>
        </w:tc>
        <w:tc>
          <w:tcPr>
            <w:tcW w:w="2622" w:type="dxa"/>
            <w:tcBorders>
              <w:bottom w:val="single" w:color="auto" w:sz="4" w:space="0"/>
            </w:tcBorders>
            <w:noWrap w:val="0"/>
            <w:vAlign w:val="center"/>
          </w:tcPr>
          <w:p>
            <w:pPr>
              <w:widowControl w:val="0"/>
              <w:pBdr>
                <w:bottom w:val="none" w:color="auto" w:sz="0" w:space="0"/>
              </w:pBdr>
              <w:snapToGrid/>
              <w:jc w:val="both"/>
              <w:rPr>
                <w:rFonts w:hint="eastAsia" w:ascii="黑体" w:hAnsi="Times New Roman" w:eastAsia="黑体" w:cs="Times New Roman"/>
                <w:b/>
                <w:color w:val="auto"/>
                <w:kern w:val="0"/>
                <w:sz w:val="21"/>
                <w:szCs w:val="21"/>
                <w:highlight w:val="none"/>
                <w:lang w:val="en-US" w:eastAsia="zh-CN" w:bidi="ar-SA"/>
              </w:rPr>
            </w:pPr>
            <w:r>
              <w:rPr>
                <w:rFonts w:hint="eastAsia" w:ascii="黑体" w:hAnsi="宋体" w:eastAsia="黑体" w:cs="Times New Roman"/>
                <w:b/>
                <w:color w:val="auto"/>
                <w:kern w:val="0"/>
                <w:sz w:val="21"/>
                <w:szCs w:val="21"/>
                <w:highlight w:val="none"/>
                <w:u w:val="single"/>
                <w:lang w:val="en-US" w:eastAsia="zh-CN" w:bidi="ar-SA"/>
              </w:rPr>
              <w:t>深圳市龙岗区城投高新技术产业投资开发有限公司</w:t>
            </w:r>
          </w:p>
        </w:tc>
        <w:tc>
          <w:tcPr>
            <w:tcW w:w="1878" w:type="dxa"/>
            <w:noWrap w:val="0"/>
            <w:vAlign w:val="center"/>
          </w:tcPr>
          <w:p>
            <w:pPr>
              <w:jc w:val="distribute"/>
              <w:rPr>
                <w:rFonts w:hint="eastAsia" w:cs="Times New Roman"/>
                <w:color w:val="auto"/>
                <w:szCs w:val="21"/>
                <w:highlight w:val="none"/>
              </w:rPr>
            </w:pPr>
            <w:r>
              <w:rPr>
                <w:rFonts w:hint="eastAsia" w:ascii="宋体" w:hAnsi="宋体" w:cs="Times New Roman"/>
                <w:bCs/>
                <w:color w:val="auto"/>
                <w:szCs w:val="21"/>
                <w:highlight w:val="none"/>
              </w:rPr>
              <w:t>勘察人（乙方）</w:t>
            </w:r>
            <w:r>
              <w:rPr>
                <w:rFonts w:hint="eastAsia" w:cs="Times New Roman"/>
                <w:color w:val="auto"/>
                <w:szCs w:val="21"/>
                <w:highlight w:val="none"/>
              </w:rPr>
              <w:t>：</w:t>
            </w:r>
          </w:p>
        </w:tc>
        <w:tc>
          <w:tcPr>
            <w:tcW w:w="2551" w:type="dxa"/>
            <w:tcBorders>
              <w:bottom w:val="single" w:color="auto" w:sz="4" w:space="0"/>
            </w:tcBorders>
            <w:noWrap w:val="0"/>
            <w:vAlign w:val="center"/>
          </w:tcPr>
          <w:p>
            <w:pPr>
              <w:jc w:val="center"/>
              <w:rPr>
                <w:rFonts w:hint="default" w:ascii="黑体" w:eastAsia="黑体" w:cs="Times New Roman"/>
                <w:b/>
                <w:color w:val="auto"/>
                <w:szCs w:val="21"/>
                <w:highlight w:val="none"/>
                <w:lang w:val="en-US" w:eastAsia="zh-CN"/>
              </w:rPr>
            </w:pPr>
          </w:p>
        </w:tc>
      </w:tr>
      <w:tr>
        <w:tblPrEx>
          <w:tblCellMar>
            <w:top w:w="0" w:type="dxa"/>
            <w:left w:w="108" w:type="dxa"/>
            <w:bottom w:w="0" w:type="dxa"/>
            <w:right w:w="108" w:type="dxa"/>
          </w:tblCellMar>
        </w:tblPrEx>
        <w:trPr>
          <w:jc w:val="center"/>
        </w:trPr>
        <w:tc>
          <w:tcPr>
            <w:tcW w:w="1942" w:type="dxa"/>
            <w:noWrap w:val="0"/>
            <w:vAlign w:val="center"/>
          </w:tcPr>
          <w:p>
            <w:pPr>
              <w:rPr>
                <w:rFonts w:hint="eastAsia" w:cs="Times New Roman"/>
                <w:color w:val="auto"/>
                <w:szCs w:val="21"/>
                <w:highlight w:val="none"/>
              </w:rPr>
            </w:pPr>
          </w:p>
        </w:tc>
        <w:tc>
          <w:tcPr>
            <w:tcW w:w="2622" w:type="dxa"/>
            <w:noWrap w:val="0"/>
            <w:vAlign w:val="top"/>
          </w:tcPr>
          <w:p>
            <w:pPr>
              <w:jc w:val="center"/>
              <w:rPr>
                <w:rFonts w:hint="eastAsia" w:ascii="宋体" w:hAnsi="宋体" w:cs="Times New Roman"/>
                <w:color w:val="auto"/>
                <w:szCs w:val="21"/>
                <w:highlight w:val="none"/>
              </w:rPr>
            </w:pPr>
            <w:r>
              <w:rPr>
                <w:rFonts w:ascii="宋体" w:hAnsi="宋体" w:cs="Times New Roman"/>
                <w:color w:val="auto"/>
                <w:szCs w:val="21"/>
                <w:highlight w:val="none"/>
              </w:rPr>
              <w:t>(</w:t>
            </w:r>
            <w:r>
              <w:rPr>
                <w:rFonts w:hint="eastAsia" w:ascii="宋体" w:hAnsi="宋体" w:cs="Times New Roman"/>
                <w:color w:val="auto"/>
                <w:szCs w:val="21"/>
                <w:highlight w:val="none"/>
              </w:rPr>
              <w:t>盖</w:t>
            </w:r>
            <w:r>
              <w:rPr>
                <w:rFonts w:ascii="宋体" w:hAnsi="宋体" w:cs="Times New Roman"/>
                <w:color w:val="auto"/>
                <w:szCs w:val="21"/>
                <w:highlight w:val="none"/>
              </w:rPr>
              <w:t xml:space="preserve"> </w:t>
            </w:r>
            <w:r>
              <w:rPr>
                <w:rFonts w:hint="eastAsia" w:ascii="宋体" w:hAnsi="宋体" w:cs="Times New Roman"/>
                <w:color w:val="auto"/>
                <w:szCs w:val="21"/>
                <w:highlight w:val="none"/>
              </w:rPr>
              <w:t>章</w:t>
            </w:r>
            <w:r>
              <w:rPr>
                <w:rFonts w:ascii="宋体" w:hAnsi="宋体" w:cs="Times New Roman"/>
                <w:color w:val="auto"/>
                <w:szCs w:val="21"/>
                <w:highlight w:val="none"/>
              </w:rPr>
              <w:t>)</w:t>
            </w:r>
          </w:p>
        </w:tc>
        <w:tc>
          <w:tcPr>
            <w:tcW w:w="1878" w:type="dxa"/>
            <w:noWrap w:val="0"/>
            <w:vAlign w:val="center"/>
          </w:tcPr>
          <w:p>
            <w:pPr>
              <w:jc w:val="distribute"/>
              <w:rPr>
                <w:rFonts w:hint="eastAsia" w:cs="Times New Roman"/>
                <w:color w:val="auto"/>
                <w:szCs w:val="21"/>
                <w:highlight w:val="none"/>
              </w:rPr>
            </w:pPr>
          </w:p>
        </w:tc>
        <w:tc>
          <w:tcPr>
            <w:tcW w:w="2551" w:type="dxa"/>
            <w:noWrap w:val="0"/>
            <w:vAlign w:val="top"/>
          </w:tcPr>
          <w:p>
            <w:pPr>
              <w:jc w:val="center"/>
              <w:rPr>
                <w:rFonts w:hint="eastAsia" w:ascii="宋体" w:hAnsi="宋体" w:cs="Times New Roman"/>
                <w:color w:val="auto"/>
                <w:szCs w:val="21"/>
                <w:highlight w:val="none"/>
              </w:rPr>
            </w:pPr>
            <w:r>
              <w:rPr>
                <w:rFonts w:ascii="宋体" w:hAnsi="宋体" w:cs="Times New Roman"/>
                <w:color w:val="auto"/>
                <w:szCs w:val="21"/>
                <w:highlight w:val="none"/>
              </w:rPr>
              <w:t>(</w:t>
            </w:r>
            <w:r>
              <w:rPr>
                <w:rFonts w:hint="eastAsia" w:ascii="宋体" w:hAnsi="宋体" w:cs="Times New Roman"/>
                <w:color w:val="auto"/>
                <w:szCs w:val="21"/>
                <w:highlight w:val="none"/>
              </w:rPr>
              <w:t>盖</w:t>
            </w:r>
            <w:r>
              <w:rPr>
                <w:rFonts w:ascii="宋体" w:hAnsi="宋体" w:cs="Times New Roman"/>
                <w:color w:val="auto"/>
                <w:szCs w:val="21"/>
                <w:highlight w:val="none"/>
              </w:rPr>
              <w:t xml:space="preserve"> </w:t>
            </w:r>
            <w:r>
              <w:rPr>
                <w:rFonts w:hint="eastAsia" w:ascii="宋体" w:hAnsi="宋体" w:cs="Times New Roman"/>
                <w:color w:val="auto"/>
                <w:szCs w:val="21"/>
                <w:highlight w:val="none"/>
              </w:rPr>
              <w:t>章</w:t>
            </w:r>
            <w:r>
              <w:rPr>
                <w:rFonts w:ascii="宋体" w:hAnsi="宋体" w:cs="Times New Roman"/>
                <w:color w:val="auto"/>
                <w:szCs w:val="21"/>
                <w:highlight w:val="none"/>
              </w:rPr>
              <w:t>)</w:t>
            </w:r>
          </w:p>
        </w:tc>
      </w:tr>
      <w:tr>
        <w:tblPrEx>
          <w:tblCellMar>
            <w:top w:w="0" w:type="dxa"/>
            <w:left w:w="108" w:type="dxa"/>
            <w:bottom w:w="0" w:type="dxa"/>
            <w:right w:w="108" w:type="dxa"/>
          </w:tblCellMar>
        </w:tblPrEx>
        <w:trPr>
          <w:jc w:val="center"/>
        </w:trPr>
        <w:tc>
          <w:tcPr>
            <w:tcW w:w="1942" w:type="dxa"/>
            <w:noWrap w:val="0"/>
            <w:vAlign w:val="center"/>
          </w:tcPr>
          <w:p>
            <w:pPr>
              <w:jc w:val="distribute"/>
              <w:rPr>
                <w:rFonts w:hint="eastAsia" w:cs="Times New Roman"/>
                <w:color w:val="auto"/>
                <w:szCs w:val="21"/>
                <w:highlight w:val="none"/>
              </w:rPr>
            </w:pPr>
            <w:r>
              <w:rPr>
                <w:rFonts w:hint="eastAsia" w:cs="Times New Roman"/>
                <w:color w:val="auto"/>
                <w:szCs w:val="21"/>
                <w:highlight w:val="none"/>
              </w:rPr>
              <w:t>法定代表人</w:t>
            </w:r>
          </w:p>
          <w:p>
            <w:pPr>
              <w:ind w:firstLine="735" w:firstLineChars="350"/>
              <w:rPr>
                <w:rFonts w:hint="eastAsia" w:cs="Times New Roman"/>
                <w:color w:val="auto"/>
                <w:szCs w:val="21"/>
                <w:highlight w:val="none"/>
              </w:rPr>
            </w:pPr>
            <w:r>
              <w:rPr>
                <w:rFonts w:hint="eastAsia" w:cs="Times New Roman"/>
                <w:color w:val="auto"/>
                <w:szCs w:val="21"/>
                <w:highlight w:val="none"/>
              </w:rPr>
              <w:t>或</w:t>
            </w:r>
          </w:p>
          <w:p>
            <w:pPr>
              <w:jc w:val="distribute"/>
              <w:rPr>
                <w:rFonts w:hint="eastAsia" w:cs="Times New Roman"/>
                <w:color w:val="auto"/>
                <w:szCs w:val="21"/>
                <w:highlight w:val="none"/>
              </w:rPr>
            </w:pPr>
            <w:r>
              <w:rPr>
                <w:rFonts w:hint="eastAsia" w:cs="Times New Roman"/>
                <w:color w:val="auto"/>
                <w:szCs w:val="21"/>
                <w:highlight w:val="none"/>
              </w:rPr>
              <w:t>其授权的代理人：</w:t>
            </w:r>
          </w:p>
        </w:tc>
        <w:tc>
          <w:tcPr>
            <w:tcW w:w="2622" w:type="dxa"/>
            <w:tcBorders>
              <w:bottom w:val="single" w:color="auto" w:sz="4" w:space="0"/>
            </w:tcBorders>
            <w:noWrap w:val="0"/>
            <w:vAlign w:val="center"/>
          </w:tcPr>
          <w:p>
            <w:pPr>
              <w:jc w:val="center"/>
              <w:rPr>
                <w:rFonts w:ascii="宋体" w:hAnsi="宋体" w:cs="Times New Roman"/>
                <w:color w:val="auto"/>
                <w:szCs w:val="21"/>
                <w:highlight w:val="none"/>
              </w:rPr>
            </w:pPr>
          </w:p>
        </w:tc>
        <w:tc>
          <w:tcPr>
            <w:tcW w:w="1878" w:type="dxa"/>
            <w:noWrap w:val="0"/>
            <w:vAlign w:val="center"/>
          </w:tcPr>
          <w:p>
            <w:pPr>
              <w:jc w:val="distribute"/>
              <w:rPr>
                <w:rFonts w:hint="eastAsia" w:cs="Times New Roman"/>
                <w:color w:val="auto"/>
                <w:szCs w:val="21"/>
                <w:highlight w:val="none"/>
              </w:rPr>
            </w:pPr>
            <w:r>
              <w:rPr>
                <w:rFonts w:hint="eastAsia" w:cs="Times New Roman"/>
                <w:color w:val="auto"/>
                <w:szCs w:val="21"/>
                <w:highlight w:val="none"/>
              </w:rPr>
              <w:t>法定代表人</w:t>
            </w:r>
          </w:p>
          <w:p>
            <w:pPr>
              <w:ind w:firstLine="735" w:firstLineChars="350"/>
              <w:rPr>
                <w:rFonts w:hint="eastAsia" w:cs="Times New Roman"/>
                <w:color w:val="auto"/>
                <w:szCs w:val="21"/>
                <w:highlight w:val="none"/>
              </w:rPr>
            </w:pPr>
            <w:r>
              <w:rPr>
                <w:rFonts w:hint="eastAsia" w:cs="Times New Roman"/>
                <w:color w:val="auto"/>
                <w:szCs w:val="21"/>
                <w:highlight w:val="none"/>
              </w:rPr>
              <w:t>或</w:t>
            </w:r>
          </w:p>
          <w:p>
            <w:pPr>
              <w:jc w:val="distribute"/>
              <w:rPr>
                <w:rFonts w:hint="eastAsia" w:cs="Times New Roman"/>
                <w:color w:val="auto"/>
                <w:szCs w:val="21"/>
                <w:highlight w:val="none"/>
              </w:rPr>
            </w:pPr>
            <w:r>
              <w:rPr>
                <w:rFonts w:hint="eastAsia" w:cs="Times New Roman"/>
                <w:color w:val="auto"/>
                <w:szCs w:val="21"/>
                <w:highlight w:val="none"/>
              </w:rPr>
              <w:t>其授权的代理人：</w:t>
            </w:r>
          </w:p>
        </w:tc>
        <w:tc>
          <w:tcPr>
            <w:tcW w:w="2551" w:type="dxa"/>
            <w:tcBorders>
              <w:bottom w:val="single" w:color="auto" w:sz="4" w:space="0"/>
            </w:tcBorders>
            <w:noWrap w:val="0"/>
            <w:vAlign w:val="center"/>
          </w:tcPr>
          <w:p>
            <w:pPr>
              <w:jc w:val="center"/>
              <w:rPr>
                <w:rFonts w:hint="eastAsia" w:ascii="宋体" w:hAnsi="宋体" w:cs="Times New Roman"/>
                <w:color w:val="auto"/>
                <w:szCs w:val="21"/>
                <w:highlight w:val="none"/>
              </w:rPr>
            </w:pPr>
          </w:p>
        </w:tc>
      </w:tr>
      <w:tr>
        <w:tblPrEx>
          <w:tblCellMar>
            <w:top w:w="0" w:type="dxa"/>
            <w:left w:w="108" w:type="dxa"/>
            <w:bottom w:w="0" w:type="dxa"/>
            <w:right w:w="108" w:type="dxa"/>
          </w:tblCellMar>
        </w:tblPrEx>
        <w:trPr>
          <w:jc w:val="center"/>
        </w:trPr>
        <w:tc>
          <w:tcPr>
            <w:tcW w:w="1942" w:type="dxa"/>
            <w:noWrap w:val="0"/>
            <w:vAlign w:val="center"/>
          </w:tcPr>
          <w:p>
            <w:pPr>
              <w:jc w:val="distribute"/>
              <w:rPr>
                <w:rFonts w:hint="eastAsia" w:cs="Times New Roman"/>
                <w:color w:val="auto"/>
                <w:szCs w:val="21"/>
                <w:highlight w:val="none"/>
              </w:rPr>
            </w:pPr>
          </w:p>
        </w:tc>
        <w:tc>
          <w:tcPr>
            <w:tcW w:w="2622" w:type="dxa"/>
            <w:noWrap w:val="0"/>
            <w:vAlign w:val="top"/>
          </w:tcPr>
          <w:p>
            <w:pPr>
              <w:jc w:val="center"/>
              <w:rPr>
                <w:rFonts w:hint="eastAsia" w:ascii="宋体" w:hAnsi="宋体" w:cs="Times New Roman"/>
                <w:color w:val="auto"/>
                <w:szCs w:val="21"/>
                <w:highlight w:val="none"/>
              </w:rPr>
            </w:pPr>
            <w:r>
              <w:rPr>
                <w:rFonts w:ascii="宋体" w:hAnsi="宋体" w:cs="Times New Roman"/>
                <w:color w:val="auto"/>
                <w:szCs w:val="21"/>
                <w:highlight w:val="none"/>
              </w:rPr>
              <w:t>(</w:t>
            </w:r>
            <w:r>
              <w:rPr>
                <w:rFonts w:hint="eastAsia" w:ascii="宋体" w:hAnsi="宋体" w:cs="Times New Roman"/>
                <w:color w:val="auto"/>
                <w:szCs w:val="21"/>
                <w:highlight w:val="none"/>
              </w:rPr>
              <w:t>签</w:t>
            </w:r>
            <w:r>
              <w:rPr>
                <w:rFonts w:ascii="宋体" w:hAnsi="宋体" w:cs="Times New Roman"/>
                <w:color w:val="auto"/>
                <w:szCs w:val="21"/>
                <w:highlight w:val="none"/>
              </w:rPr>
              <w:t xml:space="preserve"> </w:t>
            </w:r>
            <w:r>
              <w:rPr>
                <w:rFonts w:hint="eastAsia" w:ascii="宋体" w:hAnsi="宋体" w:cs="Times New Roman"/>
                <w:color w:val="auto"/>
                <w:szCs w:val="21"/>
                <w:highlight w:val="none"/>
              </w:rPr>
              <w:t>字</w:t>
            </w:r>
            <w:r>
              <w:rPr>
                <w:rFonts w:ascii="宋体" w:hAnsi="宋体" w:cs="Times New Roman"/>
                <w:color w:val="auto"/>
                <w:szCs w:val="21"/>
                <w:highlight w:val="none"/>
              </w:rPr>
              <w:t>)</w:t>
            </w:r>
          </w:p>
        </w:tc>
        <w:tc>
          <w:tcPr>
            <w:tcW w:w="1878" w:type="dxa"/>
            <w:noWrap w:val="0"/>
            <w:vAlign w:val="center"/>
          </w:tcPr>
          <w:p>
            <w:pPr>
              <w:jc w:val="distribute"/>
              <w:rPr>
                <w:rFonts w:hint="eastAsia" w:cs="Times New Roman"/>
                <w:color w:val="auto"/>
                <w:szCs w:val="21"/>
                <w:highlight w:val="none"/>
              </w:rPr>
            </w:pPr>
          </w:p>
        </w:tc>
        <w:tc>
          <w:tcPr>
            <w:tcW w:w="2551" w:type="dxa"/>
            <w:noWrap w:val="0"/>
            <w:vAlign w:val="top"/>
          </w:tcPr>
          <w:p>
            <w:pPr>
              <w:jc w:val="center"/>
              <w:rPr>
                <w:rFonts w:hint="eastAsia" w:ascii="宋体" w:hAnsi="宋体" w:cs="Times New Roman"/>
                <w:color w:val="auto"/>
                <w:szCs w:val="21"/>
                <w:highlight w:val="none"/>
              </w:rPr>
            </w:pPr>
            <w:r>
              <w:rPr>
                <w:rFonts w:ascii="宋体" w:hAnsi="宋体" w:cs="Times New Roman"/>
                <w:color w:val="auto"/>
                <w:szCs w:val="21"/>
                <w:highlight w:val="none"/>
              </w:rPr>
              <w:t>(</w:t>
            </w:r>
            <w:r>
              <w:rPr>
                <w:rFonts w:hint="eastAsia" w:ascii="宋体" w:hAnsi="宋体" w:cs="Times New Roman"/>
                <w:color w:val="auto"/>
                <w:szCs w:val="21"/>
                <w:highlight w:val="none"/>
              </w:rPr>
              <w:t>签</w:t>
            </w:r>
            <w:r>
              <w:rPr>
                <w:rFonts w:ascii="宋体" w:hAnsi="宋体" w:cs="Times New Roman"/>
                <w:color w:val="auto"/>
                <w:szCs w:val="21"/>
                <w:highlight w:val="none"/>
              </w:rPr>
              <w:t xml:space="preserve"> </w:t>
            </w:r>
            <w:r>
              <w:rPr>
                <w:rFonts w:hint="eastAsia" w:ascii="宋体" w:hAnsi="宋体" w:cs="Times New Roman"/>
                <w:color w:val="auto"/>
                <w:szCs w:val="21"/>
                <w:highlight w:val="none"/>
              </w:rPr>
              <w:t>字</w:t>
            </w:r>
            <w:r>
              <w:rPr>
                <w:rFonts w:ascii="宋体" w:hAnsi="宋体" w:cs="Times New Roman"/>
                <w:color w:val="auto"/>
                <w:szCs w:val="21"/>
                <w:highlight w:val="none"/>
              </w:rPr>
              <w:t>)</w:t>
            </w:r>
          </w:p>
        </w:tc>
      </w:tr>
      <w:tr>
        <w:tblPrEx>
          <w:tblCellMar>
            <w:top w:w="0" w:type="dxa"/>
            <w:left w:w="108" w:type="dxa"/>
            <w:bottom w:w="0" w:type="dxa"/>
            <w:right w:w="108" w:type="dxa"/>
          </w:tblCellMar>
        </w:tblPrEx>
        <w:trPr>
          <w:trHeight w:val="572" w:hRule="atLeast"/>
          <w:jc w:val="center"/>
        </w:trPr>
        <w:tc>
          <w:tcPr>
            <w:tcW w:w="1942" w:type="dxa"/>
            <w:noWrap w:val="0"/>
            <w:vAlign w:val="center"/>
          </w:tcPr>
          <w:p>
            <w:pPr>
              <w:jc w:val="distribute"/>
              <w:rPr>
                <w:rFonts w:hint="eastAsia" w:cs="Times New Roman"/>
                <w:color w:val="auto"/>
                <w:szCs w:val="21"/>
                <w:highlight w:val="none"/>
              </w:rPr>
            </w:pPr>
          </w:p>
        </w:tc>
        <w:tc>
          <w:tcPr>
            <w:tcW w:w="2622" w:type="dxa"/>
            <w:noWrap w:val="0"/>
            <w:vAlign w:val="center"/>
          </w:tcPr>
          <w:p>
            <w:pPr>
              <w:jc w:val="center"/>
              <w:rPr>
                <w:rFonts w:hint="eastAsia" w:ascii="宋体" w:hAnsi="宋体" w:cs="Times New Roman"/>
                <w:color w:val="auto"/>
                <w:szCs w:val="21"/>
                <w:highlight w:val="none"/>
              </w:rPr>
            </w:pPr>
          </w:p>
        </w:tc>
        <w:tc>
          <w:tcPr>
            <w:tcW w:w="1878" w:type="dxa"/>
            <w:noWrap w:val="0"/>
            <w:vAlign w:val="center"/>
          </w:tcPr>
          <w:p>
            <w:pPr>
              <w:jc w:val="distribute"/>
              <w:rPr>
                <w:rFonts w:hint="eastAsia" w:cs="Times New Roman"/>
                <w:color w:val="auto"/>
                <w:szCs w:val="21"/>
                <w:highlight w:val="none"/>
              </w:rPr>
            </w:pPr>
            <w:r>
              <w:rPr>
                <w:rFonts w:hint="eastAsia" w:cs="Times New Roman"/>
                <w:color w:val="auto"/>
                <w:szCs w:val="21"/>
                <w:highlight w:val="none"/>
              </w:rPr>
              <w:t>银行开户名:</w:t>
            </w:r>
          </w:p>
        </w:tc>
        <w:tc>
          <w:tcPr>
            <w:tcW w:w="2551" w:type="dxa"/>
            <w:noWrap w:val="0"/>
            <w:vAlign w:val="center"/>
          </w:tcPr>
          <w:p>
            <w:pPr>
              <w:jc w:val="center"/>
              <w:rPr>
                <w:rFonts w:hint="eastAsia" w:ascii="宋体" w:hAnsi="宋体" w:cs="Times New Roman"/>
                <w:color w:val="auto"/>
                <w:szCs w:val="21"/>
                <w:highlight w:val="none"/>
              </w:rPr>
            </w:pPr>
          </w:p>
        </w:tc>
      </w:tr>
      <w:tr>
        <w:tblPrEx>
          <w:tblCellMar>
            <w:top w:w="0" w:type="dxa"/>
            <w:left w:w="108" w:type="dxa"/>
            <w:bottom w:w="0" w:type="dxa"/>
            <w:right w:w="108" w:type="dxa"/>
          </w:tblCellMar>
        </w:tblPrEx>
        <w:trPr>
          <w:trHeight w:val="572" w:hRule="atLeast"/>
          <w:jc w:val="center"/>
        </w:trPr>
        <w:tc>
          <w:tcPr>
            <w:tcW w:w="1942" w:type="dxa"/>
            <w:noWrap w:val="0"/>
            <w:vAlign w:val="center"/>
          </w:tcPr>
          <w:p>
            <w:pPr>
              <w:jc w:val="distribute"/>
              <w:rPr>
                <w:rFonts w:hint="eastAsia" w:cs="Times New Roman"/>
                <w:color w:val="auto"/>
                <w:szCs w:val="21"/>
                <w:highlight w:val="none"/>
              </w:rPr>
            </w:pPr>
          </w:p>
        </w:tc>
        <w:tc>
          <w:tcPr>
            <w:tcW w:w="2622" w:type="dxa"/>
            <w:noWrap w:val="0"/>
            <w:vAlign w:val="center"/>
          </w:tcPr>
          <w:p>
            <w:pPr>
              <w:jc w:val="center"/>
              <w:rPr>
                <w:rFonts w:hint="eastAsia" w:ascii="宋体" w:hAnsi="宋体" w:cs="Times New Roman"/>
                <w:color w:val="auto"/>
                <w:szCs w:val="21"/>
                <w:highlight w:val="none"/>
              </w:rPr>
            </w:pPr>
          </w:p>
        </w:tc>
        <w:tc>
          <w:tcPr>
            <w:tcW w:w="1878" w:type="dxa"/>
            <w:noWrap w:val="0"/>
            <w:vAlign w:val="center"/>
          </w:tcPr>
          <w:p>
            <w:pPr>
              <w:jc w:val="distribute"/>
              <w:rPr>
                <w:rFonts w:hint="eastAsia" w:cs="Times New Roman"/>
                <w:color w:val="auto"/>
                <w:szCs w:val="21"/>
                <w:highlight w:val="none"/>
              </w:rPr>
            </w:pPr>
            <w:r>
              <w:rPr>
                <w:rFonts w:hint="eastAsia" w:cs="Times New Roman"/>
                <w:color w:val="auto"/>
                <w:szCs w:val="21"/>
                <w:highlight w:val="none"/>
              </w:rPr>
              <w:t>开户银行：</w:t>
            </w:r>
          </w:p>
        </w:tc>
        <w:tc>
          <w:tcPr>
            <w:tcW w:w="2551" w:type="dxa"/>
            <w:noWrap w:val="0"/>
            <w:vAlign w:val="center"/>
          </w:tcPr>
          <w:p>
            <w:pPr>
              <w:jc w:val="center"/>
              <w:rPr>
                <w:rFonts w:hint="eastAsia" w:ascii="宋体" w:hAnsi="宋体" w:cs="Times New Roman"/>
                <w:color w:val="auto"/>
                <w:szCs w:val="21"/>
                <w:highlight w:val="none"/>
              </w:rPr>
            </w:pPr>
          </w:p>
        </w:tc>
      </w:tr>
      <w:tr>
        <w:tblPrEx>
          <w:tblCellMar>
            <w:top w:w="0" w:type="dxa"/>
            <w:left w:w="108" w:type="dxa"/>
            <w:bottom w:w="0" w:type="dxa"/>
            <w:right w:w="108" w:type="dxa"/>
          </w:tblCellMar>
        </w:tblPrEx>
        <w:trPr>
          <w:trHeight w:val="572" w:hRule="atLeast"/>
          <w:jc w:val="center"/>
        </w:trPr>
        <w:tc>
          <w:tcPr>
            <w:tcW w:w="1942" w:type="dxa"/>
            <w:noWrap w:val="0"/>
            <w:vAlign w:val="center"/>
          </w:tcPr>
          <w:p>
            <w:pPr>
              <w:jc w:val="distribute"/>
              <w:rPr>
                <w:rFonts w:hint="eastAsia" w:ascii="宋体" w:hAnsi="宋体" w:cs="Times New Roman"/>
                <w:color w:val="auto"/>
                <w:szCs w:val="21"/>
                <w:highlight w:val="none"/>
              </w:rPr>
            </w:pPr>
          </w:p>
        </w:tc>
        <w:tc>
          <w:tcPr>
            <w:tcW w:w="2622" w:type="dxa"/>
            <w:noWrap w:val="0"/>
            <w:vAlign w:val="center"/>
          </w:tcPr>
          <w:p>
            <w:pPr>
              <w:jc w:val="center"/>
              <w:rPr>
                <w:rFonts w:hint="eastAsia" w:ascii="宋体" w:hAnsi="宋体" w:cs="Times New Roman"/>
                <w:color w:val="auto"/>
                <w:szCs w:val="21"/>
                <w:highlight w:val="none"/>
              </w:rPr>
            </w:pPr>
          </w:p>
          <w:p>
            <w:pPr>
              <w:rPr>
                <w:rFonts w:hint="eastAsia" w:ascii="宋体" w:hAnsi="宋体" w:cs="Times New Roman"/>
                <w:color w:val="auto"/>
                <w:szCs w:val="21"/>
                <w:highlight w:val="none"/>
              </w:rPr>
            </w:pPr>
          </w:p>
        </w:tc>
        <w:tc>
          <w:tcPr>
            <w:tcW w:w="1878" w:type="dxa"/>
            <w:noWrap w:val="0"/>
            <w:vAlign w:val="center"/>
          </w:tcPr>
          <w:p>
            <w:pPr>
              <w:jc w:val="distribute"/>
              <w:rPr>
                <w:rFonts w:hint="eastAsia" w:ascii="宋体" w:hAnsi="宋体" w:cs="Times New Roman"/>
                <w:color w:val="auto"/>
                <w:szCs w:val="21"/>
                <w:highlight w:val="none"/>
              </w:rPr>
            </w:pPr>
            <w:r>
              <w:rPr>
                <w:rFonts w:hint="eastAsia" w:cs="Times New Roman"/>
                <w:color w:val="auto"/>
                <w:szCs w:val="21"/>
                <w:highlight w:val="none"/>
              </w:rPr>
              <w:t>银行账号：</w:t>
            </w:r>
          </w:p>
        </w:tc>
        <w:tc>
          <w:tcPr>
            <w:tcW w:w="2551" w:type="dxa"/>
            <w:noWrap w:val="0"/>
            <w:vAlign w:val="center"/>
          </w:tcPr>
          <w:p>
            <w:pPr>
              <w:jc w:val="center"/>
              <w:rPr>
                <w:rFonts w:hint="eastAsia" w:ascii="宋体" w:hAnsi="宋体" w:cs="Times New Roman"/>
                <w:color w:val="auto"/>
                <w:szCs w:val="21"/>
                <w:highlight w:val="none"/>
              </w:rPr>
            </w:pPr>
          </w:p>
          <w:p>
            <w:pPr>
              <w:rPr>
                <w:rFonts w:hint="eastAsia" w:ascii="宋体" w:hAnsi="宋体" w:cs="Times New Roman"/>
                <w:color w:val="auto"/>
                <w:szCs w:val="21"/>
                <w:highlight w:val="none"/>
              </w:rPr>
            </w:pPr>
          </w:p>
        </w:tc>
      </w:tr>
      <w:tr>
        <w:tblPrEx>
          <w:tblCellMar>
            <w:top w:w="0" w:type="dxa"/>
            <w:left w:w="108" w:type="dxa"/>
            <w:bottom w:w="0" w:type="dxa"/>
            <w:right w:w="108" w:type="dxa"/>
          </w:tblCellMar>
        </w:tblPrEx>
        <w:trPr>
          <w:trHeight w:val="572" w:hRule="atLeast"/>
          <w:jc w:val="center"/>
        </w:trPr>
        <w:tc>
          <w:tcPr>
            <w:tcW w:w="1942" w:type="dxa"/>
            <w:noWrap w:val="0"/>
            <w:vAlign w:val="center"/>
          </w:tcPr>
          <w:p>
            <w:pPr>
              <w:jc w:val="distribute"/>
              <w:rPr>
                <w:rFonts w:hint="eastAsia" w:ascii="宋体" w:hAnsi="宋体" w:cs="Times New Roman"/>
                <w:color w:val="auto"/>
                <w:szCs w:val="21"/>
                <w:highlight w:val="none"/>
              </w:rPr>
            </w:pPr>
            <w:r>
              <w:rPr>
                <w:rFonts w:hint="eastAsia" w:ascii="宋体" w:hAnsi="宋体" w:cs="Times New Roman"/>
                <w:color w:val="auto"/>
                <w:szCs w:val="21"/>
                <w:highlight w:val="none"/>
              </w:rPr>
              <w:t>合同签订时间：</w:t>
            </w:r>
          </w:p>
        </w:tc>
        <w:tc>
          <w:tcPr>
            <w:tcW w:w="2622" w:type="dxa"/>
            <w:noWrap w:val="0"/>
            <w:vAlign w:val="center"/>
          </w:tcPr>
          <w:p>
            <w:pPr>
              <w:jc w:val="center"/>
              <w:rPr>
                <w:rFonts w:hint="eastAsia" w:ascii="宋体" w:hAnsi="宋体" w:cs="Times New Roman"/>
                <w:color w:val="auto"/>
                <w:szCs w:val="21"/>
                <w:highlight w:val="none"/>
              </w:rPr>
            </w:pPr>
            <w:r>
              <w:rPr>
                <w:rFonts w:hint="eastAsia" w:ascii="宋体" w:hAnsi="宋体" w:cs="Times New Roman"/>
                <w:color w:val="auto"/>
                <w:szCs w:val="21"/>
                <w:highlight w:val="none"/>
              </w:rPr>
              <w:t>20   年</w:t>
            </w:r>
            <w:r>
              <w:rPr>
                <w:rFonts w:ascii="宋体" w:hAnsi="宋体" w:cs="Times New Roman"/>
                <w:color w:val="auto"/>
                <w:szCs w:val="21"/>
                <w:highlight w:val="none"/>
              </w:rPr>
              <w:t xml:space="preserve">  </w:t>
            </w:r>
            <w:r>
              <w:rPr>
                <w:rFonts w:hint="eastAsia" w:ascii="宋体" w:hAnsi="宋体" w:cs="Times New Roman"/>
                <w:color w:val="auto"/>
                <w:szCs w:val="21"/>
                <w:highlight w:val="none"/>
              </w:rPr>
              <w:t>月</w:t>
            </w:r>
            <w:r>
              <w:rPr>
                <w:rFonts w:ascii="宋体" w:hAnsi="宋体" w:cs="Times New Roman"/>
                <w:color w:val="auto"/>
                <w:szCs w:val="21"/>
                <w:highlight w:val="none"/>
              </w:rPr>
              <w:t xml:space="preserve">  </w:t>
            </w:r>
            <w:r>
              <w:rPr>
                <w:rFonts w:hint="eastAsia" w:ascii="宋体" w:hAnsi="宋体" w:cs="Times New Roman"/>
                <w:color w:val="auto"/>
                <w:szCs w:val="21"/>
                <w:highlight w:val="none"/>
              </w:rPr>
              <w:t>日</w:t>
            </w:r>
          </w:p>
        </w:tc>
        <w:tc>
          <w:tcPr>
            <w:tcW w:w="1878" w:type="dxa"/>
            <w:noWrap w:val="0"/>
            <w:vAlign w:val="center"/>
          </w:tcPr>
          <w:p>
            <w:pPr>
              <w:jc w:val="distribute"/>
              <w:rPr>
                <w:rFonts w:hint="eastAsia" w:cs="Times New Roman"/>
                <w:color w:val="auto"/>
                <w:szCs w:val="21"/>
                <w:highlight w:val="none"/>
              </w:rPr>
            </w:pPr>
          </w:p>
        </w:tc>
        <w:tc>
          <w:tcPr>
            <w:tcW w:w="2551" w:type="dxa"/>
            <w:noWrap w:val="0"/>
            <w:vAlign w:val="center"/>
          </w:tcPr>
          <w:p>
            <w:pPr>
              <w:jc w:val="center"/>
              <w:rPr>
                <w:rFonts w:hint="eastAsia" w:ascii="宋体" w:hAnsi="宋体" w:cs="Times New Roman"/>
                <w:color w:val="auto"/>
                <w:szCs w:val="21"/>
                <w:highlight w:val="none"/>
              </w:rPr>
            </w:pPr>
          </w:p>
        </w:tc>
      </w:tr>
    </w:tbl>
    <w:p>
      <w:pPr>
        <w:rPr>
          <w:rFonts w:ascii="黑体" w:hAnsi="宋体" w:eastAsia="黑体" w:cs="Times New Roman"/>
          <w:color w:val="auto"/>
          <w:szCs w:val="21"/>
          <w:highlight w:val="none"/>
        </w:rPr>
      </w:pPr>
    </w:p>
    <w:p>
      <w:pPr>
        <w:rPr>
          <w:rFonts w:hint="eastAsia" w:ascii="黑体" w:hAnsi="宋体" w:eastAsia="黑体" w:cs="Times New Roman"/>
          <w:color w:val="auto"/>
          <w:szCs w:val="21"/>
          <w:highlight w:val="none"/>
        </w:rPr>
      </w:pPr>
      <w:r>
        <w:rPr>
          <w:rFonts w:ascii="黑体" w:hAnsi="宋体" w:eastAsia="黑体" w:cs="Times New Roman"/>
          <w:color w:val="auto"/>
          <w:szCs w:val="21"/>
          <w:highlight w:val="none"/>
        </w:rPr>
        <w:br w:type="page"/>
      </w:r>
    </w:p>
    <w:p>
      <w:pPr>
        <w:keepNext/>
        <w:keepLines/>
        <w:widowControl w:val="0"/>
        <w:numPr>
          <w:ilvl w:val="-1"/>
          <w:numId w:val="0"/>
        </w:numPr>
        <w:spacing w:before="0" w:after="0" w:line="240" w:lineRule="auto"/>
        <w:ind w:left="0"/>
        <w:jc w:val="center"/>
        <w:outlineLvl w:val="1"/>
        <w:rPr>
          <w:rFonts w:hint="eastAsia" w:ascii="Cambria" w:hAnsi="Cambria" w:eastAsia="宋体" w:cs="Times New Roman"/>
          <w:b/>
          <w:bCs/>
          <w:color w:val="auto"/>
          <w:kern w:val="2"/>
          <w:sz w:val="32"/>
          <w:szCs w:val="32"/>
          <w:highlight w:val="none"/>
          <w:lang w:val="en-US" w:eastAsia="zh-CN" w:bidi="ar-SA"/>
        </w:rPr>
      </w:pPr>
      <w:bookmarkStart w:id="14" w:name="_Toc297207337"/>
      <w:r>
        <w:rPr>
          <w:rFonts w:hint="eastAsia" w:ascii="Cambria" w:hAnsi="Cambria" w:eastAsia="宋体" w:cs="Times New Roman"/>
          <w:b/>
          <w:bCs/>
          <w:color w:val="auto"/>
          <w:kern w:val="2"/>
          <w:sz w:val="32"/>
          <w:szCs w:val="32"/>
          <w:highlight w:val="none"/>
          <w:lang w:val="en-US" w:eastAsia="zh-CN" w:bidi="ar-SA"/>
        </w:rPr>
        <w:t>第二部分  合同通用条款</w:t>
      </w:r>
      <w:bookmarkEnd w:id="14"/>
    </w:p>
    <w:p>
      <w:pPr>
        <w:tabs>
          <w:tab w:val="left" w:pos="1050"/>
          <w:tab w:val="left" w:pos="1260"/>
          <w:tab w:val="left" w:pos="1680"/>
          <w:tab w:val="left" w:pos="4095"/>
          <w:tab w:val="left" w:pos="5355"/>
        </w:tabs>
        <w:jc w:val="left"/>
        <w:rPr>
          <w:rFonts w:hint="eastAsia" w:cs="Times New Roman"/>
          <w:color w:val="auto"/>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一、合同签订依据</w:t>
      </w:r>
    </w:p>
    <w:p>
      <w:pPr>
        <w:tabs>
          <w:tab w:val="left" w:pos="1050"/>
          <w:tab w:val="left" w:pos="1260"/>
          <w:tab w:val="left" w:pos="1680"/>
          <w:tab w:val="left" w:pos="4095"/>
          <w:tab w:val="left" w:pos="5355"/>
        </w:tabs>
        <w:ind w:left="424" w:hanging="424" w:hangingChars="202"/>
        <w:jc w:val="left"/>
        <w:rPr>
          <w:rFonts w:hint="eastAsia" w:ascii="宋体" w:hAnsi="宋体" w:cs="Times New Roman"/>
          <w:color w:val="auto"/>
          <w:szCs w:val="21"/>
          <w:highlight w:val="none"/>
        </w:rPr>
      </w:pPr>
      <w:r>
        <w:rPr>
          <w:rFonts w:hint="eastAsia" w:ascii="宋体" w:hAnsi="宋体" w:cs="Times New Roman"/>
          <w:color w:val="auto"/>
          <w:szCs w:val="21"/>
          <w:highlight w:val="none"/>
        </w:rPr>
        <w:t>1.1</w:t>
      </w:r>
      <w:r>
        <w:rPr>
          <w:rFonts w:hint="eastAsia" w:cs="Times New Roman"/>
          <w:color w:val="auto"/>
          <w:highlight w:val="none"/>
        </w:rPr>
        <w:t>依照《中华人民共和国</w:t>
      </w:r>
      <w:r>
        <w:rPr>
          <w:rFonts w:hint="eastAsia" w:cs="Times New Roman"/>
          <w:color w:val="auto"/>
          <w:highlight w:val="none"/>
          <w:lang w:val="en-US" w:eastAsia="zh-CN"/>
        </w:rPr>
        <w:t>民法典</w:t>
      </w:r>
      <w:r>
        <w:rPr>
          <w:rFonts w:hint="eastAsia" w:cs="Times New Roman"/>
          <w:color w:val="auto"/>
          <w:highlight w:val="none"/>
        </w:rPr>
        <w:t>》、《中华人民共和国建筑法》、《建设工程勘察设计管理条例》、《深圳经济特区政府投资项目管理</w:t>
      </w:r>
      <w:r>
        <w:rPr>
          <w:rFonts w:hint="eastAsia" w:cs="Times New Roman"/>
          <w:color w:val="auto"/>
          <w:highlight w:val="none"/>
          <w:lang w:val="en-US" w:eastAsia="zh-CN"/>
        </w:rPr>
        <w:t>条例</w:t>
      </w:r>
      <w:r>
        <w:rPr>
          <w:rFonts w:hint="eastAsia" w:cs="Times New Roman"/>
          <w:color w:val="auto"/>
          <w:highlight w:val="none"/>
        </w:rPr>
        <w:t>》</w:t>
      </w:r>
    </w:p>
    <w:p>
      <w:pPr>
        <w:tabs>
          <w:tab w:val="left" w:pos="1050"/>
          <w:tab w:val="left" w:pos="1260"/>
          <w:tab w:val="left" w:pos="1680"/>
          <w:tab w:val="left" w:pos="4095"/>
          <w:tab w:val="left" w:pos="5355"/>
        </w:tabs>
        <w:jc w:val="left"/>
        <w:rPr>
          <w:rFonts w:hint="eastAsia" w:ascii="宋体" w:hAnsi="宋体" w:cs="Times New Roman"/>
          <w:color w:val="auto"/>
          <w:szCs w:val="21"/>
          <w:highlight w:val="none"/>
        </w:rPr>
      </w:pPr>
      <w:r>
        <w:rPr>
          <w:rFonts w:hint="eastAsia" w:ascii="宋体" w:hAnsi="宋体" w:cs="Times New Roman"/>
          <w:color w:val="auto"/>
          <w:szCs w:val="21"/>
          <w:highlight w:val="none"/>
        </w:rPr>
        <w:t>1.2  国家及地方现行有关工程勘察管理法规和规章。</w:t>
      </w:r>
    </w:p>
    <w:p>
      <w:pPr>
        <w:tabs>
          <w:tab w:val="left" w:pos="1050"/>
          <w:tab w:val="left" w:pos="1260"/>
          <w:tab w:val="left" w:pos="1680"/>
          <w:tab w:val="left" w:pos="4095"/>
          <w:tab w:val="left" w:pos="5355"/>
        </w:tabs>
        <w:jc w:val="left"/>
        <w:rPr>
          <w:rFonts w:hint="eastAsia" w:ascii="宋体" w:hAnsi="宋体" w:cs="Times New Roman"/>
          <w:color w:val="auto"/>
          <w:szCs w:val="21"/>
          <w:highlight w:val="none"/>
        </w:rPr>
      </w:pPr>
      <w:r>
        <w:rPr>
          <w:rFonts w:hint="eastAsia" w:ascii="宋体" w:hAnsi="宋体" w:cs="Times New Roman"/>
          <w:color w:val="auto"/>
          <w:szCs w:val="21"/>
          <w:highlight w:val="none"/>
        </w:rPr>
        <w:t>1.3  建设工程批准文件、本工程勘察招标文件及其附件（含补遗书）、中标通知书。</w:t>
      </w:r>
    </w:p>
    <w:p>
      <w:pPr>
        <w:tabs>
          <w:tab w:val="left" w:pos="1050"/>
          <w:tab w:val="left" w:pos="1260"/>
          <w:tab w:val="left" w:pos="1680"/>
          <w:tab w:val="left" w:pos="4095"/>
          <w:tab w:val="left" w:pos="5355"/>
        </w:tabs>
        <w:jc w:val="left"/>
        <w:rPr>
          <w:rFonts w:hint="eastAsia" w:ascii="宋体" w:hAnsi="宋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二、勘察设计依据</w:t>
      </w:r>
    </w:p>
    <w:p>
      <w:pPr>
        <w:rPr>
          <w:rFonts w:hint="eastAsia" w:ascii="宋体" w:hAnsi="宋体" w:cs="Times New Roman"/>
          <w:color w:val="auto"/>
          <w:szCs w:val="21"/>
          <w:highlight w:val="none"/>
        </w:rPr>
      </w:pPr>
      <w:r>
        <w:rPr>
          <w:rFonts w:hint="eastAsia" w:ascii="宋体" w:hAnsi="宋体" w:cs="Times New Roman"/>
          <w:color w:val="auto"/>
          <w:szCs w:val="21"/>
          <w:highlight w:val="none"/>
        </w:rPr>
        <w:t>2.1勘察设计依据包括但不限于以下：</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2.1.1  主体设计单位提出并经审查确认的测量要求、勘察任务书及岩土工程设计任务等；</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2.1.2  技术基础资料及甲方或政府相关部门提出的要求和意见；</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2.1.3  各阶段岩土工程设计审查意见；</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2.1.4  招标文件和投标文件；</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2.1.5  国家及地方的相关技术规范；</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2.1.6  其他有关资料。</w:t>
      </w:r>
    </w:p>
    <w:p>
      <w:pPr>
        <w:tabs>
          <w:tab w:val="left" w:pos="1050"/>
          <w:tab w:val="left" w:pos="1260"/>
          <w:tab w:val="left" w:pos="1680"/>
          <w:tab w:val="left" w:pos="4095"/>
          <w:tab w:val="left" w:pos="5355"/>
        </w:tabs>
        <w:ind w:left="525" w:hanging="525" w:hangingChars="250"/>
        <w:jc w:val="left"/>
        <w:rPr>
          <w:rFonts w:hint="eastAsia" w:ascii="宋体" w:hAnsi="宋体" w:cs="Times New Roman"/>
          <w:color w:val="auto"/>
          <w:szCs w:val="21"/>
          <w:highlight w:val="none"/>
        </w:rPr>
      </w:pPr>
      <w:r>
        <w:rPr>
          <w:rFonts w:hint="eastAsia" w:ascii="宋体" w:hAnsi="宋体" w:cs="Times New Roman"/>
          <w:color w:val="auto"/>
          <w:szCs w:val="21"/>
          <w:highlight w:val="none"/>
        </w:rPr>
        <w:t>2.2乙方已接受下述合同文件和资料作为足以完成合同任务的依据。甲方所提供的有关合同文件和依据不会减轻乙方在合同文件中所述的责任。</w:t>
      </w:r>
    </w:p>
    <w:p>
      <w:pPr>
        <w:tabs>
          <w:tab w:val="left" w:pos="1050"/>
          <w:tab w:val="left" w:pos="1260"/>
          <w:tab w:val="left" w:pos="1680"/>
          <w:tab w:val="left" w:pos="4095"/>
          <w:tab w:val="left" w:pos="5355"/>
        </w:tabs>
        <w:jc w:val="left"/>
        <w:rPr>
          <w:rFonts w:hint="eastAsia" w:ascii="宋体" w:hAnsi="宋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三、合同相关文件及执行中相关文件优先次序</w:t>
      </w:r>
    </w:p>
    <w:p>
      <w:pPr>
        <w:rPr>
          <w:rFonts w:hint="eastAsia" w:ascii="宋体" w:hAnsi="宋体" w:cs="Times New Roman"/>
          <w:color w:val="auto"/>
          <w:szCs w:val="21"/>
          <w:highlight w:val="none"/>
        </w:rPr>
      </w:pPr>
      <w:r>
        <w:rPr>
          <w:rFonts w:hint="eastAsia" w:ascii="宋体" w:hAnsi="宋体" w:cs="Times New Roman"/>
          <w:color w:val="auto"/>
          <w:szCs w:val="21"/>
          <w:highlight w:val="none"/>
        </w:rPr>
        <w:t>3.1 本合同相关文件包括合同协议书、合同专用条款、合同通用条款、中标通知书、招标文件及其附件（含补遗书）、投标书及其附件、标准、规范及规程有关技术文件、双方有关工程洽商的书面协议、文件和各类有约束力的往来函件等。</w:t>
      </w:r>
    </w:p>
    <w:p>
      <w:pPr>
        <w:rPr>
          <w:rFonts w:hint="eastAsia" w:ascii="宋体" w:hAnsi="宋体" w:cs="Times New Roman"/>
          <w:color w:val="auto"/>
          <w:szCs w:val="21"/>
          <w:highlight w:val="none"/>
        </w:rPr>
      </w:pPr>
      <w:r>
        <w:rPr>
          <w:rFonts w:hint="eastAsia" w:ascii="宋体" w:hAnsi="宋体" w:cs="Times New Roman"/>
          <w:color w:val="auto"/>
          <w:szCs w:val="21"/>
          <w:highlight w:val="none"/>
        </w:rPr>
        <w:t>3.2 本合同文件执行中相关文件如存在歧义或不一致，将按合同协议书明确的优先次序予以判断。</w:t>
      </w:r>
    </w:p>
    <w:p>
      <w:pPr>
        <w:rPr>
          <w:rFonts w:hint="eastAsia" w:ascii="黑体" w:hAnsi="宋体" w:eastAsia="黑体" w:cs="Times New Roman"/>
          <w:b/>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四、工作内容及要求</w:t>
      </w:r>
    </w:p>
    <w:p>
      <w:pPr>
        <w:rPr>
          <w:rFonts w:hint="eastAsia" w:ascii="宋体" w:hAnsi="宋体" w:cs="Times New Roman"/>
          <w:color w:val="auto"/>
          <w:szCs w:val="21"/>
          <w:highlight w:val="none"/>
        </w:rPr>
      </w:pPr>
      <w:r>
        <w:rPr>
          <w:rFonts w:hint="eastAsia" w:ascii="宋体" w:hAnsi="宋体" w:cs="Times New Roman"/>
          <w:color w:val="auto"/>
          <w:szCs w:val="21"/>
          <w:highlight w:val="none"/>
        </w:rPr>
        <w:t>4.1</w:t>
      </w:r>
      <w:r>
        <w:rPr>
          <w:rFonts w:hint="eastAsia" w:ascii="黑体" w:hAnsi="宋体" w:eastAsia="黑体" w:cs="Times New Roman"/>
          <w:color w:val="auto"/>
          <w:szCs w:val="21"/>
          <w:highlight w:val="none"/>
        </w:rPr>
        <w:t>合同工作内容</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4.1.1勘察测量工作可包括：与本项目相关的初步勘察、详细勘察、补充详细勘察、地形测量、土石方类别划分及计算、地下管线探测、工程物探、交桩、部件调查以及超前钻等，具体内容在合同协议书和合同专用条款部分明确。</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4.1.2本合同岩土工程设计内容包括：（1）与主体设计单位进行设计范围划分，并在主体设计单位指导和总体负责之下完成有关高边坡支护、深基坑支护等岩土工程的专项设计；（2）地质灾害整治工程的设计；具体内容在合同专用条款部分明确。</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4.1.3地质灾害评估在工程报批阶段视国土主管部门要求定。</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4.1.4后期配合主要包括施工配合及结算审计配合。</w:t>
      </w:r>
    </w:p>
    <w:p>
      <w:pPr>
        <w:rPr>
          <w:rFonts w:hint="eastAsia" w:ascii="黑体" w:hAnsi="宋体" w:eastAsia="黑体" w:cs="Times New Roman"/>
          <w:color w:val="auto"/>
          <w:szCs w:val="21"/>
          <w:highlight w:val="none"/>
        </w:rPr>
      </w:pPr>
      <w:r>
        <w:rPr>
          <w:rFonts w:hint="eastAsia" w:ascii="黑体" w:hAnsi="宋体" w:eastAsia="黑体" w:cs="Times New Roman"/>
          <w:color w:val="auto"/>
          <w:szCs w:val="21"/>
          <w:highlight w:val="none"/>
        </w:rPr>
        <w:t>4.2 总体要求</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4.2.1提交的勘察测量、岩土工程设计、地质灾害评估报告等成果文件必须符合国家各部委颁发的现行的法律法规、规范、规定、规程和标准并通过甲方、政府各主管部门及相关单位的审查。</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4.2.2各项工作进度必须符合甲方及工程建设总体进度要求，满足工程建设需要。</w:t>
      </w:r>
    </w:p>
    <w:p>
      <w:pPr>
        <w:rPr>
          <w:rFonts w:hint="eastAsia" w:ascii="黑体" w:hAnsi="宋体" w:eastAsia="黑体" w:cs="Times New Roman"/>
          <w:color w:val="auto"/>
          <w:szCs w:val="21"/>
          <w:highlight w:val="none"/>
        </w:rPr>
      </w:pPr>
      <w:r>
        <w:rPr>
          <w:rFonts w:hint="eastAsia" w:ascii="黑体" w:hAnsi="宋体" w:eastAsia="黑体" w:cs="Times New Roman"/>
          <w:color w:val="auto"/>
          <w:szCs w:val="21"/>
          <w:highlight w:val="none"/>
        </w:rPr>
        <w:t>4.3具体要求</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4.3.1勘察测量</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（1）在方案设计或扩初设计基本稳定后开展地形测量、地下管线探测、详细勘察等工作，进度要求在合同协议书部分明确；</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（2）技术要求以主体设计单位提出并经甲方或勘察审查单位审查通过的勘察、测量任务书为准。乙方对该任务书有权提出合理化建议，但必须经审查后予以更改。</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（3）勘察测量成果必须真实、准确地反映地上、地下情况、地质地理环境特征、岩土工程条件，为设计工作提供必须的参数、合理化建议。</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（4）土石方工程中对于挖方区域应根据工程造价书编制需要，按土壤及岩石（普氏）分类表提交土石鉴定及类别划分专项报告。</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（5）及时通知甲方并无条件配合相关单位进行各种检测工作（包括氡浓度检测）。</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（6）现场钻探应有完整的</w:t>
      </w:r>
      <w:r>
        <w:rPr>
          <w:rFonts w:hint="eastAsia" w:ascii="宋体" w:hAnsi="宋体" w:cs="Times New Roman"/>
          <w:color w:val="auto"/>
          <w:szCs w:val="21"/>
          <w:highlight w:val="none"/>
          <w:lang w:eastAsia="zh-CN"/>
        </w:rPr>
        <w:t>照片及</w:t>
      </w:r>
      <w:r>
        <w:rPr>
          <w:rFonts w:hint="eastAsia" w:ascii="宋体" w:hAnsi="宋体" w:cs="Times New Roman"/>
          <w:color w:val="auto"/>
          <w:szCs w:val="21"/>
          <w:highlight w:val="none"/>
        </w:rPr>
        <w:t>视频记录，</w:t>
      </w:r>
      <w:r>
        <w:rPr>
          <w:rFonts w:hint="eastAsia" w:ascii="宋体" w:hAnsi="宋体" w:cs="Times New Roman"/>
          <w:color w:val="auto"/>
          <w:szCs w:val="21"/>
          <w:highlight w:val="none"/>
          <w:lang w:eastAsia="zh-CN"/>
        </w:rPr>
        <w:t>照片</w:t>
      </w:r>
      <w:r>
        <w:rPr>
          <w:rFonts w:hint="eastAsia" w:ascii="宋体" w:hAnsi="宋体" w:cs="Times New Roman"/>
          <w:color w:val="auto"/>
          <w:szCs w:val="21"/>
          <w:highlight w:val="none"/>
        </w:rPr>
        <w:t>记录内容包括钻探孔位置、深度等。</w:t>
      </w:r>
      <w:r>
        <w:rPr>
          <w:rFonts w:hint="eastAsia" w:ascii="宋体" w:hAnsi="宋体" w:cs="Times New Roman"/>
          <w:color w:val="auto"/>
          <w:szCs w:val="21"/>
          <w:highlight w:val="none"/>
          <w:lang w:eastAsia="zh-CN"/>
        </w:rPr>
        <w:t>视频内容包括每孔完整的取钻过程。</w:t>
      </w:r>
      <w:r>
        <w:rPr>
          <w:rFonts w:hint="eastAsia" w:ascii="宋体" w:hAnsi="宋体" w:cs="Times New Roman"/>
          <w:color w:val="auto"/>
          <w:szCs w:val="21"/>
          <w:highlight w:val="none"/>
        </w:rPr>
        <w:t>乙方在开展勘察工作期间应写勘察日志，记录每日工作情况，</w:t>
      </w:r>
      <w:r>
        <w:rPr>
          <w:rFonts w:hint="eastAsia" w:ascii="宋体" w:hAnsi="宋体" w:cs="Times New Roman"/>
          <w:color w:val="auto"/>
          <w:szCs w:val="21"/>
          <w:highlight w:val="none"/>
          <w:lang w:eastAsia="zh-CN"/>
        </w:rPr>
        <w:t>每天将工作情况在微信群向甲方报告，报告内容包括人员、机械、每孔的取样情况。</w:t>
      </w:r>
      <w:r>
        <w:rPr>
          <w:rFonts w:hint="eastAsia" w:ascii="宋体" w:hAnsi="宋体" w:cs="Times New Roman"/>
          <w:color w:val="auto"/>
          <w:szCs w:val="21"/>
          <w:highlight w:val="none"/>
        </w:rPr>
        <w:t>勘察工作完成后</w:t>
      </w:r>
      <w:r>
        <w:rPr>
          <w:rFonts w:hint="eastAsia" w:ascii="宋体" w:hAnsi="宋体" w:cs="Times New Roman"/>
          <w:color w:val="auto"/>
          <w:szCs w:val="21"/>
          <w:highlight w:val="none"/>
          <w:lang w:eastAsia="zh-CN"/>
        </w:rPr>
        <w:t>在甲方规定时间内完</w:t>
      </w:r>
      <w:r>
        <w:rPr>
          <w:rFonts w:hint="eastAsia" w:ascii="宋体" w:hAnsi="宋体" w:cs="Times New Roman"/>
          <w:color w:val="auto"/>
          <w:szCs w:val="21"/>
          <w:highlight w:val="none"/>
        </w:rPr>
        <w:t>成勘察工作报告。</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4.3.2 岩土工程专项设计</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（1）配合主体设计单位进行岩土工程设计，提出试验、检测和监测方案及检测监测设计等，具体内容和要求在合同专用条款部分明确。</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（2）岩土工程设计一般分方案设计、施工图设计两阶段进行，各阶段要配合做好评审工作并根据专家评审意见完善和深化设计；提交施工图、概算和计算书等勘察设计成果文件。</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（3）按要求编制专项设计内容对应的竣工图。</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（4）与相关单位就本项目审查、审批、审计、备案和专业咨询等工作进行联系和协调，并自行承担所发生的费用。</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（5）甲方要求办理的与本工程设计任务有关的其他一切事务。</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4.3.3地质灾害评估内容和要求(视国土管理部门要求定) </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调查工程用地相关范围内的地质灾害类型、分布范围、规模、稳定状态、危害对象，通过对地质灾害的状况及危险性起决定作用的影响因素进行分析，判定其性质、变化、危害对象和损失情况，对已有地质灾害的危险性作出评估。</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（2）根据工程建设项目类型、规模、施工方式，预测工程建设过程和建成后对地质环境的改变及影响，评估是否会诱发或加剧地质灾害，并对地质灾害的类型、范围、危害及危险性作出评估。</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（3）综合地质环境条件、地质灾害的现状和潜在的地质灾害产生因素，进行地质灾害危险性等级分区，提出防治措施。</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（4）符合</w:t>
      </w:r>
      <w:del w:id="2" w:author="戴刚勇1" w:date="2024-04-24T09:26:28Z">
        <w:r>
          <w:rPr>
            <w:rFonts w:hint="eastAsia" w:ascii="宋体" w:hAnsi="宋体" w:cs="Times New Roman"/>
            <w:color w:val="auto"/>
            <w:szCs w:val="21"/>
            <w:highlight w:val="none"/>
          </w:rPr>
          <w:delText>国土资源部</w:delText>
        </w:r>
      </w:del>
      <w:ins w:id="3" w:author="戴刚勇1" w:date="2024-04-24T09:26:28Z">
        <w:r>
          <w:rPr>
            <w:rFonts w:hint="eastAsia" w:ascii="宋体" w:hAnsi="宋体" w:cs="Times New Roman"/>
            <w:color w:val="auto"/>
            <w:szCs w:val="21"/>
            <w:highlight w:val="none"/>
            <w:lang w:eastAsia="zh-CN"/>
          </w:rPr>
          <w:t>自然资源部</w:t>
        </w:r>
      </w:ins>
      <w:r>
        <w:rPr>
          <w:rFonts w:hint="eastAsia" w:ascii="宋体" w:hAnsi="宋体" w:cs="Times New Roman"/>
          <w:color w:val="auto"/>
          <w:szCs w:val="21"/>
          <w:highlight w:val="none"/>
        </w:rPr>
        <w:t>《地质灾害管理办法》及其相关文件、广东</w:t>
      </w:r>
      <w:del w:id="4" w:author="戴刚勇1" w:date="2024-04-24T09:25:59Z">
        <w:r>
          <w:rPr>
            <w:rFonts w:hint="eastAsia" w:ascii="宋体" w:hAnsi="宋体" w:cs="Times New Roman"/>
            <w:color w:val="auto"/>
            <w:szCs w:val="21"/>
            <w:highlight w:val="none"/>
          </w:rPr>
          <w:delText>省国土资源厅</w:delText>
        </w:r>
      </w:del>
      <w:ins w:id="5" w:author="戴刚勇1" w:date="2024-04-24T09:25:59Z">
        <w:r>
          <w:rPr>
            <w:rFonts w:hint="eastAsia" w:ascii="宋体" w:hAnsi="宋体" w:cs="Times New Roman"/>
            <w:color w:val="auto"/>
            <w:szCs w:val="21"/>
            <w:highlight w:val="none"/>
            <w:lang w:eastAsia="zh-CN"/>
          </w:rPr>
          <w:t>省自然资源厅</w:t>
        </w:r>
      </w:ins>
      <w:r>
        <w:rPr>
          <w:rFonts w:hint="eastAsia" w:ascii="宋体" w:hAnsi="宋体" w:cs="Times New Roman"/>
          <w:color w:val="auto"/>
          <w:szCs w:val="21"/>
          <w:highlight w:val="none"/>
        </w:rPr>
        <w:t>《广东省地质灾害危险性评估实施细则(试行)》等国家和地方现行的标准、规范和规程的相关要求，并确保评估报告最终通过省国土资源主管部门的审查。</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4.3.4后期配合内容</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4.3.4.1工程开工前，负责与监理、施工单位办理交接桩手续（包括测量成果）及现场测放工程控制桩；</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4.3.4.2工程开工后，应配合设计、施工单位进行基础施工，并协助解决施工中的岩土设计技术问题，主要包括(但不限于)：</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(1)派遣本项目的主要专业工程师进行施工验槽</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验桩等</w:t>
      </w:r>
      <w:r>
        <w:rPr>
          <w:rFonts w:hint="eastAsia" w:ascii="宋体" w:hAnsi="宋体" w:cs="Times New Roman"/>
          <w:color w:val="auto"/>
          <w:szCs w:val="21"/>
          <w:highlight w:val="none"/>
        </w:rPr>
        <w:t>；</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(2)基槽开挖后，岩土条件与设计假定条件不符时，配合处理，需要时实施补充勘察；</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(3)在地基处理及深基坑开挖施工中，必须参与检测和检验工作。</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(4)地基中溶洞或土洞较发育时，必须进一步查明并提出处理建议。</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(5)施工中出现边坡失稳危险时，必须进一步分析原因，并配合处理。</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(6)在基础施工过程需要补充勘察时，必须及时实施补充勘察任务。如非详勘资料错漏原因引起的补充勘察费用，按实际增加的工程量纳入结算。</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4.3.4.3结算及审计阶段：按甲方及审计部门要求整理2套完整、准确的结算资料，并跟踪、配合好审计决算工作。</w:t>
      </w:r>
    </w:p>
    <w:p>
      <w:pPr>
        <w:ind w:firstLine="525" w:firstLineChars="250"/>
        <w:rPr>
          <w:rFonts w:hint="eastAsia" w:ascii="宋体" w:hAnsi="宋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五、成果文件数量</w:t>
      </w:r>
    </w:p>
    <w:p>
      <w:pPr>
        <w:rPr>
          <w:rFonts w:hint="eastAsia" w:ascii="宋体" w:hAnsi="宋体" w:cs="Times New Roman"/>
          <w:color w:val="auto"/>
          <w:szCs w:val="21"/>
          <w:highlight w:val="none"/>
        </w:rPr>
      </w:pPr>
      <w:r>
        <w:rPr>
          <w:rFonts w:hint="eastAsia" w:ascii="宋体" w:hAnsi="宋体" w:cs="Times New Roman"/>
          <w:color w:val="auto"/>
          <w:szCs w:val="21"/>
          <w:highlight w:val="none"/>
        </w:rPr>
        <w:t>5.1 勘察成果文件数量：初步勘察文本8套，电子文档光盘</w:t>
      </w:r>
      <w:r>
        <w:rPr>
          <w:rFonts w:hint="eastAsia" w:ascii="宋体" w:hAnsi="宋体" w:cs="Times New Roman"/>
          <w:color w:val="auto"/>
          <w:szCs w:val="21"/>
          <w:highlight w:val="none"/>
          <w:lang w:val="en-US" w:eastAsia="zh-CN"/>
        </w:rPr>
        <w:t>8</w:t>
      </w:r>
      <w:r>
        <w:rPr>
          <w:rFonts w:hint="eastAsia" w:ascii="宋体" w:hAnsi="宋体" w:cs="Times New Roman"/>
          <w:color w:val="auto"/>
          <w:szCs w:val="21"/>
          <w:highlight w:val="none"/>
        </w:rPr>
        <w:t>张；详细勘察文本8套，电子文档光盘</w:t>
      </w:r>
      <w:r>
        <w:rPr>
          <w:rFonts w:hint="eastAsia" w:ascii="宋体" w:hAnsi="宋体" w:cs="Times New Roman"/>
          <w:color w:val="auto"/>
          <w:szCs w:val="21"/>
          <w:highlight w:val="none"/>
          <w:lang w:val="en-US" w:eastAsia="zh-CN"/>
        </w:rPr>
        <w:t>8</w:t>
      </w:r>
      <w:r>
        <w:rPr>
          <w:rFonts w:hint="eastAsia" w:ascii="宋体" w:hAnsi="宋体" w:cs="Times New Roman"/>
          <w:color w:val="auto"/>
          <w:szCs w:val="21"/>
          <w:highlight w:val="none"/>
        </w:rPr>
        <w:t>张；（超前钻、工程物探、土石方计算等发生时，参照</w:t>
      </w:r>
      <w:r>
        <w:rPr>
          <w:rFonts w:hint="default" w:ascii="宋体" w:hAnsi="宋体" w:cs="Times New Roman"/>
          <w:color w:val="auto"/>
          <w:szCs w:val="21"/>
          <w:highlight w:val="none"/>
          <w:lang w:val="en-US"/>
        </w:rPr>
        <w:t>初勘</w:t>
      </w:r>
      <w:r>
        <w:rPr>
          <w:rFonts w:hint="eastAsia" w:ascii="宋体" w:hAnsi="宋体" w:cs="Times New Roman"/>
          <w:color w:val="auto"/>
          <w:szCs w:val="21"/>
          <w:highlight w:val="none"/>
        </w:rPr>
        <w:t>成果数量或另按甲方要求）。电子文档应采用国家通用、非专利软件绘制(如乙方采用自行开发软件绘制，则应无偿授予甲方使用该软件的权利)，无加密或使用期限限制。</w:t>
      </w:r>
    </w:p>
    <w:p>
      <w:pPr>
        <w:rPr>
          <w:rFonts w:hint="eastAsia" w:ascii="宋体" w:hAnsi="宋体" w:cs="Times New Roman"/>
          <w:color w:val="FF0000"/>
          <w:szCs w:val="21"/>
          <w:highlight w:val="none"/>
        </w:rPr>
      </w:pPr>
      <w:r>
        <w:rPr>
          <w:rFonts w:hint="eastAsia" w:ascii="宋体" w:hAnsi="宋体" w:cs="Times New Roman"/>
          <w:color w:val="auto"/>
          <w:szCs w:val="21"/>
          <w:highlight w:val="none"/>
        </w:rPr>
        <w:t>5.2 岩土工程设计成果文件数量：设计方案10套，电子文档光盘4张；施工图14套，竣工图8套，电子文档光盘8张，计算书和概算书（含电子文档光盘）各4份。</w:t>
      </w:r>
    </w:p>
    <w:p>
      <w:pPr>
        <w:rPr>
          <w:rFonts w:hint="eastAsia" w:ascii="宋体" w:hAnsi="宋体" w:cs="Times New Roman"/>
          <w:color w:val="auto"/>
          <w:szCs w:val="21"/>
          <w:highlight w:val="none"/>
        </w:rPr>
      </w:pPr>
      <w:r>
        <w:rPr>
          <w:rFonts w:hint="eastAsia" w:ascii="宋体" w:hAnsi="宋体" w:cs="Times New Roman"/>
          <w:color w:val="auto"/>
          <w:szCs w:val="21"/>
          <w:highlight w:val="none"/>
        </w:rPr>
        <w:t>5.3 地质灾害评估报告：纸质文件</w:t>
      </w:r>
      <w:r>
        <w:rPr>
          <w:rFonts w:hint="eastAsia" w:ascii="宋体" w:hAnsi="宋体" w:cs="Times New Roman"/>
          <w:color w:val="auto"/>
          <w:szCs w:val="21"/>
          <w:highlight w:val="none"/>
          <w:lang w:val="en-US" w:eastAsia="zh-CN"/>
        </w:rPr>
        <w:t>8</w:t>
      </w:r>
      <w:r>
        <w:rPr>
          <w:rFonts w:hint="eastAsia" w:ascii="宋体" w:hAnsi="宋体" w:cs="Times New Roman"/>
          <w:color w:val="auto"/>
          <w:szCs w:val="21"/>
          <w:highlight w:val="none"/>
        </w:rPr>
        <w:t>份，报告和图件、照片等可修改的电子文档4份。</w:t>
      </w:r>
    </w:p>
    <w:p>
      <w:pPr>
        <w:rPr>
          <w:rFonts w:hint="eastAsia" w:ascii="宋体" w:hAnsi="宋体" w:cs="Times New Roman"/>
          <w:color w:val="auto"/>
          <w:szCs w:val="21"/>
          <w:highlight w:val="none"/>
        </w:rPr>
      </w:pPr>
      <w:r>
        <w:rPr>
          <w:rFonts w:hint="eastAsia" w:ascii="宋体" w:hAnsi="宋体" w:cs="Times New Roman"/>
          <w:color w:val="auto"/>
          <w:szCs w:val="21"/>
          <w:highlight w:val="none"/>
        </w:rPr>
        <w:t>5.4 勘察日志1套，最终勘察工作报告4份。</w:t>
      </w:r>
    </w:p>
    <w:p>
      <w:pPr>
        <w:rPr>
          <w:rFonts w:hint="eastAsia" w:ascii="宋体" w:hAnsi="宋体" w:cs="Times New Roman"/>
          <w:color w:val="auto"/>
          <w:szCs w:val="21"/>
          <w:highlight w:val="none"/>
        </w:rPr>
      </w:pPr>
      <w:r>
        <w:rPr>
          <w:rFonts w:hint="eastAsia" w:ascii="宋体" w:hAnsi="宋体" w:cs="Times New Roman"/>
          <w:color w:val="auto"/>
          <w:szCs w:val="21"/>
          <w:highlight w:val="none"/>
        </w:rPr>
        <w:t>5.5 勘察竣工资料除提供上述成果文件外，提交《勘察成果自检单》4份。</w:t>
      </w:r>
    </w:p>
    <w:p>
      <w:pPr>
        <w:rPr>
          <w:rFonts w:hint="eastAsia" w:ascii="宋体" w:hAnsi="宋体" w:cs="Times New Roman"/>
          <w:color w:val="auto"/>
          <w:szCs w:val="21"/>
          <w:highlight w:val="none"/>
        </w:rPr>
      </w:pPr>
      <w:r>
        <w:rPr>
          <w:rFonts w:hint="eastAsia" w:ascii="宋体" w:hAnsi="宋体" w:cs="Times New Roman"/>
          <w:color w:val="auto"/>
          <w:szCs w:val="21"/>
          <w:highlight w:val="none"/>
        </w:rPr>
        <w:t xml:space="preserve">5.6 </w:t>
      </w:r>
      <w:r>
        <w:rPr>
          <w:rFonts w:ascii="宋体" w:hAnsi="宋体" w:cs="Times New Roman"/>
          <w:color w:val="auto"/>
          <w:szCs w:val="21"/>
          <w:highlight w:val="none"/>
        </w:rPr>
        <w:t>以上各阶段提供的电子文档格式必须是可编辑文件（包括cad文件、word文件等）或甲方要求的其他形式电子文档。以上图纸及说明应采用中文。</w:t>
      </w:r>
    </w:p>
    <w:p>
      <w:pPr>
        <w:ind w:firstLine="420" w:firstLineChars="200"/>
        <w:rPr>
          <w:rFonts w:hint="eastAsia" w:ascii="宋体" w:hAnsi="宋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六、合同价及结算</w:t>
      </w:r>
    </w:p>
    <w:p>
      <w:pPr>
        <w:rPr>
          <w:rFonts w:hint="eastAsia" w:ascii="黑体" w:hAnsi="宋体" w:eastAsia="黑体" w:cs="Times New Roman"/>
          <w:b/>
          <w:color w:val="auto"/>
          <w:szCs w:val="21"/>
          <w:highlight w:val="none"/>
        </w:rPr>
      </w:pPr>
      <w:r>
        <w:rPr>
          <w:rFonts w:hint="eastAsia" w:ascii="黑体" w:hAnsi="宋体" w:eastAsia="黑体" w:cs="Times New Roman"/>
          <w:b/>
          <w:color w:val="auto"/>
          <w:szCs w:val="21"/>
          <w:highlight w:val="none"/>
        </w:rPr>
        <w:t>6.1合同价</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6.1.1本合同价由勘察费、测量费、岩土工程设计费以及可能发生的工程物探、交桩、部件调查以及超前钻、地质灾害危险性评估费、措施费等费用构成，其计价标准和计算方法如下：</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6.1.1.1工程勘察、测量、工程物探、交桩、部件调查以及超前钻费用：</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按照国家发展计划委员会、建设部联合制定的《工程勘察设计收费标准》2002年修订本(计价格[2002]10号)（以下简称“02标准”）计算并下浮</w:t>
      </w:r>
      <w:r>
        <w:rPr>
          <w:rFonts w:hint="eastAsia" w:ascii="宋体" w:hAnsi="宋体" w:cs="Times New Roman"/>
          <w:color w:val="auto"/>
          <w:szCs w:val="21"/>
          <w:highlight w:val="none"/>
          <w:u w:val="single"/>
        </w:rPr>
        <w:t xml:space="preserve">  </w:t>
      </w:r>
      <w:r>
        <w:rPr>
          <w:rFonts w:hint="eastAsia" w:ascii="宋体" w:hAnsi="宋体" w:cs="Times New Roman"/>
          <w:i/>
          <w:color w:val="auto"/>
          <w:szCs w:val="21"/>
          <w:highlight w:val="none"/>
          <w:u w:val="single"/>
        </w:rPr>
        <w:t>(中标人下浮率或0～10%)</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rPr>
        <w:t>后计取；但其中:a. 超前钻费用按照1</w:t>
      </w:r>
      <w:r>
        <w:rPr>
          <w:rFonts w:hint="eastAsia" w:ascii="宋体" w:hAnsi="宋体" w:cs="Times New Roman"/>
          <w:color w:val="auto"/>
          <w:szCs w:val="21"/>
          <w:highlight w:val="none"/>
          <w:lang w:val="en-US" w:eastAsia="zh-CN"/>
        </w:rPr>
        <w:t>20</w:t>
      </w:r>
      <w:r>
        <w:rPr>
          <w:rFonts w:hint="eastAsia" w:ascii="宋体" w:hAnsi="宋体" w:cs="Times New Roman"/>
          <w:color w:val="auto"/>
          <w:szCs w:val="21"/>
          <w:highlight w:val="none"/>
        </w:rPr>
        <w:t>元/米的固定综合单价进行计算；b.工程勘察的复杂程度根据项目的实际情况按《工程勘察设计收费标准》(计价格[2002]10号)规定选取</w:t>
      </w:r>
      <w:r>
        <w:rPr>
          <w:rFonts w:hint="eastAsia" w:cs="Times New Roman"/>
          <w:highlight w:val="none"/>
        </w:rPr>
        <w:t>。c.最终结算金额不超过概算批复勘察费</w:t>
      </w:r>
      <w:r>
        <w:rPr>
          <w:rFonts w:hint="eastAsia" w:ascii="宋体" w:hAnsi="宋体" w:cs="Times New Roman"/>
          <w:color w:val="auto"/>
          <w:szCs w:val="21"/>
          <w:highlight w:val="none"/>
        </w:rPr>
        <w:t>。</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6.1.1.2岩土工程设计费用：</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设计费按照“02标准”4.1.2计算并按照6.1.1.1款下浮</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u w:val="single"/>
          <w:lang w:val="en-US" w:eastAsia="zh-CN"/>
        </w:rPr>
        <w:t>/</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rPr>
        <w:t>%后计取（其中岩土工程概算额以乙方所承担的边坡、基坑支护等岩土工程建筑安装费为准）；另</w:t>
      </w:r>
      <w:r>
        <w:rPr>
          <w:rFonts w:ascii="宋体" w:hAnsi="宋体" w:cs="Times New Roman"/>
          <w:color w:val="auto"/>
          <w:szCs w:val="21"/>
          <w:highlight w:val="none"/>
        </w:rPr>
        <w:t>竣工图编制按</w:t>
      </w:r>
      <w:r>
        <w:rPr>
          <w:rFonts w:hint="eastAsia" w:ascii="宋体" w:hAnsi="宋体" w:cs="Times New Roman"/>
          <w:color w:val="auto"/>
          <w:szCs w:val="21"/>
          <w:highlight w:val="none"/>
        </w:rPr>
        <w:t>岩土</w:t>
      </w:r>
      <w:r>
        <w:rPr>
          <w:rFonts w:ascii="宋体" w:hAnsi="宋体" w:cs="Times New Roman"/>
          <w:color w:val="auto"/>
          <w:szCs w:val="21"/>
          <w:highlight w:val="none"/>
        </w:rPr>
        <w:t>工程设计收费8%计取</w:t>
      </w:r>
      <w:r>
        <w:rPr>
          <w:rFonts w:hint="eastAsia" w:ascii="宋体" w:hAnsi="宋体" w:cs="Times New Roman"/>
          <w:color w:val="auto"/>
          <w:szCs w:val="21"/>
          <w:highlight w:val="none"/>
        </w:rPr>
        <w:t>。</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6.1.1.3地质灾害危险性评估费用：</w:t>
      </w:r>
    </w:p>
    <w:p>
      <w:pPr>
        <w:ind w:left="2" w:firstLine="424" w:firstLineChars="202"/>
        <w:rPr>
          <w:rFonts w:hint="eastAsia" w:ascii="宋体" w:hAnsi="宋体" w:cs="Times New Roman"/>
          <w:strike w:val="0"/>
          <w:dstrike w:val="0"/>
          <w:color w:val="auto"/>
          <w:szCs w:val="21"/>
          <w:highlight w:val="none"/>
        </w:rPr>
      </w:pPr>
      <w:r>
        <w:rPr>
          <w:rFonts w:hint="eastAsia" w:ascii="宋体" w:hAnsi="宋体" w:cs="Times New Roman"/>
          <w:strike w:val="0"/>
          <w:dstrike w:val="0"/>
          <w:color w:val="auto"/>
          <w:szCs w:val="21"/>
          <w:highlight w:val="none"/>
        </w:rPr>
        <w:t>需要发生的勘察测量费用纳入或按照6.1.1.1计取，评估费用按《国家发展改革委办公厅、</w:t>
      </w:r>
      <w:del w:id="6" w:author="戴刚勇1" w:date="2024-04-24T09:26:28Z">
        <w:r>
          <w:rPr>
            <w:rFonts w:hint="eastAsia" w:ascii="宋体" w:hAnsi="宋体" w:cs="Times New Roman"/>
            <w:strike w:val="0"/>
            <w:dstrike w:val="0"/>
            <w:color w:val="auto"/>
            <w:szCs w:val="21"/>
            <w:highlight w:val="none"/>
          </w:rPr>
          <w:delText>国土资源部</w:delText>
        </w:r>
      </w:del>
      <w:ins w:id="7" w:author="戴刚勇1" w:date="2024-04-24T09:26:28Z">
        <w:r>
          <w:rPr>
            <w:rFonts w:hint="eastAsia" w:ascii="宋体" w:hAnsi="宋体" w:cs="Times New Roman"/>
            <w:strike w:val="0"/>
            <w:dstrike w:val="0"/>
            <w:color w:val="auto"/>
            <w:szCs w:val="21"/>
            <w:highlight w:val="none"/>
            <w:lang w:eastAsia="zh-CN"/>
          </w:rPr>
          <w:t>自然资源部</w:t>
        </w:r>
      </w:ins>
      <w:r>
        <w:rPr>
          <w:rFonts w:hint="eastAsia" w:ascii="宋体" w:hAnsi="宋体" w:cs="Times New Roman"/>
          <w:strike w:val="0"/>
          <w:dstrike w:val="0"/>
          <w:color w:val="auto"/>
          <w:szCs w:val="21"/>
          <w:highlight w:val="none"/>
        </w:rPr>
        <w:t>办公厅关于征求对地质灾害危险性评估收费管理办法意见的函》（发改办价格【2006】745号）并按照6.1.1.1款下浮</w:t>
      </w:r>
      <w:r>
        <w:rPr>
          <w:rFonts w:hint="eastAsia" w:ascii="宋体" w:hAnsi="宋体" w:cs="Times New Roman"/>
          <w:strike w:val="0"/>
          <w:dstrike w:val="0"/>
          <w:color w:val="auto"/>
          <w:szCs w:val="21"/>
          <w:highlight w:val="none"/>
          <w:u w:val="single"/>
        </w:rPr>
        <w:t xml:space="preserve"> </w:t>
      </w:r>
      <w:r>
        <w:rPr>
          <w:rFonts w:hint="eastAsia" w:ascii="宋体" w:hAnsi="宋体" w:cs="Times New Roman"/>
          <w:strike w:val="0"/>
          <w:dstrike w:val="0"/>
          <w:color w:val="auto"/>
          <w:szCs w:val="21"/>
          <w:highlight w:val="none"/>
          <w:u w:val="single"/>
          <w:lang w:val="en-US" w:eastAsia="zh-CN"/>
        </w:rPr>
        <w:t xml:space="preserve">  </w:t>
      </w:r>
      <w:r>
        <w:rPr>
          <w:rFonts w:hint="eastAsia" w:ascii="宋体" w:hAnsi="宋体" w:cs="Times New Roman"/>
          <w:strike w:val="0"/>
          <w:dstrike w:val="0"/>
          <w:color w:val="auto"/>
          <w:szCs w:val="21"/>
          <w:highlight w:val="none"/>
          <w:u w:val="single"/>
        </w:rPr>
        <w:t xml:space="preserve"> </w:t>
      </w:r>
      <w:r>
        <w:rPr>
          <w:rFonts w:hint="eastAsia" w:ascii="宋体" w:hAnsi="宋体" w:cs="Times New Roman"/>
          <w:strike w:val="0"/>
          <w:dstrike w:val="0"/>
          <w:color w:val="auto"/>
          <w:szCs w:val="21"/>
          <w:highlight w:val="none"/>
        </w:rPr>
        <w:t>%计取。</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6.1.1.4措施费用</w:t>
      </w:r>
    </w:p>
    <w:p>
      <w:pPr>
        <w:ind w:firstLine="567" w:firstLineChars="270"/>
        <w:rPr>
          <w:rFonts w:hint="eastAsia" w:ascii="宋体" w:hAnsi="宋体" w:cs="Times New Roman"/>
          <w:color w:val="auto"/>
          <w:szCs w:val="21"/>
          <w:highlight w:val="none"/>
        </w:rPr>
      </w:pPr>
      <w:r>
        <w:rPr>
          <w:rFonts w:hint="eastAsia" w:ascii="宋体" w:hAnsi="宋体" w:cs="Times New Roman"/>
          <w:color w:val="auto"/>
          <w:szCs w:val="21"/>
          <w:highlight w:val="none"/>
        </w:rPr>
        <w:sym w:font="Wingdings 2" w:char="0052"/>
      </w:r>
      <w:r>
        <w:rPr>
          <w:rFonts w:hint="eastAsia" w:ascii="宋体" w:hAnsi="宋体" w:cs="Times New Roman"/>
          <w:color w:val="auto"/>
          <w:szCs w:val="21"/>
          <w:highlight w:val="none"/>
        </w:rPr>
        <w:t>在勘察过程中需要发生的以下费用：修通至作业现场道路；水上作业用船、排、平台；砍树费用，均视已包含在本合同价内，甲方不再另行支付相关费用。</w:t>
      </w:r>
    </w:p>
    <w:p>
      <w:pPr>
        <w:spacing w:before="156" w:beforeLines="50"/>
        <w:ind w:firstLine="567" w:firstLineChars="270"/>
        <w:rPr>
          <w:rFonts w:hint="eastAsia" w:ascii="宋体" w:hAnsi="宋体" w:cs="Times New Roman"/>
          <w:color w:val="auto"/>
          <w:szCs w:val="21"/>
          <w:highlight w:val="none"/>
        </w:rPr>
      </w:pPr>
      <w:r>
        <w:rPr>
          <w:rFonts w:hint="eastAsia" w:ascii="宋体" w:hAnsi="宋体" w:cs="Times New Roman"/>
          <w:color w:val="auto"/>
          <w:szCs w:val="21"/>
          <w:highlight w:val="none"/>
        </w:rPr>
        <w:t>□在勘察过程中需要发生的以下费用：修通至作业现场道路；水上作业用船、排、平台；砍树费用。根据甲方或甲方授权单位确认的工作量，按照深圳市现行相关计价标准计算并按照6.1.1.1款下浮</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rPr>
        <w:t>%后计取。</w:t>
      </w:r>
      <w:r>
        <w:rPr>
          <w:rFonts w:hint="eastAsia" w:ascii="宋体" w:hAnsi="宋体" w:cs="Times New Roman"/>
          <w:i/>
          <w:color w:val="auto"/>
          <w:szCs w:val="21"/>
          <w:highlight w:val="none"/>
        </w:rPr>
        <w:t>（说明：</w:t>
      </w:r>
      <w:r>
        <w:rPr>
          <w:rFonts w:hint="eastAsia" w:cs="Times New Roman"/>
          <w:i/>
          <w:color w:val="auto"/>
          <w:szCs w:val="21"/>
          <w:highlight w:val="none"/>
        </w:rPr>
        <w:t>使用本条款，需报</w:t>
      </w:r>
      <w:r>
        <w:rPr>
          <w:rFonts w:hint="eastAsia" w:cs="Times New Roman"/>
          <w:i/>
          <w:color w:val="auto"/>
          <w:szCs w:val="21"/>
          <w:highlight w:val="none"/>
          <w:lang w:eastAsia="zh-CN"/>
        </w:rPr>
        <w:t>署</w:t>
      </w:r>
      <w:r>
        <w:rPr>
          <w:rFonts w:hint="eastAsia" w:cs="Times New Roman"/>
          <w:i/>
          <w:color w:val="auto"/>
          <w:szCs w:val="21"/>
          <w:highlight w:val="none"/>
        </w:rPr>
        <w:t>招标会审议</w:t>
      </w:r>
      <w:r>
        <w:rPr>
          <w:rFonts w:hint="eastAsia" w:ascii="宋体" w:hAnsi="宋体" w:cs="Times New Roman"/>
          <w:i/>
          <w:color w:val="auto"/>
          <w:szCs w:val="21"/>
          <w:highlight w:val="none"/>
        </w:rPr>
        <w:t>）</w:t>
      </w:r>
    </w:p>
    <w:p>
      <w:pPr>
        <w:spacing w:before="156" w:beforeLines="50"/>
        <w:ind w:firstLine="567" w:firstLineChars="270"/>
        <w:rPr>
          <w:rFonts w:hint="eastAsia" w:ascii="宋体" w:hAnsi="宋体" w:cs="Times New Roman"/>
          <w:color w:val="auto"/>
          <w:szCs w:val="21"/>
          <w:highlight w:val="none"/>
        </w:rPr>
      </w:pP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6.1.2本合同费用视为已包括乙方按合同规定完成所有工作内容、所有勘察工作量、提供全套勘察测量、岩土工程设计成果文件、专家评审费、全部基础资料和后续服务的全部费用以及承担合同明示和暗示的一切风险、义务、责任等所发生的费用。乙方在勘察过程中发生以下费用，视为已包含在本合同价中，甲方不另行支付：办理工程勘察相关许可，以及购买有关资料费；土石方计算；拆除障碍物，开挖以及修复地下管线费；接通电源、水源以及平整场地费；勘察材料以及加工费；水上作业的水监费；勘察设备搬迁费；青苗、树木以及水域养殖物赔偿费；样品包装、样品运输费；</w:t>
      </w:r>
      <w:r>
        <w:rPr>
          <w:rFonts w:hint="eastAsia" w:ascii="宋体" w:hAnsi="宋体" w:cs="宋体"/>
          <w:color w:val="auto"/>
          <w:kern w:val="0"/>
          <w:szCs w:val="21"/>
          <w:highlight w:val="none"/>
        </w:rPr>
        <w:t>水土保持费；勘察作业围挡费；</w:t>
      </w:r>
      <w:r>
        <w:rPr>
          <w:rFonts w:hint="eastAsia" w:ascii="宋体" w:hAnsi="宋体" w:cs="Times New Roman"/>
          <w:color w:val="auto"/>
          <w:szCs w:val="21"/>
          <w:highlight w:val="none"/>
        </w:rPr>
        <w:t>成果编制费；管理费；利润、税金；超出《工程勘察收费标准》总则1.0.1条以外的其他服务收费等。</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6.1.3 在合同实施期间，所有费用不随国家政策或法规、标准及市场因素的变化而进行调整。</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6.1.4 本合同价在签订合同时采取暂定方式，勘察费用以主体设计费的30%估算，其他费用估算在合同专用条款补充；该价格仅为便于合同费用的中间过程支付，不作为结算等其他事项的凭据或依据。</w:t>
      </w:r>
    </w:p>
    <w:p>
      <w:pPr>
        <w:rPr>
          <w:rFonts w:hint="eastAsia" w:ascii="黑体" w:hAnsi="宋体" w:eastAsia="黑体" w:cs="Times New Roman"/>
          <w:b/>
          <w:color w:val="auto"/>
          <w:szCs w:val="21"/>
          <w:highlight w:val="none"/>
        </w:rPr>
      </w:pPr>
      <w:r>
        <w:rPr>
          <w:rFonts w:hint="eastAsia" w:ascii="黑体" w:hAnsi="宋体" w:eastAsia="黑体" w:cs="Times New Roman"/>
          <w:b/>
          <w:color w:val="auto"/>
          <w:szCs w:val="21"/>
          <w:highlight w:val="none"/>
        </w:rPr>
        <w:t>6.2结算</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6.2.1合同结算价：工程勘察（含补充勘察）、测量、工程物探以及超前钻等费用根据甲方或甲方授权单位确认的工作量按6.1.1.1进行计算；岩土工程设计费用以项目概算批复中对应的岩土工程建筑安装费用为概算额按6.1.1.2进行计算；地质灾害评估需要发生的勘察测量以甲方或甲方授权单位确认的工作量按6.1.1.</w:t>
      </w:r>
      <w:r>
        <w:rPr>
          <w:rFonts w:hint="default" w:ascii="宋体" w:hAnsi="宋体" w:cs="Times New Roman"/>
          <w:color w:val="auto"/>
          <w:szCs w:val="21"/>
          <w:highlight w:val="none"/>
          <w:lang w:val="en-US"/>
        </w:rPr>
        <w:t>1</w:t>
      </w:r>
      <w:r>
        <w:rPr>
          <w:rFonts w:hint="eastAsia" w:ascii="宋体" w:hAnsi="宋体" w:cs="Times New Roman"/>
          <w:color w:val="auto"/>
          <w:szCs w:val="21"/>
          <w:highlight w:val="none"/>
        </w:rPr>
        <w:t>进行计算。措施费用根据甲方或甲方授权单位确认的工作量，按照现行相关计价标准及6.1.1.4纳入结算。合同结算价</w:t>
      </w:r>
      <w:r>
        <w:rPr>
          <w:rFonts w:hint="eastAsia" w:ascii="宋体" w:hAnsi="宋体" w:cs="Times New Roman"/>
          <w:color w:val="auto"/>
          <w:szCs w:val="21"/>
          <w:highlight w:val="none"/>
          <w:lang w:val="en-US" w:eastAsia="zh-CN"/>
        </w:rPr>
        <w:t>=</w:t>
      </w:r>
      <w:r>
        <w:rPr>
          <w:rFonts w:hint="eastAsia" w:ascii="宋体" w:hAnsi="宋体" w:cs="Times New Roman"/>
          <w:color w:val="auto"/>
          <w:szCs w:val="21"/>
          <w:highlight w:val="none"/>
        </w:rPr>
        <w:t>由上述几部分累加所得费用</w:t>
      </w:r>
      <w:r>
        <w:rPr>
          <w:rFonts w:hint="default" w:ascii="Arial" w:hAnsi="Arial" w:cs="Arial"/>
          <w:color w:val="auto"/>
          <w:szCs w:val="21"/>
          <w:highlight w:val="none"/>
        </w:rPr>
        <w:t>×</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90%+</w:t>
      </w:r>
      <w:r>
        <w:rPr>
          <w:rFonts w:hint="eastAsia" w:ascii="宋体" w:hAnsi="宋体" w:cs="Times New Roman"/>
          <w:color w:val="auto"/>
          <w:szCs w:val="21"/>
          <w:highlight w:val="none"/>
          <w:lang w:eastAsia="zh-CN"/>
        </w:rPr>
        <w:t>履约绩效金比例）</w:t>
      </w:r>
      <w:r>
        <w:rPr>
          <w:rFonts w:hint="eastAsia" w:ascii="宋体" w:hAnsi="宋体" w:cs="Times New Roman"/>
          <w:color w:val="auto"/>
          <w:szCs w:val="21"/>
          <w:highlight w:val="none"/>
        </w:rPr>
        <w:t>。</w:t>
      </w:r>
      <w:r>
        <w:rPr>
          <w:rFonts w:ascii="宋体" w:hAnsi="宋体" w:cs="Times New Roman"/>
          <w:color w:val="auto"/>
          <w:szCs w:val="21"/>
          <w:highlight w:val="none"/>
        </w:rPr>
        <w:t>该价格需由乙方按结算要求报送资料至甲方，并经甲方审核直至双方确认。</w:t>
      </w:r>
    </w:p>
    <w:p>
      <w:pPr>
        <w:ind w:firstLine="420" w:firstLineChars="200"/>
        <w:rPr>
          <w:rFonts w:hint="eastAsia" w:ascii="宋体" w:hAnsi="宋体" w:eastAsia="宋体" w:cs="Times New Roman"/>
          <w:color w:val="auto"/>
          <w:szCs w:val="21"/>
          <w:highlight w:val="none"/>
          <w:lang w:eastAsia="zh-CN"/>
        </w:rPr>
      </w:pPr>
      <w:r>
        <w:rPr>
          <w:rFonts w:hint="eastAsia" w:ascii="宋体" w:hAnsi="宋体" w:cs="Times New Roman"/>
          <w:color w:val="auto"/>
          <w:szCs w:val="21"/>
          <w:highlight w:val="none"/>
        </w:rPr>
        <w:t>□ 6.2.2创优奖励条款 （说明：本条适用于合同估算价超过1000万元（含）的工程）</w:t>
      </w:r>
    </w:p>
    <w:p>
      <w:pPr>
        <w:ind w:firstLine="420" w:firstLineChars="200"/>
        <w:rPr>
          <w:rFonts w:hint="eastAsia" w:ascii="宋体" w:hAnsi="宋体" w:eastAsia="宋体" w:cs="Times New Roman"/>
          <w:color w:val="auto"/>
          <w:szCs w:val="21"/>
          <w:highlight w:val="none"/>
          <w:lang w:eastAsia="zh-CN"/>
        </w:rPr>
      </w:pP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鼓励开展工程勘察创优工作，推动勘察设计单位技术创新和技术进步，引导、鼓励勘察设计人员创作出更多的质量优、水平高、技术新、效益好的优秀工程勘察项目。获得广东省勘察设计行业协会优秀工程勘察设计奖，奖励合同结算价的2%；获得中国勘察设计协会优秀工程勘察设计奖或住房和城乡建设部全国优秀工程勘察设计奖，奖励合同结算价的3%。</w:t>
      </w:r>
    </w:p>
    <w:p>
      <w:pPr>
        <w:ind w:firstLine="420" w:firstLineChars="200"/>
        <w:rPr>
          <w:rFonts w:ascii="宋体" w:hAnsi="宋体" w:cs="Times New Roman"/>
          <w:color w:val="auto"/>
          <w:szCs w:val="21"/>
          <w:highlight w:val="none"/>
        </w:rPr>
      </w:pPr>
      <w:r>
        <w:rPr>
          <w:rFonts w:hint="eastAsia" w:ascii="宋体" w:hAnsi="宋体" w:cs="Times New Roman"/>
          <w:color w:val="auto"/>
          <w:szCs w:val="21"/>
          <w:highlight w:val="none"/>
        </w:rPr>
        <w:t>6.2.3</w:t>
      </w:r>
      <w:r>
        <w:rPr>
          <w:rFonts w:ascii="宋体" w:hAnsi="宋体" w:cs="Times New Roman"/>
          <w:color w:val="auto"/>
          <w:szCs w:val="21"/>
          <w:highlight w:val="none"/>
        </w:rPr>
        <w:t>合同审定价：即审计部门审定的</w:t>
      </w:r>
      <w:r>
        <w:rPr>
          <w:rFonts w:hint="eastAsia" w:ascii="宋体" w:hAnsi="宋体" w:cs="Times New Roman"/>
          <w:color w:val="auto"/>
          <w:szCs w:val="21"/>
          <w:highlight w:val="none"/>
        </w:rPr>
        <w:t>勘察</w:t>
      </w:r>
      <w:r>
        <w:rPr>
          <w:rFonts w:ascii="宋体" w:hAnsi="宋体" w:cs="Times New Roman"/>
          <w:color w:val="auto"/>
          <w:szCs w:val="21"/>
          <w:highlight w:val="none"/>
        </w:rPr>
        <w:t>设计收费；该价格由甲方按合同结算价报送审计部门，并经审计部门审定。合同审定价为甲方支付乙方费用的最终依据和上限。</w:t>
      </w:r>
    </w:p>
    <w:p>
      <w:pPr>
        <w:ind w:firstLine="105" w:firstLineChars="50"/>
        <w:jc w:val="center"/>
        <w:rPr>
          <w:rFonts w:hint="eastAsia" w:ascii="黑体" w:hAnsi="宋体" w:eastAsia="黑体" w:cs="Times New Roman"/>
          <w:color w:val="auto"/>
          <w:szCs w:val="28"/>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七、费用支付</w:t>
      </w:r>
    </w:p>
    <w:p>
      <w:pPr>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7.1勘察费包含基本勘察费和履约绩效金两部分，其中基本勘察费占90</w:t>
      </w: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，履约绩效金占10</w:t>
      </w:r>
      <w:r>
        <w:rPr>
          <w:rFonts w:hint="eastAsia" w:ascii="宋体" w:hAnsi="宋体" w:cs="宋体"/>
          <w:color w:val="auto"/>
          <w:kern w:val="0"/>
          <w:szCs w:val="21"/>
          <w:highlight w:val="none"/>
          <w:lang w:val="en-US" w:eastAsia="zh-CN"/>
        </w:rPr>
        <w:t>%</w:t>
      </w:r>
      <w:r>
        <w:rPr>
          <w:rFonts w:hint="eastAsia" w:ascii="宋体" w:hAnsi="宋体" w:cs="宋体"/>
          <w:color w:val="auto"/>
          <w:kern w:val="0"/>
          <w:szCs w:val="21"/>
          <w:highlight w:val="none"/>
        </w:rPr>
        <w:t>。</w:t>
      </w:r>
    </w:p>
    <w:p>
      <w:pPr>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7.1.1勘察设计工作正常进行时，费用按阶段分期进行支付，具体步骤如下：</w:t>
      </w:r>
    </w:p>
    <w:p>
      <w:pPr>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 xml:space="preserve">(1) 完成勘察测量工作且成果经审查合格，支付合同暂定价的30%； </w:t>
      </w:r>
    </w:p>
    <w:p>
      <w:pPr>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 xml:space="preserve">(2) 完成上述工作且岩土工程专项设计成果经审查合格，支付至该阶段合同暂定价的50%； </w:t>
      </w:r>
    </w:p>
    <w:p>
      <w:pPr>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(3) 完成上述工作且岩土工程专项设计成果经审查合格，并取得概算批复后，支付至该阶段初步结算价的70%；</w:t>
      </w:r>
    </w:p>
    <w:p>
      <w:pPr>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(4) 基础工程(有且不限于基坑、边坡支护、路基处理、桩基等工程)施工完成通过相关检测，支付至合同结算价的90%；</w:t>
      </w:r>
    </w:p>
    <w:p>
      <w:pPr>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(5) 工程竣工验收并经审计后按审定结果支付余额（若出现超付现象，乙方必须退还超付款项）</w:t>
      </w:r>
      <w:r>
        <w:rPr>
          <w:rFonts w:hint="eastAsia" w:ascii="宋体" w:hAnsi="宋体" w:cs="宋体"/>
          <w:color w:val="auto"/>
          <w:kern w:val="0"/>
          <w:szCs w:val="21"/>
          <w:highlight w:val="none"/>
          <w:lang w:eastAsia="zh-CN"/>
        </w:rPr>
        <w:t>。</w:t>
      </w:r>
    </w:p>
    <w:p>
      <w:pPr>
        <w:ind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7.1.2履约绩效金支付</w:t>
      </w:r>
    </w:p>
    <w:p>
      <w:pPr>
        <w:ind w:firstLine="420" w:firstLineChars="200"/>
        <w:rPr>
          <w:rFonts w:ascii="宋体" w:hAnsi="宋体" w:cs="Times New Roman"/>
          <w:color w:val="auto"/>
          <w:szCs w:val="21"/>
          <w:highlight w:val="none"/>
        </w:rPr>
      </w:pPr>
      <w:r>
        <w:rPr>
          <w:rFonts w:hint="eastAsia" w:ascii="宋体" w:hAnsi="宋体" w:cs="Times New Roman"/>
          <w:color w:val="auto"/>
          <w:szCs w:val="21"/>
          <w:highlight w:val="none"/>
        </w:rPr>
        <w:t>参照《龙岗区建筑工务署承包商履约评价管理办法》在竣工后对中标人完成履约评价，根据履约评价得分情况进行支付。最终履约评价结果分优秀、良好、</w:t>
      </w:r>
      <w:r>
        <w:rPr>
          <w:rFonts w:hint="eastAsia" w:ascii="宋体" w:hAnsi="宋体" w:cs="Times New Roman"/>
          <w:color w:val="auto"/>
          <w:szCs w:val="21"/>
          <w:highlight w:val="none"/>
          <w:lang w:val="en-US" w:eastAsia="zh-CN"/>
        </w:rPr>
        <w:t>中等、</w:t>
      </w:r>
      <w:r>
        <w:rPr>
          <w:rFonts w:hint="eastAsia" w:ascii="宋体" w:hAnsi="宋体" w:cs="Times New Roman"/>
          <w:color w:val="auto"/>
          <w:szCs w:val="21"/>
          <w:highlight w:val="none"/>
        </w:rPr>
        <w:t>合格、不合格</w:t>
      </w: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档。</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（1）履约评价为优秀，支付100%履约绩效金。</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（2）履约评价为良好，支付100%履约绩效金。</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（3）履约评价为中等，支付80%履约绩效金。</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（4）履约评价为合格，支付60%履约绩效金。</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（5）履约评价为不合格，不支付履约绩效金。</w:t>
      </w:r>
    </w:p>
    <w:p>
      <w:pPr>
        <w:ind w:firstLine="420" w:firstLineChars="200"/>
        <w:rPr>
          <w:rFonts w:ascii="宋体" w:hAnsi="宋体" w:cs="Times New Roman"/>
          <w:color w:val="auto"/>
          <w:szCs w:val="21"/>
          <w:highlight w:val="none"/>
        </w:rPr>
      </w:pPr>
      <w:r>
        <w:rPr>
          <w:rFonts w:hint="eastAsia" w:ascii="宋体" w:hAnsi="宋体" w:cs="Times New Roman"/>
          <w:color w:val="auto"/>
          <w:szCs w:val="21"/>
          <w:highlight w:val="none"/>
        </w:rPr>
        <w:t>7.2</w:t>
      </w:r>
      <w:r>
        <w:rPr>
          <w:rFonts w:hint="eastAsia" w:ascii="宋体" w:hAnsi="宋体" w:cs="Times New Roman"/>
          <w:b/>
          <w:bCs/>
          <w:color w:val="auto"/>
          <w:szCs w:val="21"/>
          <w:highlight w:val="none"/>
        </w:rPr>
        <w:t>为加强政府投资工程资金管理，发包人可指定项目所在地的非独立法人分支机构收款及开具税务发票</w:t>
      </w:r>
      <w:r>
        <w:rPr>
          <w:rFonts w:hint="eastAsia" w:ascii="宋体" w:hAnsi="宋体" w:cs="Times New Roman"/>
          <w:b/>
          <w:bCs/>
          <w:color w:val="auto"/>
          <w:szCs w:val="21"/>
          <w:highlight w:val="none"/>
          <w:lang w:eastAsia="zh-CN"/>
        </w:rPr>
        <w:t>。</w:t>
      </w:r>
      <w:r>
        <w:rPr>
          <w:rFonts w:hint="eastAsia" w:ascii="宋体" w:hAnsi="宋体" w:cs="Times New Roman"/>
          <w:b/>
          <w:bCs/>
          <w:color w:val="auto"/>
          <w:szCs w:val="21"/>
          <w:highlight w:val="none"/>
        </w:rPr>
        <w:t>乙方必须在合同中明确填写具体的收款单位银行开户名、开户银行及账号，正常情况下甲方仅向该账号付款（若乙方委托其分支机构收款，必须在本合同签订时填写分支机构银行开户名、开户银行及账号）。若因上述原因造成合同价款不能及时支付或产生一切纠纷，均由乙方自行承担。</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7.3</w:t>
      </w:r>
      <w:r>
        <w:rPr>
          <w:rFonts w:ascii="宋体" w:hAnsi="宋体" w:cs="Times New Roman"/>
          <w:color w:val="auto"/>
          <w:szCs w:val="21"/>
          <w:highlight w:val="none"/>
        </w:rPr>
        <w:t>乙方在</w:t>
      </w:r>
      <w:r>
        <w:rPr>
          <w:rFonts w:hint="eastAsia" w:ascii="宋体" w:hAnsi="宋体" w:cs="Times New Roman"/>
          <w:color w:val="auto"/>
          <w:szCs w:val="21"/>
          <w:highlight w:val="none"/>
        </w:rPr>
        <w:t>深圳市财政委员会</w:t>
      </w:r>
      <w:r>
        <w:rPr>
          <w:rFonts w:ascii="宋体" w:hAnsi="宋体" w:cs="Times New Roman"/>
          <w:color w:val="auto"/>
          <w:szCs w:val="21"/>
          <w:highlight w:val="none"/>
        </w:rPr>
        <w:t>网站</w:t>
      </w:r>
      <w:r>
        <w:rPr>
          <w:rFonts w:ascii="宋体" w:hAnsi="宋体" w:cs="Times New Roman"/>
          <w:color w:val="auto"/>
          <w:szCs w:val="21"/>
          <w:highlight w:val="none"/>
        </w:rPr>
        <w:fldChar w:fldCharType="begin"/>
      </w:r>
      <w:r>
        <w:rPr>
          <w:rFonts w:ascii="宋体" w:hAnsi="宋体" w:cs="Times New Roman"/>
          <w:color w:val="auto"/>
          <w:szCs w:val="21"/>
          <w:highlight w:val="none"/>
        </w:rPr>
        <w:instrText xml:space="preserve"> HYPERLINK "http://www.szfb.gov.cn" </w:instrText>
      </w:r>
      <w:r>
        <w:rPr>
          <w:rFonts w:ascii="宋体" w:hAnsi="宋体" w:cs="Times New Roman"/>
          <w:color w:val="auto"/>
          <w:szCs w:val="21"/>
          <w:highlight w:val="none"/>
        </w:rPr>
        <w:fldChar w:fldCharType="separate"/>
      </w:r>
      <w:r>
        <w:rPr>
          <w:rFonts w:cs="Times New Roman"/>
          <w:color w:val="auto"/>
          <w:highlight w:val="none"/>
        </w:rPr>
        <w:t>http://</w:t>
      </w:r>
      <w:r>
        <w:rPr>
          <w:rFonts w:hint="eastAsia" w:cs="Times New Roman"/>
          <w:color w:val="auto"/>
          <w:highlight w:val="none"/>
        </w:rPr>
        <w:t>www.szfb.gov.cn</w:t>
      </w:r>
      <w:r>
        <w:rPr>
          <w:rFonts w:ascii="宋体" w:hAnsi="宋体" w:cs="Times New Roman"/>
          <w:color w:val="auto"/>
          <w:szCs w:val="21"/>
          <w:highlight w:val="none"/>
        </w:rPr>
        <w:fldChar w:fldCharType="end"/>
      </w:r>
      <w:r>
        <w:rPr>
          <w:rFonts w:ascii="宋体" w:hAnsi="宋体" w:cs="Times New Roman"/>
          <w:color w:val="auto"/>
          <w:szCs w:val="21"/>
          <w:highlight w:val="none"/>
        </w:rPr>
        <w:t>下载《深圳市基本建设收款单位银行账户信息表》填写后，连同中标通知书提交甲方综合财务科。乙方在申请支付进度款时须提供《拨付款申请表》，表述工作进度情况、合同约定的付款条件、以往已经收到该项目款项金额、本次申请金额等要点。</w:t>
      </w:r>
    </w:p>
    <w:p>
      <w:pPr>
        <w:ind w:firstLine="420" w:firstLineChars="200"/>
        <w:rPr>
          <w:rFonts w:ascii="宋体" w:hAnsi="宋体" w:cs="Times New Roman"/>
          <w:color w:val="auto"/>
          <w:szCs w:val="21"/>
          <w:highlight w:val="none"/>
        </w:rPr>
      </w:pPr>
      <w:r>
        <w:rPr>
          <w:rFonts w:hint="eastAsia" w:ascii="宋体" w:hAnsi="宋体" w:cs="Times New Roman"/>
          <w:color w:val="auto"/>
          <w:szCs w:val="21"/>
          <w:highlight w:val="none"/>
        </w:rPr>
        <w:t>7.4</w:t>
      </w:r>
      <w:r>
        <w:rPr>
          <w:rFonts w:ascii="宋体" w:hAnsi="宋体" w:cs="Times New Roman"/>
          <w:color w:val="auto"/>
          <w:szCs w:val="21"/>
          <w:highlight w:val="none"/>
        </w:rPr>
        <w:t>乙方违约金支付</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7.4.1违约金及赔偿金应由乙方在相应事件发生后5个工作日内完成对</w:t>
      </w:r>
      <w:r>
        <w:rPr>
          <w:rFonts w:hint="eastAsia" w:ascii="宋体" w:hAnsi="宋体" w:cs="Times New Roman"/>
          <w:color w:val="auto"/>
          <w:szCs w:val="21"/>
          <w:highlight w:val="none"/>
          <w:lang w:val="en-US" w:eastAsia="zh-CN"/>
        </w:rPr>
        <w:t>建设单位</w:t>
      </w:r>
      <w:r>
        <w:rPr>
          <w:rFonts w:hint="eastAsia" w:ascii="宋体" w:hAnsi="宋体" w:cs="Times New Roman"/>
          <w:color w:val="auto"/>
          <w:szCs w:val="21"/>
          <w:highlight w:val="none"/>
        </w:rPr>
        <w:t>的支付；该金额不纳入结算，不通过在合同结算价中予以扣减的方式进行支付；</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7.4.2若乙方不按上述要求支付违约金及赔偿金，甲方可按该金额的2倍在支付时予以扣减。</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7.5 甲方付款时，如遇财政国库结算等特殊时期，最终付款按照财政有关规定执行，乙方应予以理解和配合。此时，出现付款延</w:t>
      </w:r>
      <w:r>
        <w:rPr>
          <w:rFonts w:hint="eastAsia" w:ascii="宋体" w:hAnsi="宋体" w:cs="Times New Roman"/>
          <w:color w:val="auto"/>
          <w:szCs w:val="21"/>
          <w:highlight w:val="none"/>
          <w:lang w:val="en-US" w:eastAsia="zh-CN"/>
        </w:rPr>
        <w:t>迟</w:t>
      </w:r>
      <w:r>
        <w:rPr>
          <w:rFonts w:hint="eastAsia" w:ascii="宋体" w:hAnsi="宋体" w:cs="Times New Roman"/>
          <w:color w:val="auto"/>
          <w:szCs w:val="21"/>
          <w:highlight w:val="none"/>
        </w:rPr>
        <w:t>支付的情况不视为甲方违约。</w:t>
      </w:r>
    </w:p>
    <w:p>
      <w:pPr>
        <w:ind w:left="525" w:hanging="525" w:hangingChars="250"/>
        <w:rPr>
          <w:rFonts w:hint="eastAsia" w:ascii="宋体" w:hAnsi="宋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八、双方代表</w:t>
      </w:r>
    </w:p>
    <w:p>
      <w:pPr>
        <w:rPr>
          <w:rFonts w:hint="eastAsia" w:ascii="宋体" w:hAnsi="宋体" w:cs="Times New Roman"/>
          <w:color w:val="auto"/>
          <w:szCs w:val="21"/>
          <w:highlight w:val="none"/>
        </w:rPr>
      </w:pPr>
      <w:r>
        <w:rPr>
          <w:rFonts w:hint="eastAsia" w:ascii="宋体" w:hAnsi="宋体" w:cs="Times New Roman"/>
          <w:color w:val="auto"/>
          <w:szCs w:val="21"/>
          <w:highlight w:val="none"/>
        </w:rPr>
        <w:t>8.1 甲、乙双方均应派遣合格代表进行项目管理与接洽，共同促进项目建设。</w:t>
      </w:r>
    </w:p>
    <w:p>
      <w:pPr>
        <w:rPr>
          <w:rFonts w:hint="eastAsia" w:ascii="宋体" w:hAnsi="宋体" w:cs="Times New Roman"/>
          <w:color w:val="auto"/>
          <w:szCs w:val="21"/>
          <w:highlight w:val="none"/>
        </w:rPr>
      </w:pPr>
      <w:r>
        <w:rPr>
          <w:rFonts w:hint="eastAsia" w:ascii="宋体" w:hAnsi="宋体" w:cs="Times New Roman"/>
          <w:color w:val="auto"/>
          <w:szCs w:val="21"/>
          <w:highlight w:val="none"/>
        </w:rPr>
        <w:t>8.2 双方代表应在其授权范围内开展工作，并正确反映问题、陈述己方意见。若更换该代表或变更其授权时，应提前</w:t>
      </w:r>
      <w:r>
        <w:rPr>
          <w:rFonts w:ascii="宋体" w:hAnsi="宋体" w:cs="Times New Roman"/>
          <w:color w:val="auto"/>
          <w:szCs w:val="21"/>
          <w:highlight w:val="none"/>
        </w:rPr>
        <w:t>7</w:t>
      </w:r>
      <w:r>
        <w:rPr>
          <w:rFonts w:hint="eastAsia" w:ascii="宋体" w:hAnsi="宋体" w:cs="Times New Roman"/>
          <w:color w:val="auto"/>
          <w:szCs w:val="21"/>
          <w:highlight w:val="none"/>
        </w:rPr>
        <w:t>天通知对方。</w:t>
      </w:r>
    </w:p>
    <w:p>
      <w:pPr>
        <w:rPr>
          <w:rFonts w:hint="eastAsia" w:ascii="黑体" w:eastAsia="黑体" w:cs="Times New Roman"/>
          <w:b/>
          <w:bCs/>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九、甲方的权利和义务</w:t>
      </w:r>
    </w:p>
    <w:p>
      <w:pPr>
        <w:rPr>
          <w:rFonts w:hint="eastAsia" w:ascii="宋体" w:hAnsi="宋体" w:cs="Times New Roman"/>
          <w:color w:val="auto"/>
          <w:szCs w:val="21"/>
          <w:highlight w:val="none"/>
        </w:rPr>
      </w:pPr>
      <w:r>
        <w:rPr>
          <w:rFonts w:hint="eastAsia" w:ascii="宋体" w:hAnsi="宋体" w:cs="Times New Roman"/>
          <w:color w:val="auto"/>
          <w:szCs w:val="21"/>
          <w:highlight w:val="none"/>
        </w:rPr>
        <w:t>9.1  提供与本合同勘察及岩土工程设计有关的基础资料。</w:t>
      </w:r>
    </w:p>
    <w:p>
      <w:pPr>
        <w:rPr>
          <w:rFonts w:hint="eastAsia" w:ascii="宋体" w:hAnsi="宋体" w:cs="Times New Roman"/>
          <w:color w:val="auto"/>
          <w:szCs w:val="21"/>
          <w:highlight w:val="none"/>
        </w:rPr>
      </w:pPr>
      <w:r>
        <w:rPr>
          <w:rFonts w:hint="eastAsia" w:ascii="宋体" w:hAnsi="宋体" w:cs="Times New Roman"/>
          <w:color w:val="auto"/>
          <w:szCs w:val="21"/>
          <w:highlight w:val="none"/>
        </w:rPr>
        <w:t>9.2  按本合同第七条规定，及时支付乙方费用，并对乙方履约情况进行监督与处罚。</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9.3  乙方提出现场钻探孔验收和项目地质勘察报告验收申请时，甲方应及时组织办理相应的验收手续。</w:t>
      </w:r>
    </w:p>
    <w:p>
      <w:pPr>
        <w:rPr>
          <w:rFonts w:hint="eastAsia" w:ascii="宋体" w:hAnsi="宋体" w:cs="Times New Roman"/>
          <w:color w:val="auto"/>
          <w:szCs w:val="21"/>
          <w:highlight w:val="none"/>
        </w:rPr>
      </w:pPr>
      <w:r>
        <w:rPr>
          <w:rFonts w:hint="eastAsia" w:ascii="宋体" w:hAnsi="宋体" w:cs="Times New Roman"/>
          <w:color w:val="auto"/>
          <w:szCs w:val="21"/>
          <w:highlight w:val="none"/>
        </w:rPr>
        <w:t>9.4  指派专人与乙方保持密切联系，及时答复乙方提出的有关问题。</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9.5  甲方根据工程需要，提出本合同范围以外的与勘察测量及岩土工程设计相关的工作内容，乙方应予以执行，所发生费用，双方另行协商解决。</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9.6  甲方有权根据工程需要，要求乙方自行抽查、校核或另行委托其他单位抽查、校核乙方的成果，若抽查、校核的部分成果不合格，乙方要承担相应费用及处罚。</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9.7  甲方有权对乙方在本项目合同执行的全过程按甲方提供的“勘察合同履约情况表”施行履约评价，并根据评价结果进行表扬或处罚。处罚的方式包括但不限于：各类媒体上的通告、3个月至2年内暂停或限制投标人参与甲方主办的招投标活动、上报建设行政主管部门等。乙方不得以任何理由要求甲方对因履约评价对自身产生的不良后果承担责任。</w:t>
      </w:r>
    </w:p>
    <w:p>
      <w:pPr>
        <w:tabs>
          <w:tab w:val="left" w:pos="1800"/>
        </w:tabs>
        <w:ind w:left="525" w:hanging="525" w:hangingChars="250"/>
        <w:rPr>
          <w:rFonts w:hint="eastAsia" w:ascii="宋体" w:hAnsi="宋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十、乙方的权利和义务</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10.1 乙方应根据本合同工程项目的具体情况，按项目地质勘察技术要求的规定及国家有关的技术规范、相关标准的规定，在合同规定的期限内完成本合同的地质勘察工作，并确保满足设计要求。</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10.2  乙方应在勘察过程中实行勘察日报，每日汇报勘察进展；遇到不良地质情况应及时反馈，以便采取相应的验收处理措施。</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10.3  乙方应根据甲方要求，分批、分阶段提供所需的阶段成果资料，合同期满后，再提供全部的工作成果文件。</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10.4  乙方应对地质勘察及岩土工程设计成果文件的准确性负责，甲方对乙方所做的验收或认可均不能免除或减轻合同规定的应由乙方承担的责任。合同履行完毕后，乙方有义务协助甲方完善属乙方职责范围内的相关工作。</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10.5  对甲方提出的与本工程有关但本合同范围内未列明的与勘察测量、岩土工程设计、地质灾害等相关的工作内容，乙方应在甲方规定的时间内无条件执行，所发生的费用，纳入合同结算或另行协商解决。</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10.6 乙方应配合甲方完成决算审计工作。乙方在接到甲方决算审计通知后，</w:t>
      </w:r>
      <w:r>
        <w:rPr>
          <w:rFonts w:hint="eastAsia" w:ascii="宋体" w:hAnsi="宋体" w:cs="Times New Roman"/>
          <w:color w:val="auto"/>
          <w:szCs w:val="21"/>
          <w:highlight w:val="none"/>
          <w:u w:val="single"/>
        </w:rPr>
        <w:t xml:space="preserve"> 15</w:t>
      </w:r>
      <w:r>
        <w:rPr>
          <w:rFonts w:hint="eastAsia" w:ascii="宋体" w:hAnsi="宋体" w:cs="Times New Roman"/>
          <w:color w:val="auto"/>
          <w:szCs w:val="21"/>
          <w:highlight w:val="none"/>
        </w:rPr>
        <w:t>个工作日内将审计工作要求的相关资料备齐送审，乙方如超时，甲方将对乙方进行履约评价记录。</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10.7安全管理条款</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10.7.1乙方应遵守勘察工程安全生产有关管理规定，严格按照安全标准组织施工，承担由于自身安全措施不力造成事故的责任和因此产生的费用。</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10.7.2乙方负责人为安全生产责任人，负责该工程项目的日常安全管理工作，严格遵守安全生产规章制度，并指定具有安全员资质人员负责监管安全施工作业。</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10.7.3乙方应在设计文件中对项目的危险源情况进行辨识和梳理，并针对该项目后续施工的安全生产提出书面意见提交甲方。</w:t>
      </w:r>
    </w:p>
    <w:p>
      <w:pPr>
        <w:ind w:firstLine="420" w:firstLineChars="200"/>
        <w:rPr>
          <w:rFonts w:hint="eastAsia" w:ascii="宋体" w:hAnsi="宋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十一、违约责任与奖惩</w:t>
      </w:r>
    </w:p>
    <w:p>
      <w:pPr>
        <w:rPr>
          <w:rFonts w:hint="eastAsia" w:ascii="宋体" w:hAnsi="宋体" w:cs="Times New Roman"/>
          <w:color w:val="auto"/>
          <w:szCs w:val="21"/>
          <w:highlight w:val="none"/>
        </w:rPr>
      </w:pPr>
      <w:r>
        <w:rPr>
          <w:rFonts w:hint="eastAsia" w:ascii="宋体" w:hAnsi="宋体" w:cs="Times New Roman"/>
          <w:color w:val="auto"/>
          <w:szCs w:val="21"/>
          <w:highlight w:val="none"/>
        </w:rPr>
        <w:t>11.1  甲方违约</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11.1.1 如果甲方未按合同规定支付费用，自规定之日起，乙方可要求补偿应支付的费用利息（非甲方因素而影响支付的除外）。利息额按规定支付期限最后一天中国人民银行公布实行之三个月贷款利率计算。</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11.1.2 在合同履行期间，非因乙方的过错，甲方要求中止或解除合同，如果乙方尚未开始工作，甲方应补偿乙方实际发生的费用和工时费。如已开始工作且实际工作量价款少于已付的合同款，乙方不退还差额部分；如实际已完成工作量价款大于已付的合同款时，不足部分由甲方补齐。</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11.2  乙方违约</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11.2.1 乙方未按合同约定履行职责的，甲方有权要求乙方立即纠正并就因此而遭受的损失提出索赔，乙方收到甲方通知后五日内未予纠正的，甲方有权停付工程费并提出进一步索赔，直至解除合同关系。</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11.2.2乙方应对测量报告、地质勘察及岩土工程设计成果文件的准确性负责。每出现一次管线错漏按5000元/次的标准向甲方支付违约金。因勘察报告或岩土工程设计文件的错误而造成工程的任何损失，由乙方承担全部损失1</w:t>
      </w:r>
      <w:r>
        <w:rPr>
          <w:rFonts w:ascii="宋体" w:hAnsi="宋体" w:cs="Times New Roman"/>
          <w:color w:val="auto"/>
          <w:szCs w:val="21"/>
          <w:highlight w:val="none"/>
        </w:rPr>
        <w:t>0</w:t>
      </w:r>
      <w:r>
        <w:rPr>
          <w:rFonts w:hint="eastAsia" w:ascii="宋体" w:hAnsi="宋体" w:cs="Times New Roman"/>
          <w:color w:val="auto"/>
          <w:szCs w:val="21"/>
          <w:highlight w:val="none"/>
        </w:rPr>
        <w:t>%的赔偿责任。</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11.2.3 乙方未按合同约定提交勘察及岩土工程设计成果文件的，每延迟一天，处以当期应支付费用每日千分之三计收违约金，违约金的限额为当期应支付工程费的数额。</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11.2.4 合同生效后，乙方如要求终止或解除合同，乙方应在三十日内双倍返还甲方已支付的合同款。</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11.2.5 乙方应按甲方要求参加在项目现场召开的工地例会，因故无法参加的应向甲方履行请假手续。每缺席一次且未履行请假手续按1000元/次的标准向甲方支付违约金。</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11.2.6 乙方应及时完成设计变更图纸，未按时或未达到甲方要求的按2000元/次的标准向甲方支付违约金。</w:t>
      </w:r>
    </w:p>
    <w:p>
      <w:pPr>
        <w:ind w:firstLine="420" w:firstLineChars="200"/>
        <w:rPr>
          <w:rFonts w:hint="eastAsia" w:ascii="宋体" w:hAnsi="宋体" w:cs="Times New Roman"/>
          <w:color w:val="auto"/>
          <w:szCs w:val="21"/>
          <w:highlight w:val="none"/>
        </w:rPr>
      </w:pPr>
      <w:r>
        <w:rPr>
          <w:rFonts w:hint="eastAsia" w:ascii="宋体" w:hAnsi="宋体" w:cs="Times New Roman"/>
          <w:color w:val="auto"/>
          <w:szCs w:val="21"/>
          <w:highlight w:val="none"/>
        </w:rPr>
        <w:t>11.2.7乙方应做好水土保持工作，出现水土流失情况的，由乙方承担因水土流失对甲方或第三人造成的所有直接损失。除承担上述损失责任外，乙方还应按5000元/次的标准向甲方支付违约金。</w:t>
      </w: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十二、合同生效、变更、中止、解除和终止</w:t>
      </w:r>
    </w:p>
    <w:p>
      <w:pPr>
        <w:rPr>
          <w:rFonts w:hint="eastAsia" w:ascii="宋体" w:hAnsi="宋体" w:cs="Times New Roman"/>
          <w:color w:val="auto"/>
          <w:szCs w:val="21"/>
          <w:highlight w:val="none"/>
        </w:rPr>
      </w:pPr>
      <w:r>
        <w:rPr>
          <w:rFonts w:hint="eastAsia" w:ascii="宋体" w:hAnsi="宋体" w:cs="Times New Roman"/>
          <w:color w:val="auto"/>
          <w:szCs w:val="21"/>
          <w:highlight w:val="none"/>
        </w:rPr>
        <w:t>12.1  本合同生效的时间以双方签署的协议书上注明的时间为准。</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12.2  对本合同条款的任何变更、修改或增减，应经双方协商同意并经双方法定代表人或授权代理人签署书面文件方为有效，作为本合同的组成部分。</w:t>
      </w:r>
    </w:p>
    <w:p>
      <w:pPr>
        <w:rPr>
          <w:rFonts w:hint="eastAsia" w:ascii="宋体" w:hAnsi="宋体" w:cs="Times New Roman"/>
          <w:color w:val="auto"/>
          <w:szCs w:val="21"/>
          <w:highlight w:val="none"/>
        </w:rPr>
      </w:pPr>
      <w:r>
        <w:rPr>
          <w:rFonts w:hint="eastAsia" w:ascii="宋体" w:hAnsi="宋体" w:cs="Times New Roman"/>
          <w:color w:val="auto"/>
          <w:szCs w:val="21"/>
          <w:highlight w:val="none"/>
        </w:rPr>
        <w:t>12.3  双方协商一致，可以解除合同。</w:t>
      </w:r>
    </w:p>
    <w:p>
      <w:pPr>
        <w:ind w:left="525" w:hanging="525" w:hangingChars="250"/>
        <w:rPr>
          <w:rFonts w:hint="eastAsia" w:ascii="宋体" w:hAnsi="宋体" w:cs="Times New Roman"/>
          <w:color w:val="auto"/>
          <w:szCs w:val="21"/>
          <w:highlight w:val="none"/>
        </w:rPr>
      </w:pPr>
      <w:r>
        <w:rPr>
          <w:rFonts w:hint="eastAsia" w:ascii="宋体" w:hAnsi="宋体" w:cs="Times New Roman"/>
          <w:color w:val="auto"/>
          <w:szCs w:val="21"/>
          <w:highlight w:val="none"/>
        </w:rPr>
        <w:t>12.4  双方因不可抗力致使合同无法履行，任何一方可以解除合同。但解除方应同时提供其受不可抗力影响之证据。</w:t>
      </w:r>
    </w:p>
    <w:p>
      <w:pPr>
        <w:rPr>
          <w:rFonts w:hint="eastAsia" w:ascii="黑体" w:hAnsi="宋体" w:eastAsia="黑体" w:cs="Times New Roman"/>
          <w:b/>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十三、争议及解决</w:t>
      </w:r>
    </w:p>
    <w:p>
      <w:pPr>
        <w:ind w:left="525" w:hanging="525" w:hangingChars="250"/>
        <w:rPr>
          <w:rFonts w:ascii="宋体" w:hAnsi="宋体" w:cs="Times New Roman"/>
          <w:color w:val="auto"/>
          <w:szCs w:val="21"/>
          <w:highlight w:val="none"/>
        </w:rPr>
      </w:pPr>
      <w:bookmarkStart w:id="15" w:name="_Toc297207338"/>
      <w:r>
        <w:rPr>
          <w:rFonts w:hint="eastAsia" w:ascii="宋体" w:hAnsi="宋体" w:cs="Times New Roman"/>
          <w:color w:val="auto"/>
          <w:szCs w:val="21"/>
          <w:highlight w:val="none"/>
        </w:rPr>
        <w:t>13.1本合同争议解决方式由当事人在合同约定从下列两种方式中选择第（一）种</w:t>
      </w:r>
      <w:r>
        <w:rPr>
          <w:rFonts w:ascii="宋体" w:hAnsi="宋体" w:cs="Times New Roman"/>
          <w:color w:val="auto"/>
          <w:szCs w:val="21"/>
          <w:highlight w:val="none"/>
        </w:rPr>
        <w:t>;</w:t>
      </w:r>
    </w:p>
    <w:p>
      <w:pPr>
        <w:ind w:left="525" w:hanging="525" w:hangingChars="250"/>
        <w:rPr>
          <w:rFonts w:ascii="宋体" w:hAnsi="宋体" w:cs="Times New Roman"/>
          <w:color w:val="auto"/>
          <w:szCs w:val="21"/>
          <w:highlight w:val="none"/>
        </w:rPr>
      </w:pPr>
      <w:r>
        <w:rPr>
          <w:rFonts w:hint="eastAsia" w:ascii="宋体" w:hAnsi="宋体" w:cs="Times New Roman"/>
          <w:color w:val="auto"/>
          <w:szCs w:val="21"/>
          <w:highlight w:val="none"/>
        </w:rPr>
        <w:t>（一）因履行本合同发生的争议，由当事人协商解决，协商不成的，提交深圳仲裁委员会进行仲裁</w:t>
      </w:r>
      <w:r>
        <w:rPr>
          <w:rFonts w:ascii="宋体" w:hAnsi="宋体" w:cs="Times New Roman"/>
          <w:color w:val="auto"/>
          <w:szCs w:val="21"/>
          <w:highlight w:val="none"/>
        </w:rPr>
        <w:t>;</w:t>
      </w:r>
    </w:p>
    <w:p>
      <w:pPr>
        <w:ind w:left="525" w:hanging="525" w:hangingChars="250"/>
        <w:rPr>
          <w:rFonts w:ascii="宋体" w:hAnsi="宋体" w:cs="Times New Roman"/>
          <w:color w:val="auto"/>
          <w:szCs w:val="21"/>
          <w:highlight w:val="none"/>
        </w:rPr>
      </w:pPr>
      <w:r>
        <w:rPr>
          <w:rFonts w:hint="eastAsia" w:ascii="宋体" w:hAnsi="宋体" w:cs="Times New Roman"/>
          <w:color w:val="auto"/>
          <w:szCs w:val="21"/>
          <w:highlight w:val="none"/>
        </w:rPr>
        <w:t>（二）因履行本合同发生的争议，由当事人协商解决，协商不成的</w:t>
      </w:r>
      <w:r>
        <w:rPr>
          <w:rFonts w:ascii="宋体" w:hAnsi="宋体" w:cs="Times New Roman"/>
          <w:color w:val="auto"/>
          <w:szCs w:val="21"/>
          <w:highlight w:val="none"/>
        </w:rPr>
        <w:t>,</w:t>
      </w:r>
      <w:r>
        <w:rPr>
          <w:rFonts w:hint="eastAsia" w:ascii="宋体" w:hAnsi="宋体" w:cs="Times New Roman"/>
          <w:color w:val="auto"/>
          <w:szCs w:val="21"/>
          <w:highlight w:val="none"/>
        </w:rPr>
        <w:t>依法向人民法院诉讼。</w:t>
      </w:r>
    </w:p>
    <w:p>
      <w:pPr>
        <w:rPr>
          <w:rFonts w:hint="eastAsia" w:ascii="宋体" w:hAnsi="宋体" w:cs="Times New Roman"/>
          <w:color w:val="auto"/>
          <w:szCs w:val="21"/>
          <w:highlight w:val="none"/>
        </w:rPr>
      </w:pPr>
      <w:r>
        <w:rPr>
          <w:rFonts w:ascii="宋体" w:hAnsi="宋体" w:cs="Times New Roman"/>
          <w:color w:val="auto"/>
          <w:szCs w:val="21"/>
          <w:highlight w:val="none"/>
        </w:rPr>
        <w:br w:type="page"/>
      </w:r>
    </w:p>
    <w:p>
      <w:pPr>
        <w:keepNext/>
        <w:keepLines/>
        <w:widowControl w:val="0"/>
        <w:numPr>
          <w:ilvl w:val="-1"/>
          <w:numId w:val="0"/>
        </w:numPr>
        <w:spacing w:before="120" w:after="0" w:line="240" w:lineRule="auto"/>
        <w:ind w:left="0"/>
        <w:jc w:val="center"/>
        <w:outlineLvl w:val="1"/>
        <w:rPr>
          <w:rFonts w:hint="eastAsia" w:ascii="黑体" w:hAnsi="宋体" w:eastAsia="宋体" w:cs="Times New Roman"/>
          <w:b/>
          <w:bCs w:val="0"/>
          <w:color w:val="auto"/>
          <w:kern w:val="2"/>
          <w:sz w:val="32"/>
          <w:szCs w:val="32"/>
          <w:highlight w:val="none"/>
          <w:lang w:val="en-US" w:eastAsia="zh-CN" w:bidi="ar-SA"/>
        </w:rPr>
      </w:pPr>
      <w:r>
        <w:rPr>
          <w:rFonts w:hint="eastAsia" w:ascii="黑体" w:hAnsi="宋体" w:eastAsia="宋体" w:cs="Times New Roman"/>
          <w:b/>
          <w:bCs w:val="0"/>
          <w:color w:val="auto"/>
          <w:kern w:val="2"/>
          <w:sz w:val="32"/>
          <w:szCs w:val="32"/>
          <w:highlight w:val="none"/>
          <w:lang w:val="en-US" w:eastAsia="zh-CN" w:bidi="ar-SA"/>
        </w:rPr>
        <w:t>第三部分 合同专用条款</w:t>
      </w:r>
      <w:bookmarkEnd w:id="15"/>
    </w:p>
    <w:p>
      <w:pPr>
        <w:rPr>
          <w:rFonts w:hint="eastAsia" w:cs="Times New Roman"/>
          <w:color w:val="auto"/>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四、工作内容及要求</w:t>
      </w:r>
    </w:p>
    <w:p>
      <w:pPr>
        <w:rPr>
          <w:rFonts w:hint="eastAsia" w:ascii="宋体" w:hAnsi="宋体" w:cs="Times New Roman"/>
          <w:color w:val="auto"/>
          <w:szCs w:val="21"/>
          <w:highlight w:val="none"/>
        </w:rPr>
      </w:pPr>
      <w:r>
        <w:rPr>
          <w:rFonts w:hint="eastAsia" w:ascii="宋体" w:hAnsi="宋体" w:cs="Times New Roman"/>
          <w:color w:val="auto"/>
          <w:szCs w:val="21"/>
          <w:highlight w:val="none"/>
        </w:rPr>
        <w:t>4.1本合同工作内容：</w:t>
      </w:r>
      <w:r>
        <w:rPr>
          <w:rFonts w:hint="eastAsia" w:ascii="宋体" w:hAnsi="宋体" w:cs="Times New Roman"/>
          <w:color w:val="auto"/>
          <w:szCs w:val="21"/>
          <w:highlight w:val="none"/>
          <w:u w:val="single"/>
        </w:rPr>
        <w:t xml:space="preserve">  除合同通用条款4.1外，合同暂估价超过500万的，如需开展相关课题研究费</w:t>
      </w:r>
      <w:r>
        <w:rPr>
          <w:rFonts w:hint="eastAsia" w:ascii="宋体" w:hAnsi="宋体" w:cs="Times New Roman"/>
          <w:color w:val="auto"/>
          <w:szCs w:val="21"/>
          <w:highlight w:val="none"/>
          <w:u w:val="single"/>
          <w:lang w:eastAsia="zh-CN"/>
        </w:rPr>
        <w:t>，乙方不得拒绝，所需费用包含在合同总价中</w:t>
      </w:r>
      <w:r>
        <w:rPr>
          <w:rFonts w:hint="eastAsia" w:ascii="宋体" w:hAnsi="宋体" w:cs="Times New Roman"/>
          <w:color w:val="auto"/>
          <w:szCs w:val="21"/>
          <w:highlight w:val="none"/>
          <w:u w:val="single"/>
        </w:rPr>
        <w:t>。</w:t>
      </w:r>
      <w:r>
        <w:rPr>
          <w:rFonts w:hint="eastAsia" w:ascii="宋体" w:hAnsi="宋体" w:cs="Times New Roman"/>
          <w:color w:val="auto"/>
          <w:szCs w:val="21"/>
          <w:highlight w:val="none"/>
          <w:u w:val="single"/>
          <w:lang w:val="en-US" w:eastAsia="zh-CN"/>
        </w:rPr>
        <w:t>通用条款4.1.2</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u w:val="single"/>
          <w:lang w:val="en-US" w:eastAsia="zh-CN"/>
        </w:rPr>
        <w:t>不适用本合同。</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rPr>
        <w:t xml:space="preserve">  </w:t>
      </w:r>
    </w:p>
    <w:p>
      <w:pPr>
        <w:rPr>
          <w:rFonts w:hint="eastAsia" w:ascii="宋体" w:hAnsi="宋体" w:cs="Times New Roman"/>
          <w:color w:val="auto"/>
          <w:szCs w:val="21"/>
          <w:highlight w:val="none"/>
        </w:rPr>
      </w:pPr>
      <w:r>
        <w:rPr>
          <w:rFonts w:hint="eastAsia" w:ascii="宋体" w:hAnsi="宋体" w:cs="Times New Roman"/>
          <w:color w:val="auto"/>
          <w:szCs w:val="21"/>
          <w:highlight w:val="none"/>
        </w:rPr>
        <w:t>4.2.2工作进度：</w:t>
      </w:r>
    </w:p>
    <w:p>
      <w:pPr>
        <w:ind w:firstLine="420" w:firstLineChars="200"/>
        <w:rPr>
          <w:rFonts w:hint="eastAsia" w:ascii="宋体" w:hAnsi="宋体" w:cs="Times New Roman"/>
          <w:color w:val="auto"/>
          <w:szCs w:val="21"/>
          <w:highlight w:val="none"/>
          <w:u w:val="single"/>
        </w:rPr>
      </w:pPr>
      <w:r>
        <w:rPr>
          <w:rFonts w:hint="eastAsia" w:ascii="宋体" w:hAnsi="宋体" w:cs="Times New Roman"/>
          <w:color w:val="auto"/>
          <w:szCs w:val="21"/>
          <w:highlight w:val="none"/>
          <w:u w:val="single"/>
        </w:rPr>
        <w:t>4.2.2.1接到勘察测量任务书后30天内完成工程勘察测量，并提交相应的报告。</w:t>
      </w:r>
    </w:p>
    <w:p>
      <w:pPr>
        <w:ind w:firstLine="420" w:firstLineChars="200"/>
        <w:rPr>
          <w:rFonts w:hint="eastAsia" w:ascii="宋体" w:hAnsi="宋体" w:cs="Times New Roman"/>
          <w:color w:val="auto"/>
          <w:szCs w:val="21"/>
          <w:highlight w:val="none"/>
          <w:u w:val="single"/>
        </w:rPr>
      </w:pPr>
      <w:r>
        <w:rPr>
          <w:rFonts w:hint="eastAsia" w:ascii="宋体" w:hAnsi="宋体" w:cs="Times New Roman"/>
          <w:color w:val="auto"/>
          <w:szCs w:val="21"/>
          <w:highlight w:val="none"/>
          <w:u w:val="single"/>
        </w:rPr>
        <w:t>4.2.2.2勘察结算资料在岩土工程(含基坑、边坡支护及地基处理等工程)施工完成并通过验收后3</w:t>
      </w:r>
      <w:r>
        <w:rPr>
          <w:rFonts w:hint="eastAsia" w:ascii="宋体" w:hAnsi="宋体" w:cs="Times New Roman"/>
          <w:color w:val="auto"/>
          <w:szCs w:val="21"/>
          <w:highlight w:val="none"/>
          <w:u w:val="single"/>
          <w:lang w:val="en-US" w:eastAsia="zh-CN"/>
        </w:rPr>
        <w:t>0</w:t>
      </w:r>
      <w:r>
        <w:rPr>
          <w:rFonts w:hint="eastAsia" w:ascii="宋体" w:hAnsi="宋体" w:cs="Times New Roman"/>
          <w:color w:val="auto"/>
          <w:szCs w:val="21"/>
          <w:highlight w:val="none"/>
          <w:u w:val="single"/>
        </w:rPr>
        <w:t>天报送甲方。</w:t>
      </w:r>
    </w:p>
    <w:p>
      <w:pPr>
        <w:rPr>
          <w:rFonts w:hint="eastAsia" w:ascii="宋体" w:hAnsi="宋体" w:cs="Times New Roman"/>
          <w:color w:val="auto"/>
          <w:szCs w:val="21"/>
          <w:highlight w:val="none"/>
          <w:u w:val="single"/>
        </w:rPr>
      </w:pPr>
      <w:r>
        <w:rPr>
          <w:rFonts w:hint="eastAsia" w:ascii="黑体" w:hAnsi="宋体" w:eastAsia="黑体" w:cs="Times New Roman"/>
          <w:color w:val="auto"/>
          <w:szCs w:val="21"/>
          <w:highlight w:val="none"/>
        </w:rPr>
        <w:t>4.3具体要求</w:t>
      </w:r>
    </w:p>
    <w:p>
      <w:pPr>
        <w:rPr>
          <w:rFonts w:hint="eastAsia" w:ascii="黑体" w:hAnsi="宋体" w:eastAsia="黑体" w:cs="Times New Roman"/>
          <w:color w:val="auto"/>
          <w:szCs w:val="21"/>
          <w:highlight w:val="none"/>
        </w:rPr>
      </w:pPr>
      <w:r>
        <w:rPr>
          <w:rFonts w:hint="eastAsia" w:ascii="宋体" w:hAnsi="宋体" w:cs="Times New Roman"/>
          <w:color w:val="auto"/>
          <w:szCs w:val="21"/>
          <w:highlight w:val="none"/>
          <w:u w:val="single"/>
          <w:lang w:val="en-US" w:eastAsia="zh-CN"/>
        </w:rPr>
        <w:t>通用条款4.3.2</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u w:val="single"/>
          <w:lang w:val="en-US" w:eastAsia="zh-CN"/>
        </w:rPr>
        <w:t>不适用本合同。</w:t>
      </w:r>
      <w:r>
        <w:rPr>
          <w:rFonts w:hint="eastAsia" w:ascii="宋体" w:hAnsi="宋体" w:cs="Times New Roman"/>
          <w:color w:val="auto"/>
          <w:szCs w:val="21"/>
          <w:highlight w:val="none"/>
          <w:u w:val="single"/>
        </w:rPr>
        <w:t xml:space="preserve"> </w:t>
      </w:r>
    </w:p>
    <w:p>
      <w:pPr>
        <w:rPr>
          <w:rFonts w:hint="eastAsia" w:ascii="黑体" w:hAnsi="宋体" w:eastAsia="黑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五、成果文件数量</w:t>
      </w:r>
    </w:p>
    <w:p>
      <w:pPr>
        <w:rPr>
          <w:rFonts w:hint="eastAsia" w:ascii="黑体" w:hAnsi="宋体" w:eastAsia="黑体" w:cs="Times New Roman"/>
          <w:color w:val="auto"/>
          <w:szCs w:val="21"/>
          <w:highlight w:val="none"/>
          <w:u w:val="single"/>
        </w:rPr>
      </w:pP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u w:val="single"/>
          <w:lang w:val="en-US" w:eastAsia="zh-CN"/>
        </w:rPr>
        <w:t>详见通用条款，其中5.2条不适用本合同。</w:t>
      </w:r>
      <w:r>
        <w:rPr>
          <w:rFonts w:hint="eastAsia" w:ascii="宋体" w:hAnsi="宋体" w:cs="Times New Roman"/>
          <w:color w:val="auto"/>
          <w:szCs w:val="21"/>
          <w:highlight w:val="none"/>
          <w:u w:val="single"/>
        </w:rPr>
        <w:t xml:space="preserve">   </w:t>
      </w:r>
    </w:p>
    <w:p>
      <w:pPr>
        <w:rPr>
          <w:rFonts w:hint="eastAsia" w:ascii="黑体" w:hAnsi="宋体" w:eastAsia="黑体" w:cs="Times New Roman"/>
          <w:color w:val="auto"/>
          <w:szCs w:val="21"/>
          <w:highlight w:val="non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六、合同价</w:t>
      </w:r>
    </w:p>
    <w:p>
      <w:pPr>
        <w:rPr>
          <w:rFonts w:hint="eastAsia" w:ascii="宋体" w:hAnsi="宋体" w:eastAsia="宋体" w:cs="Times New Roman"/>
          <w:color w:val="auto"/>
          <w:szCs w:val="21"/>
          <w:highlight w:val="none"/>
          <w:u w:val="single"/>
        </w:rPr>
      </w:pPr>
      <w:r>
        <w:rPr>
          <w:rFonts w:hint="eastAsia" w:ascii="宋体" w:hAnsi="宋体" w:eastAsia="宋体" w:cs="Times New Roman"/>
          <w:color w:val="auto"/>
          <w:szCs w:val="21"/>
          <w:highlight w:val="none"/>
          <w:u w:val="single"/>
        </w:rPr>
        <w:t>6.1.4合同暂定价：人民币</w:t>
      </w:r>
      <w:r>
        <w:rPr>
          <w:rFonts w:hint="eastAsia" w:ascii="宋体" w:hAnsi="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single"/>
        </w:rPr>
        <w:t xml:space="preserve"> 元 （大写：</w:t>
      </w:r>
      <w:r>
        <w:rPr>
          <w:rFonts w:hint="eastAsia" w:ascii="宋体" w:hAnsi="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single"/>
        </w:rPr>
        <w:t xml:space="preserve"> 元），详细计算过程如下： </w:t>
      </w:r>
    </w:p>
    <w:p>
      <w:pPr>
        <w:rPr>
          <w:rFonts w:hint="eastAsia" w:ascii="宋体" w:hAnsi="宋体" w:eastAsia="宋体" w:cs="Times New Roman"/>
          <w:color w:val="auto"/>
          <w:sz w:val="21"/>
          <w:szCs w:val="21"/>
          <w:highlight w:val="none"/>
          <w:u w:val="single"/>
          <w:lang w:val="en-US" w:eastAsia="zh-CN"/>
        </w:rPr>
      </w:pPr>
      <w:r>
        <w:rPr>
          <w:rFonts w:hint="eastAsia" w:ascii="宋体" w:hAnsi="宋体" w:eastAsia="宋体" w:cs="Times New Roman"/>
          <w:color w:val="auto"/>
          <w:szCs w:val="21"/>
          <w:highlight w:val="none"/>
          <w:u w:val="single"/>
          <w:lang w:val="en-US" w:eastAsia="zh-CN"/>
        </w:rPr>
        <w:t>勘察费：</w:t>
      </w:r>
      <w:r>
        <w:rPr>
          <w:rFonts w:hint="eastAsia" w:ascii="宋体" w:hAnsi="宋体" w:eastAsia="宋体" w:cs="Times New Roman"/>
          <w:color w:val="auto"/>
          <w:sz w:val="21"/>
          <w:szCs w:val="21"/>
          <w:highlight w:val="none"/>
          <w:u w:val="single"/>
          <w:lang w:val="en-US" w:eastAsia="zh-CN"/>
        </w:rPr>
        <w:t>按基本设计费（扣除概算编制费）的30%计取，即（（</w:t>
      </w:r>
      <w:r>
        <w:rPr>
          <w:rFonts w:hint="eastAsia" w:ascii="宋体" w:hAnsi="宋体" w:eastAsia="宋体" w:cs="Times New Roman"/>
          <w:color w:val="auto"/>
          <w:sz w:val="21"/>
          <w:szCs w:val="21"/>
          <w:highlight w:val="none"/>
          <w:u w:val="single"/>
        </w:rPr>
        <w:t>163.9+(249.6-163.9)/(8000-5000)×(5573-5000)</w:t>
      </w:r>
      <w:r>
        <w:rPr>
          <w:rFonts w:hint="eastAsia" w:ascii="宋体" w:hAnsi="宋体" w:eastAsia="宋体" w:cs="Times New Roman"/>
          <w:color w:val="auto"/>
          <w:sz w:val="21"/>
          <w:szCs w:val="21"/>
          <w:highlight w:val="none"/>
          <w:u w:val="single"/>
          <w:lang w:val="en-US" w:eastAsia="zh-CN"/>
        </w:rPr>
        <w:t>）</w:t>
      </w:r>
      <w:r>
        <w:rPr>
          <w:rFonts w:hint="eastAsia" w:ascii="宋体" w:hAnsi="宋体" w:eastAsia="宋体" w:cs="Times New Roman"/>
          <w:color w:val="auto"/>
          <w:sz w:val="21"/>
          <w:szCs w:val="21"/>
          <w:highlight w:val="none"/>
          <w:u w:val="single"/>
        </w:rPr>
        <w:t>×</w:t>
      </w:r>
      <w:r>
        <w:rPr>
          <w:rFonts w:hint="eastAsia" w:ascii="宋体" w:hAnsi="宋体" w:eastAsia="宋体" w:cs="Times New Roman"/>
          <w:color w:val="auto"/>
          <w:sz w:val="21"/>
          <w:szCs w:val="21"/>
          <w:highlight w:val="none"/>
          <w:u w:val="single"/>
          <w:lang w:val="en-US" w:eastAsia="zh-CN"/>
        </w:rPr>
        <w:t>0.9</w:t>
      </w:r>
      <w:r>
        <w:rPr>
          <w:rFonts w:hint="eastAsia" w:ascii="宋体" w:hAnsi="宋体" w:eastAsia="宋体" w:cs="Times New Roman"/>
          <w:color w:val="auto"/>
          <w:sz w:val="21"/>
          <w:szCs w:val="21"/>
          <w:highlight w:val="none"/>
          <w:u w:val="single"/>
        </w:rPr>
        <w:t>×</w:t>
      </w:r>
      <w:r>
        <w:rPr>
          <w:rFonts w:hint="eastAsia" w:ascii="宋体" w:hAnsi="宋体" w:eastAsia="宋体" w:cs="Times New Roman"/>
          <w:color w:val="auto"/>
          <w:sz w:val="21"/>
          <w:szCs w:val="21"/>
          <w:highlight w:val="none"/>
          <w:u w:val="single"/>
          <w:lang w:val="en-US" w:eastAsia="zh-CN"/>
        </w:rPr>
        <w:t>1</w:t>
      </w:r>
      <w:r>
        <w:rPr>
          <w:rFonts w:hint="eastAsia" w:ascii="宋体" w:hAnsi="宋体" w:eastAsia="宋体" w:cs="Times New Roman"/>
          <w:color w:val="auto"/>
          <w:sz w:val="21"/>
          <w:szCs w:val="21"/>
          <w:highlight w:val="none"/>
          <w:u w:val="single"/>
        </w:rPr>
        <w:t>×</w:t>
      </w:r>
      <w:r>
        <w:rPr>
          <w:rFonts w:hint="eastAsia" w:ascii="宋体" w:hAnsi="宋体" w:eastAsia="宋体" w:cs="Times New Roman"/>
          <w:color w:val="auto"/>
          <w:sz w:val="21"/>
          <w:szCs w:val="21"/>
          <w:highlight w:val="none"/>
          <w:u w:val="single"/>
          <w:lang w:val="en-US" w:eastAsia="zh-CN"/>
        </w:rPr>
        <w:t>1-7.6076）×30%</w:t>
      </w:r>
      <w:r>
        <w:rPr>
          <w:rFonts w:hint="eastAsia" w:ascii="宋体" w:hAnsi="宋体" w:eastAsia="宋体" w:cs="Times New Roman"/>
          <w:color w:val="auto"/>
          <w:sz w:val="21"/>
          <w:szCs w:val="21"/>
          <w:highlight w:val="none"/>
          <w:u w:val="single"/>
        </w:rPr>
        <w:t>=</w:t>
      </w:r>
      <w:r>
        <w:rPr>
          <w:rFonts w:hint="eastAsia" w:ascii="宋体" w:hAnsi="宋体" w:eastAsia="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lang w:val="en-US" w:eastAsia="zh-CN"/>
        </w:rPr>
        <w:t>162.2418-7.6076</w:t>
      </w:r>
      <w:r>
        <w:rPr>
          <w:rFonts w:hint="eastAsia" w:ascii="宋体" w:hAnsi="宋体" w:eastAsia="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lang w:val="en-US" w:eastAsia="zh-CN"/>
        </w:rPr>
        <w:t>×30%=</w:t>
      </w:r>
      <w:r>
        <w:rPr>
          <w:rFonts w:hint="eastAsia" w:ascii="宋体" w:hAnsi="宋体" w:eastAsia="宋体" w:cs="Times New Roman"/>
          <w:color w:val="auto"/>
          <w:sz w:val="21"/>
          <w:szCs w:val="21"/>
          <w:highlight w:val="none"/>
          <w:u w:val="single"/>
        </w:rPr>
        <w:t>46.390</w:t>
      </w:r>
      <w:r>
        <w:rPr>
          <w:rFonts w:hint="eastAsia" w:ascii="宋体" w:hAnsi="宋体" w:eastAsia="宋体" w:cs="Times New Roman"/>
          <w:color w:val="auto"/>
          <w:sz w:val="21"/>
          <w:szCs w:val="21"/>
          <w:highlight w:val="none"/>
          <w:u w:val="single"/>
          <w:lang w:eastAsia="zh-CN"/>
        </w:rPr>
        <w:t>3</w:t>
      </w:r>
      <w:r>
        <w:rPr>
          <w:rFonts w:hint="eastAsia" w:ascii="宋体" w:hAnsi="宋体" w:eastAsia="宋体" w:cs="Times New Roman"/>
          <w:color w:val="auto"/>
          <w:sz w:val="21"/>
          <w:szCs w:val="21"/>
          <w:highlight w:val="none"/>
          <w:u w:val="single"/>
        </w:rPr>
        <w:t>万元</w:t>
      </w:r>
    </w:p>
    <w:p>
      <w:pPr>
        <w:numPr>
          <w:ilvl w:val="-1"/>
          <w:numId w:val="0"/>
        </w:numPr>
        <w:spacing w:before="0" w:line="240" w:lineRule="auto"/>
        <w:ind w:left="0" w:firstLine="0" w:firstLineChars="0"/>
        <w:rPr>
          <w:rFonts w:hint="eastAsia" w:ascii="宋体" w:hAnsi="宋体" w:eastAsia="宋体" w:cs="Times New Roman"/>
          <w:color w:val="auto"/>
          <w:sz w:val="21"/>
          <w:szCs w:val="21"/>
          <w:highlight w:val="none"/>
          <w:u w:val="single"/>
          <w:lang w:val="en-US" w:eastAsia="zh-CN"/>
        </w:rPr>
      </w:pPr>
      <w:r>
        <w:rPr>
          <w:rFonts w:hint="eastAsia" w:ascii="宋体" w:hAnsi="宋体" w:eastAsia="宋体" w:cs="Times New Roman"/>
          <w:color w:val="auto"/>
          <w:sz w:val="21"/>
          <w:szCs w:val="21"/>
          <w:highlight w:val="none"/>
          <w:u w:val="single"/>
          <w:lang w:val="en-US" w:eastAsia="zh-CN"/>
        </w:rPr>
        <w:t>地质灾害危险性评估费：15×1.0×0.8×0.8=</w:t>
      </w:r>
      <w:r>
        <w:rPr>
          <w:rFonts w:hint="eastAsia" w:ascii="宋体" w:hAnsi="宋体" w:eastAsia="宋体" w:cs="Times New Roman"/>
          <w:color w:val="auto"/>
          <w:szCs w:val="21"/>
          <w:highlight w:val="none"/>
          <w:u w:val="single"/>
        </w:rPr>
        <w:t>9.6</w:t>
      </w:r>
      <w:r>
        <w:rPr>
          <w:rFonts w:hint="eastAsia" w:ascii="宋体" w:hAnsi="宋体" w:eastAsia="宋体" w:cs="Times New Roman"/>
          <w:color w:val="auto"/>
          <w:sz w:val="21"/>
          <w:szCs w:val="21"/>
          <w:highlight w:val="none"/>
          <w:u w:val="single"/>
          <w:lang w:val="en-US" w:eastAsia="zh-CN"/>
        </w:rPr>
        <w:t>万元</w:t>
      </w:r>
    </w:p>
    <w:p>
      <w:pPr>
        <w:numPr>
          <w:ilvl w:val="-1"/>
          <w:numId w:val="0"/>
        </w:numPr>
        <w:spacing w:before="0" w:line="240" w:lineRule="auto"/>
        <w:ind w:left="0" w:firstLine="0" w:firstLineChars="0"/>
        <w:rPr>
          <w:rFonts w:hint="eastAsia" w:ascii="宋体" w:hAnsi="宋体" w:eastAsia="宋体" w:cs="Times New Roman"/>
          <w:color w:val="auto"/>
          <w:sz w:val="21"/>
          <w:szCs w:val="21"/>
          <w:highlight w:val="none"/>
          <w:u w:val="single"/>
          <w:lang w:val="en-US" w:eastAsia="zh-CN"/>
        </w:rPr>
      </w:pPr>
      <w:r>
        <w:rPr>
          <w:rFonts w:hint="eastAsia" w:ascii="宋体" w:hAnsi="宋体" w:eastAsia="宋体" w:cs="Times New Roman"/>
          <w:color w:val="auto"/>
          <w:sz w:val="21"/>
          <w:szCs w:val="21"/>
          <w:highlight w:val="none"/>
          <w:u w:val="single"/>
          <w:lang w:val="en-US" w:eastAsia="zh-CN"/>
        </w:rPr>
        <w:t>（</w:t>
      </w:r>
      <w:r>
        <w:rPr>
          <w:rFonts w:hint="eastAsia" w:ascii="宋体" w:hAnsi="宋体" w:eastAsia="宋体" w:cs="Times New Roman"/>
          <w:color w:val="auto"/>
          <w:sz w:val="21"/>
          <w:szCs w:val="21"/>
          <w:highlight w:val="none"/>
          <w:u w:val="single"/>
        </w:rPr>
        <w:t>46.390</w:t>
      </w:r>
      <w:r>
        <w:rPr>
          <w:rFonts w:hint="eastAsia" w:ascii="宋体" w:hAnsi="宋体" w:eastAsia="宋体" w:cs="Times New Roman"/>
          <w:color w:val="auto"/>
          <w:sz w:val="21"/>
          <w:szCs w:val="21"/>
          <w:highlight w:val="none"/>
          <w:u w:val="single"/>
          <w:lang w:eastAsia="zh-CN"/>
        </w:rPr>
        <w:t>3</w:t>
      </w:r>
      <w:r>
        <w:rPr>
          <w:rFonts w:hint="eastAsia" w:ascii="宋体" w:hAnsi="宋体" w:eastAsia="宋体" w:cs="Times New Roman"/>
          <w:color w:val="auto"/>
          <w:sz w:val="21"/>
          <w:szCs w:val="21"/>
          <w:highlight w:val="none"/>
          <w:u w:val="single"/>
          <w:lang w:val="en-US" w:eastAsia="zh-CN"/>
        </w:rPr>
        <w:t>+</w:t>
      </w:r>
      <w:r>
        <w:rPr>
          <w:rFonts w:hint="eastAsia" w:ascii="宋体" w:hAnsi="宋体" w:eastAsia="宋体" w:cs="Times New Roman"/>
          <w:color w:val="auto"/>
          <w:szCs w:val="21"/>
          <w:highlight w:val="none"/>
          <w:u w:val="single"/>
        </w:rPr>
        <w:t>9.6</w:t>
      </w:r>
      <w:r>
        <w:rPr>
          <w:rFonts w:hint="eastAsia" w:ascii="宋体" w:hAnsi="宋体" w:eastAsia="宋体" w:cs="Times New Roman"/>
          <w:color w:val="auto"/>
          <w:sz w:val="21"/>
          <w:szCs w:val="21"/>
          <w:highlight w:val="none"/>
          <w:u w:val="single"/>
          <w:lang w:val="en-US" w:eastAsia="zh-CN"/>
        </w:rPr>
        <w:t>）×（1-下浮率）=    万元</w:t>
      </w:r>
    </w:p>
    <w:p>
      <w:pPr>
        <w:rPr>
          <w:rFonts w:hint="eastAsia" w:ascii="宋体" w:hAnsi="宋体" w:cs="Times New Roman"/>
          <w:color w:val="auto"/>
          <w:szCs w:val="21"/>
          <w:highlight w:val="none"/>
          <w:u w:val="single"/>
        </w:rPr>
      </w:pPr>
      <w:r>
        <w:rPr>
          <w:rFonts w:hint="eastAsia" w:ascii="宋体" w:hAnsi="宋体" w:cs="Times New Roman"/>
          <w:color w:val="auto"/>
          <w:szCs w:val="21"/>
          <w:highlight w:val="none"/>
          <w:u w:val="single"/>
          <w:lang w:val="en-US" w:eastAsia="zh-CN"/>
        </w:rPr>
        <w:t>6.2.1结算：①勘察、测量等费用根据甲方或甲方授权单位确认的工程量，</w:t>
      </w:r>
      <w:r>
        <w:rPr>
          <w:rFonts w:hint="eastAsia" w:ascii="宋体" w:hAnsi="宋体" w:cs="Times New Roman"/>
          <w:color w:val="auto"/>
          <w:szCs w:val="21"/>
          <w:highlight w:val="none"/>
          <w:u w:val="single"/>
        </w:rPr>
        <w:t>按照《工程勘察设计收费标准》2002年修订本(计价格[2002]10号)（以下简称“02标准”）计算并下浮</w:t>
      </w:r>
      <w:r>
        <w:rPr>
          <w:rFonts w:hint="eastAsia" w:ascii="宋体" w:hAnsi="宋体" w:cs="Times New Roman"/>
          <w:color w:val="FF0000"/>
          <w:szCs w:val="21"/>
          <w:highlight w:val="none"/>
          <w:u w:val="single"/>
        </w:rPr>
        <w:t>(中标人下浮率或0～10%)</w:t>
      </w:r>
      <w:r>
        <w:rPr>
          <w:rFonts w:hint="eastAsia" w:ascii="宋体" w:hAnsi="宋体" w:cs="Times New Roman"/>
          <w:color w:val="auto"/>
          <w:szCs w:val="21"/>
          <w:highlight w:val="none"/>
          <w:u w:val="single"/>
        </w:rPr>
        <w:t xml:space="preserve"> 后计取；但其中:a. 超前钻费用按照120元/米的固定综合单价进行计算；b.工程勘察的复杂程度根据项目的实际情况按《工程勘察设计收费标准》(计价格[2002]10号)规定选取。c.最终结算金额不超过概算批复勘察费。</w:t>
      </w:r>
    </w:p>
    <w:p>
      <w:pPr>
        <w:rPr>
          <w:rFonts w:hint="eastAsia" w:ascii="宋体" w:hAnsi="宋体" w:cs="Times New Roman"/>
          <w:color w:val="auto"/>
          <w:szCs w:val="21"/>
          <w:highlight w:val="none"/>
          <w:u w:val="single"/>
        </w:rPr>
      </w:pPr>
      <w:r>
        <w:rPr>
          <w:rFonts w:hint="eastAsia" w:ascii="宋体" w:hAnsi="宋体" w:eastAsia="宋体" w:cs="Times New Roman"/>
          <w:color w:val="auto"/>
          <w:szCs w:val="21"/>
          <w:highlight w:val="none"/>
          <w:u w:val="single"/>
        </w:rPr>
        <w:t>②</w:t>
      </w:r>
      <w:r>
        <w:rPr>
          <w:rFonts w:hint="eastAsia" w:ascii="宋体" w:hAnsi="宋体" w:cs="Times New Roman"/>
          <w:color w:val="auto"/>
          <w:szCs w:val="21"/>
          <w:highlight w:val="none"/>
          <w:u w:val="single"/>
        </w:rPr>
        <w:t>地质灾害危险性评估费用按《国家发展改革委办公厅、</w:t>
      </w:r>
      <w:del w:id="8" w:author="戴刚勇1" w:date="2024-04-24T09:26:28Z">
        <w:r>
          <w:rPr>
            <w:rFonts w:hint="eastAsia" w:ascii="宋体" w:hAnsi="宋体" w:cs="Times New Roman"/>
            <w:color w:val="auto"/>
            <w:szCs w:val="21"/>
            <w:highlight w:val="none"/>
            <w:u w:val="single"/>
          </w:rPr>
          <w:delText>国土资源部</w:delText>
        </w:r>
      </w:del>
      <w:ins w:id="9" w:author="戴刚勇1" w:date="2024-04-24T09:26:28Z">
        <w:r>
          <w:rPr>
            <w:rFonts w:hint="eastAsia" w:ascii="宋体" w:hAnsi="宋体" w:cs="Times New Roman"/>
            <w:color w:val="auto"/>
            <w:szCs w:val="21"/>
            <w:highlight w:val="none"/>
            <w:u w:val="single"/>
            <w:lang w:eastAsia="zh-CN"/>
          </w:rPr>
          <w:t>自然资源部</w:t>
        </w:r>
      </w:ins>
      <w:r>
        <w:rPr>
          <w:rFonts w:hint="eastAsia" w:ascii="宋体" w:hAnsi="宋体" w:cs="Times New Roman"/>
          <w:color w:val="auto"/>
          <w:szCs w:val="21"/>
          <w:highlight w:val="none"/>
          <w:u w:val="single"/>
        </w:rPr>
        <w:t>办公厅关于征求对地质灾害危险性评估收费管理办法意见的函》（发改办价格【2006】745号）并下浮</w:t>
      </w:r>
      <w:r>
        <w:rPr>
          <w:rFonts w:hint="eastAsia" w:ascii="宋体" w:hAnsi="宋体" w:cs="Times New Roman"/>
          <w:color w:val="auto"/>
          <w:szCs w:val="21"/>
          <w:highlight w:val="none"/>
          <w:u w:val="single"/>
          <w:lang w:val="en-US" w:eastAsia="zh-CN"/>
        </w:rPr>
        <w:t xml:space="preserve">    </w:t>
      </w:r>
      <w:r>
        <w:rPr>
          <w:rFonts w:hint="eastAsia" w:ascii="宋体" w:hAnsi="宋体" w:cs="Times New Roman"/>
          <w:color w:val="auto"/>
          <w:szCs w:val="21"/>
          <w:highlight w:val="none"/>
          <w:u w:val="single"/>
        </w:rPr>
        <w:t>%计取。</w:t>
      </w:r>
      <w:r>
        <w:rPr>
          <w:rFonts w:hint="eastAsia" w:ascii="宋体" w:hAnsi="宋体" w:eastAsia="宋体" w:cs="Times New Roman"/>
          <w:bCs w:val="0"/>
          <w:color w:val="auto"/>
          <w:sz w:val="21"/>
          <w:szCs w:val="21"/>
          <w:highlight w:val="none"/>
          <w:u w:val="single"/>
          <w:lang w:val="en-US" w:eastAsia="zh-CN"/>
        </w:rPr>
        <w:t>工程类别按线性工程、</w:t>
      </w:r>
      <w:r>
        <w:rPr>
          <w:rFonts w:hint="eastAsia" w:ascii="宋体" w:hAnsi="宋体" w:eastAsia="宋体" w:cs="Times New Roman"/>
          <w:color w:val="auto"/>
          <w:szCs w:val="21"/>
          <w:highlight w:val="none"/>
          <w:u w:val="single"/>
          <w:lang w:val="en-US" w:eastAsia="zh-CN"/>
        </w:rPr>
        <w:t>评估级别按</w:t>
      </w:r>
      <w:r>
        <w:rPr>
          <w:rFonts w:hint="eastAsia" w:ascii="宋体" w:hAnsi="宋体" w:eastAsia="宋体" w:cs="宋体"/>
          <w:bCs w:val="0"/>
          <w:color w:val="auto"/>
          <w:sz w:val="21"/>
          <w:szCs w:val="21"/>
          <w:highlight w:val="none"/>
          <w:u w:val="single"/>
          <w:lang w:val="en-US" w:eastAsia="zh-CN"/>
        </w:rPr>
        <w:t>Ⅰ</w:t>
      </w:r>
      <w:r>
        <w:rPr>
          <w:rFonts w:hint="eastAsia" w:ascii="宋体" w:hAnsi="宋体" w:eastAsia="宋体" w:cs="Times New Roman"/>
          <w:color w:val="auto"/>
          <w:szCs w:val="21"/>
          <w:highlight w:val="none"/>
          <w:u w:val="single"/>
          <w:lang w:val="en-US" w:eastAsia="zh-CN"/>
        </w:rPr>
        <w:t>级、复杂程度为</w:t>
      </w:r>
      <w:r>
        <w:rPr>
          <w:rFonts w:hint="eastAsia" w:ascii="宋体" w:hAnsi="宋体" w:eastAsia="宋体" w:cs="Times New Roman"/>
          <w:bCs w:val="0"/>
          <w:color w:val="auto"/>
          <w:sz w:val="21"/>
          <w:szCs w:val="21"/>
          <w:highlight w:val="none"/>
          <w:u w:val="single"/>
          <w:lang w:val="en-US" w:eastAsia="zh-CN"/>
        </w:rPr>
        <w:t>复杂</w:t>
      </w:r>
      <w:r>
        <w:rPr>
          <w:rFonts w:hint="eastAsia" w:ascii="宋体" w:hAnsi="宋体" w:eastAsia="宋体" w:cs="Times New Roman"/>
          <w:color w:val="auto"/>
          <w:szCs w:val="21"/>
          <w:highlight w:val="none"/>
          <w:u w:val="single"/>
          <w:lang w:val="en-US" w:eastAsia="zh-CN"/>
        </w:rPr>
        <w:t>，</w:t>
      </w:r>
      <w:r>
        <w:rPr>
          <w:rFonts w:hint="eastAsia" w:ascii="宋体" w:hAnsi="宋体" w:cs="Times New Roman"/>
          <w:color w:val="auto"/>
          <w:szCs w:val="21"/>
          <w:highlight w:val="none"/>
          <w:u w:val="single"/>
          <w:lang w:val="en-US" w:eastAsia="zh-CN"/>
        </w:rPr>
        <w:t>工程类别调整系数取0.8，工程规模调整系数取1.0，地区调整系数取0.8计算。</w:t>
      </w:r>
    </w:p>
    <w:p>
      <w:pPr>
        <w:rPr>
          <w:rFonts w:hint="eastAsia" w:ascii="宋体" w:hAnsi="宋体" w:cs="Times New Roman"/>
          <w:color w:val="auto"/>
          <w:szCs w:val="21"/>
          <w:highlight w:val="none"/>
          <w:u w:val="single"/>
        </w:rPr>
      </w:pPr>
      <w:r>
        <w:rPr>
          <w:rFonts w:hint="eastAsia" w:ascii="宋体" w:hAnsi="宋体" w:cs="Times New Roman"/>
          <w:color w:val="auto"/>
          <w:szCs w:val="21"/>
          <w:highlight w:val="none"/>
          <w:u w:val="single"/>
          <w:lang w:val="en-US" w:eastAsia="zh-CN"/>
        </w:rPr>
        <w:t>合同结算价上限价为50万元，最终结算价以政府相关部门审定或评审结果为准。</w:t>
      </w:r>
      <w:r>
        <w:rPr>
          <w:rFonts w:hint="eastAsia" w:ascii="宋体" w:hAnsi="宋体" w:cs="Times New Roman"/>
          <w:color w:val="auto"/>
          <w:szCs w:val="21"/>
          <w:highlight w:val="none"/>
          <w:u w:val="single"/>
        </w:rPr>
        <w:t xml:space="preserve">                                                              </w:t>
      </w:r>
    </w:p>
    <w:p>
      <w:pPr>
        <w:rPr>
          <w:rFonts w:hint="eastAsia" w:ascii="宋体" w:hAnsi="宋体" w:cs="Times New Roman"/>
          <w:color w:val="auto"/>
          <w:szCs w:val="21"/>
          <w:highlight w:val="none"/>
          <w:u w:val="single"/>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七、费用支付</w:t>
      </w:r>
    </w:p>
    <w:p>
      <w:pPr>
        <w:rPr>
          <w:rFonts w:hint="default" w:ascii="宋体" w:hAnsi="宋体" w:cs="宋体"/>
          <w:color w:val="auto"/>
          <w:kern w:val="0"/>
          <w:szCs w:val="21"/>
          <w:highlight w:val="none"/>
          <w:u w:val="single"/>
          <w:lang w:val="en-US" w:eastAsia="zh-CN"/>
        </w:rPr>
      </w:pPr>
      <w:r>
        <w:rPr>
          <w:rFonts w:hint="eastAsia" w:ascii="宋体" w:hAnsi="宋体" w:cs="宋体"/>
          <w:color w:val="auto"/>
          <w:kern w:val="0"/>
          <w:szCs w:val="21"/>
          <w:highlight w:val="none"/>
          <w:u w:val="single"/>
          <w:lang w:val="en-US" w:eastAsia="zh-CN"/>
        </w:rPr>
        <w:t>通用条款7.1.1替换为系列内容：</w:t>
      </w:r>
    </w:p>
    <w:p>
      <w:pPr>
        <w:rPr>
          <w:rFonts w:hint="eastAsia" w:ascii="宋体" w:hAnsi="宋体" w:eastAsia="宋体" w:cs="宋体"/>
          <w:color w:val="auto"/>
          <w:kern w:val="0"/>
          <w:szCs w:val="21"/>
          <w:highlight w:val="none"/>
          <w:u w:val="single"/>
          <w:lang w:eastAsia="zh-CN"/>
        </w:rPr>
      </w:pPr>
      <w:r>
        <w:rPr>
          <w:rFonts w:hint="eastAsia" w:ascii="宋体" w:hAnsi="宋体" w:cs="宋体"/>
          <w:color w:val="auto"/>
          <w:kern w:val="0"/>
          <w:szCs w:val="21"/>
          <w:highlight w:val="none"/>
          <w:u w:val="single"/>
        </w:rPr>
        <w:t>7.1.1勘察工作正常进行时，费用按阶段分期进行支付，具体步骤如下：</w:t>
      </w:r>
    </w:p>
    <w:p>
      <w:pPr>
        <w:rPr>
          <w:rFonts w:hint="eastAsia" w:ascii="宋体" w:hAnsi="宋体" w:eastAsia="宋体" w:cs="宋体"/>
          <w:color w:val="auto"/>
          <w:kern w:val="0"/>
          <w:szCs w:val="21"/>
          <w:highlight w:val="none"/>
          <w:u w:val="single"/>
          <w:lang w:eastAsia="zh-CN"/>
        </w:rPr>
      </w:pPr>
      <w:r>
        <w:rPr>
          <w:rFonts w:hint="eastAsia" w:ascii="宋体" w:hAnsi="宋体" w:cs="宋体"/>
          <w:color w:val="auto"/>
          <w:kern w:val="0"/>
          <w:szCs w:val="21"/>
          <w:highlight w:val="none"/>
          <w:u w:val="single"/>
        </w:rPr>
        <w:t xml:space="preserve">(1) 完成勘察测量工作且成果经甲方确认，支付至实际完成工作产值的70%； </w:t>
      </w:r>
    </w:p>
    <w:p>
      <w:pPr>
        <w:rPr>
          <w:rFonts w:hint="eastAsia" w:ascii="宋体" w:hAnsi="宋体" w:eastAsia="宋体" w:cs="宋体"/>
          <w:color w:val="auto"/>
          <w:kern w:val="0"/>
          <w:szCs w:val="21"/>
          <w:highlight w:val="none"/>
          <w:u w:val="single"/>
          <w:lang w:eastAsia="zh-CN"/>
        </w:rPr>
      </w:pPr>
      <w:r>
        <w:rPr>
          <w:rFonts w:hint="eastAsia" w:ascii="宋体" w:hAnsi="宋体" w:cs="宋体"/>
          <w:color w:val="auto"/>
          <w:kern w:val="0"/>
          <w:szCs w:val="21"/>
          <w:highlight w:val="none"/>
          <w:u w:val="single"/>
        </w:rPr>
        <w:t>(2) 基础工程(有且不限于基坑、边坡支护、路基处理、桩基等工程)施工完成通过相关检测，支付至合同结算价的</w:t>
      </w:r>
      <w:r>
        <w:rPr>
          <w:rFonts w:hint="eastAsia" w:ascii="宋体" w:hAnsi="宋体" w:cs="宋体"/>
          <w:color w:val="auto"/>
          <w:kern w:val="0"/>
          <w:szCs w:val="21"/>
          <w:highlight w:val="none"/>
          <w:u w:val="single"/>
          <w:lang w:val="en-US" w:eastAsia="zh-CN"/>
        </w:rPr>
        <w:t>85</w:t>
      </w:r>
      <w:r>
        <w:rPr>
          <w:rFonts w:hint="eastAsia" w:ascii="宋体" w:hAnsi="宋体" w:cs="宋体"/>
          <w:color w:val="auto"/>
          <w:kern w:val="0"/>
          <w:szCs w:val="21"/>
          <w:highlight w:val="none"/>
          <w:u w:val="single"/>
        </w:rPr>
        <w:t>%；</w:t>
      </w:r>
    </w:p>
    <w:p>
      <w:pPr>
        <w:rPr>
          <w:rFonts w:hint="eastAsia" w:ascii="宋体" w:hAnsi="宋体" w:cs="宋体"/>
          <w:color w:val="auto"/>
          <w:kern w:val="0"/>
          <w:szCs w:val="21"/>
          <w:highlight w:val="none"/>
          <w:u w:val="single"/>
        </w:rPr>
      </w:pP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val="en-US" w:eastAsia="zh-CN"/>
        </w:rPr>
        <w:t>3</w:t>
      </w:r>
      <w:r>
        <w:rPr>
          <w:rFonts w:hint="eastAsia" w:ascii="宋体" w:hAnsi="宋体" w:cs="宋体"/>
          <w:color w:val="auto"/>
          <w:kern w:val="0"/>
          <w:szCs w:val="21"/>
          <w:highlight w:val="none"/>
          <w:u w:val="single"/>
        </w:rPr>
        <w:t>) 工程竣工验收并经</w:t>
      </w:r>
      <w:r>
        <w:rPr>
          <w:rFonts w:hint="eastAsia" w:ascii="宋体" w:hAnsi="宋体" w:cs="宋体"/>
          <w:color w:val="auto"/>
          <w:kern w:val="0"/>
          <w:szCs w:val="21"/>
          <w:highlight w:val="none"/>
          <w:u w:val="single"/>
          <w:lang w:val="en-US" w:eastAsia="zh-CN"/>
        </w:rPr>
        <w:t>政府部门审核</w:t>
      </w:r>
      <w:r>
        <w:rPr>
          <w:rFonts w:hint="eastAsia" w:ascii="宋体" w:hAnsi="宋体" w:cs="宋体"/>
          <w:color w:val="auto"/>
          <w:kern w:val="0"/>
          <w:szCs w:val="21"/>
          <w:highlight w:val="none"/>
          <w:u w:val="single"/>
        </w:rPr>
        <w:t>后按审定结果支付余额（若出现超付现象，乙方必须退还超付款项）</w:t>
      </w:r>
    </w:p>
    <w:p>
      <w:pPr>
        <w:rPr>
          <w:rFonts w:hint="eastAsia" w:ascii="宋体" w:hAnsi="宋体" w:eastAsia="宋体" w:cs="宋体"/>
          <w:color w:val="auto"/>
          <w:kern w:val="0"/>
          <w:szCs w:val="21"/>
          <w:highlight w:val="none"/>
          <w:u w:val="single"/>
          <w:lang w:eastAsia="zh-CN"/>
        </w:rPr>
      </w:pPr>
      <w:r>
        <w:rPr>
          <w:rFonts w:hint="eastAsia" w:ascii="宋体" w:hAnsi="宋体" w:cs="宋体"/>
          <w:color w:val="auto"/>
          <w:kern w:val="0"/>
          <w:szCs w:val="21"/>
          <w:highlight w:val="none"/>
          <w:u w:val="single"/>
          <w:lang w:val="en-US" w:eastAsia="zh-CN"/>
        </w:rPr>
        <w:t>7.3替换为：乙方应按甲方相关管理要求提交请款资料，乙方发票开具对象为深圳市龙岗区建筑工务署。</w:t>
      </w:r>
    </w:p>
    <w:p>
      <w:pPr>
        <w:rPr>
          <w:rFonts w:hint="eastAsia" w:ascii="宋体" w:hAnsi="宋体" w:eastAsia="宋体" w:cs="宋体"/>
          <w:color w:val="auto"/>
          <w:kern w:val="0"/>
          <w:szCs w:val="21"/>
          <w:highlight w:val="none"/>
          <w:u w:val="single"/>
          <w:lang w:eastAsia="zh-CN"/>
        </w:rPr>
      </w:pPr>
    </w:p>
    <w:p>
      <w:pPr>
        <w:rPr>
          <w:rFonts w:hint="eastAsia" w:ascii="黑体" w:eastAsia="黑体" w:cs="Times New Roman"/>
          <w:b/>
          <w:bCs/>
          <w:color w:val="auto"/>
          <w:szCs w:val="21"/>
          <w:highlight w:val="none"/>
        </w:rPr>
      </w:pPr>
      <w:r>
        <w:rPr>
          <w:rFonts w:hint="eastAsia" w:ascii="黑体" w:eastAsia="黑体" w:cs="Times New Roman"/>
          <w:b/>
          <w:bCs/>
          <w:color w:val="auto"/>
          <w:szCs w:val="21"/>
          <w:highlight w:val="none"/>
        </w:rPr>
        <w:t>八、双方代表</w:t>
      </w:r>
    </w:p>
    <w:p>
      <w:pPr>
        <w:rPr>
          <w:rFonts w:hint="eastAsia" w:ascii="宋体" w:hAnsi="宋体" w:cs="Times New Roman"/>
          <w:color w:val="auto"/>
          <w:szCs w:val="21"/>
          <w:highlight w:val="none"/>
        </w:rPr>
      </w:pPr>
      <w:r>
        <w:rPr>
          <w:rFonts w:hint="eastAsia" w:ascii="宋体" w:hAnsi="宋体" w:cs="Times New Roman"/>
          <w:color w:val="auto"/>
          <w:szCs w:val="21"/>
          <w:highlight w:val="none"/>
        </w:rPr>
        <w:t>8.1.1甲方代表为：</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rPr>
        <w:t>； 联系电话：</w:t>
      </w:r>
      <w:r>
        <w:rPr>
          <w:rFonts w:hint="eastAsia" w:ascii="宋体" w:hAnsi="宋体" w:cs="Times New Roman"/>
          <w:color w:val="auto"/>
          <w:szCs w:val="21"/>
          <w:highlight w:val="none"/>
          <w:u w:val="single"/>
        </w:rPr>
        <w:t xml:space="preserve">    </w:t>
      </w:r>
      <w:r>
        <w:rPr>
          <w:rFonts w:hint="eastAsia" w:ascii="宋体" w:hAnsi="宋体" w:cs="Times New Roman"/>
          <w:color w:val="auto"/>
          <w:szCs w:val="21"/>
          <w:highlight w:val="none"/>
        </w:rPr>
        <w:t>。</w:t>
      </w:r>
    </w:p>
    <w:p>
      <w:pPr>
        <w:widowControl w:val="0"/>
        <w:ind w:firstLine="0" w:firstLineChars="0"/>
        <w:jc w:val="both"/>
        <w:rPr>
          <w:rFonts w:ascii="宋体" w:hAnsi="宋体" w:eastAsia="宋体" w:cs="Times New Roman"/>
          <w:b/>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8.1.2乙方代表为：</w:t>
      </w:r>
      <w:r>
        <w:rPr>
          <w:rFonts w:hint="eastAsia" w:ascii="宋体" w:hAnsi="宋体" w:eastAsia="宋体" w:cs="Times New Roman"/>
          <w:color w:val="auto"/>
          <w:kern w:val="2"/>
          <w:sz w:val="21"/>
          <w:szCs w:val="21"/>
          <w:highlight w:val="none"/>
          <w:u w:val="single"/>
          <w:lang w:val="en-US" w:eastAsia="zh-CN" w:bidi="ar-SA"/>
        </w:rPr>
        <w:t xml:space="preserve">       </w:t>
      </w:r>
      <w:r>
        <w:rPr>
          <w:rFonts w:hint="eastAsia" w:ascii="宋体" w:hAnsi="宋体" w:eastAsia="宋体" w:cs="Times New Roman"/>
          <w:color w:val="auto"/>
          <w:kern w:val="2"/>
          <w:sz w:val="21"/>
          <w:szCs w:val="21"/>
          <w:highlight w:val="none"/>
          <w:lang w:val="en-US" w:eastAsia="zh-CN" w:bidi="ar-SA"/>
        </w:rPr>
        <w:t>； 联系电话：</w:t>
      </w:r>
      <w:r>
        <w:rPr>
          <w:rFonts w:hint="eastAsia" w:ascii="宋体" w:hAnsi="宋体" w:eastAsia="宋体" w:cs="Times New Roman"/>
          <w:color w:val="auto"/>
          <w:kern w:val="2"/>
          <w:sz w:val="21"/>
          <w:szCs w:val="21"/>
          <w:highlight w:val="none"/>
          <w:u w:val="single"/>
          <w:lang w:val="en-US" w:eastAsia="zh-CN" w:bidi="ar-SA"/>
        </w:rPr>
        <w:t xml:space="preserve">     </w:t>
      </w:r>
      <w:r>
        <w:rPr>
          <w:rFonts w:hint="eastAsia" w:ascii="宋体" w:hAnsi="宋体" w:eastAsia="宋体" w:cs="Times New Roman"/>
          <w:color w:val="auto"/>
          <w:kern w:val="2"/>
          <w:sz w:val="21"/>
          <w:szCs w:val="21"/>
          <w:highlight w:val="none"/>
          <w:u w:val="none"/>
          <w:lang w:val="en-US" w:eastAsia="zh-CN" w:bidi="ar-SA"/>
        </w:rPr>
        <w:t>。</w:t>
      </w:r>
    </w:p>
    <w:p>
      <w:pPr>
        <w:rPr>
          <w:rFonts w:hint="eastAsia" w:ascii="宋体" w:hAnsi="宋体" w:cs="Times New Roman"/>
          <w:color w:val="auto"/>
          <w:szCs w:val="21"/>
          <w:highlight w:val="none"/>
        </w:rPr>
      </w:pPr>
      <w:r>
        <w:rPr>
          <w:rFonts w:hint="eastAsia" w:ascii="宋体" w:hAnsi="宋体" w:cs="Times New Roman"/>
          <w:color w:val="auto"/>
          <w:szCs w:val="21"/>
          <w:highlight w:val="none"/>
        </w:rPr>
        <w:t>8.1.3 合同暂定价超过1000万元（含），乙方需派一名常驻甲方代表，岗位招聘条件以甲方要求为准。</w:t>
      </w: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ascii="宋体" w:hAnsi="宋体" w:cs="Times New Roman"/>
          <w:color w:val="auto"/>
          <w:szCs w:val="21"/>
          <w:highlight w:val="none"/>
        </w:rPr>
      </w:pPr>
    </w:p>
    <w:p>
      <w:pPr>
        <w:pStyle w:val="2"/>
        <w:rPr>
          <w:rFonts w:hint="eastAsia" w:ascii="宋体" w:hAnsi="宋体" w:cs="Times New Roman"/>
          <w:color w:val="auto"/>
          <w:szCs w:val="21"/>
          <w:highlight w:val="none"/>
        </w:rPr>
      </w:pPr>
    </w:p>
    <w:p>
      <w:pPr>
        <w:rPr>
          <w:rFonts w:hint="eastAsia"/>
          <w:lang w:val="en-US" w:eastAsia="zh-CN"/>
        </w:rPr>
      </w:pPr>
    </w:p>
    <w:p>
      <w:pPr>
        <w:widowControl/>
        <w:numPr>
          <w:ilvl w:val="0"/>
          <w:numId w:val="4"/>
        </w:numPr>
        <w:spacing w:line="360" w:lineRule="auto"/>
        <w:jc w:val="center"/>
        <w:rPr>
          <w:rFonts w:ascii="宋体" w:hAnsi="宋体" w:cs="宋体"/>
          <w:b/>
          <w:sz w:val="36"/>
          <w:szCs w:val="36"/>
        </w:rPr>
      </w:pPr>
      <w:r>
        <w:rPr>
          <w:rFonts w:hint="eastAsia" w:ascii="宋体" w:hAnsi="宋体" w:cs="宋体"/>
          <w:b/>
          <w:sz w:val="36"/>
          <w:szCs w:val="36"/>
        </w:rPr>
        <w:t>委托文件</w:t>
      </w:r>
    </w:p>
    <w:p>
      <w:pPr>
        <w:pStyle w:val="43"/>
        <w:rPr>
          <w:rFonts w:hint="eastAsia" w:ascii="宋体" w:hAnsi="宋体" w:cs="宋体"/>
          <w:b/>
          <w:sz w:val="32"/>
          <w:szCs w:val="32"/>
        </w:rPr>
      </w:pPr>
    </w:p>
    <w:p>
      <w:pPr>
        <w:spacing w:line="560" w:lineRule="exact"/>
        <w:jc w:val="center"/>
        <w:rPr>
          <w:rFonts w:hint="eastAsia" w:ascii="宋体" w:hAnsi="宋体" w:cs="宋体"/>
          <w:b/>
          <w:sz w:val="32"/>
          <w:szCs w:val="32"/>
          <w:lang w:val="en-US" w:eastAsia="zh-CN"/>
        </w:rPr>
      </w:pPr>
      <w:r>
        <w:rPr>
          <w:rFonts w:hint="eastAsia" w:ascii="宋体" w:hAnsi="宋体" w:cs="宋体"/>
          <w:b/>
          <w:sz w:val="32"/>
          <w:szCs w:val="32"/>
        </w:rPr>
        <w:t>关于</w:t>
      </w:r>
      <w:r>
        <w:rPr>
          <w:rFonts w:hint="eastAsia" w:ascii="宋体" w:hAnsi="宋体" w:cs="宋体"/>
          <w:b/>
          <w:sz w:val="32"/>
          <w:szCs w:val="32"/>
          <w:lang w:val="en-US" w:eastAsia="zh-CN"/>
        </w:rPr>
        <w:t>深圳工业软件园配套道路及排洪渠迁改工程勘察</w:t>
      </w:r>
    </w:p>
    <w:p>
      <w:pPr>
        <w:spacing w:line="560" w:lineRule="exact"/>
        <w:jc w:val="center"/>
        <w:rPr>
          <w:rFonts w:hint="eastAsia" w:ascii="宋体" w:hAnsi="宋体" w:eastAsia="宋体" w:cs="宋体"/>
          <w:b/>
          <w:sz w:val="32"/>
          <w:szCs w:val="32"/>
        </w:rPr>
      </w:pPr>
      <w:r>
        <w:rPr>
          <w:rFonts w:hint="eastAsia" w:ascii="宋体" w:hAnsi="宋体" w:cs="宋体"/>
          <w:b/>
          <w:sz w:val="32"/>
          <w:szCs w:val="32"/>
        </w:rPr>
        <w:t>委托函</w:t>
      </w:r>
    </w:p>
    <w:p>
      <w:pPr>
        <w:spacing w:line="560" w:lineRule="atLeast"/>
        <w:rPr>
          <w:rFonts w:ascii="宋体" w:hAnsi="宋体" w:cs="宋体"/>
          <w:kern w:val="0"/>
          <w:sz w:val="28"/>
          <w:szCs w:val="28"/>
          <w:u w:val="single"/>
        </w:rPr>
      </w:pPr>
    </w:p>
    <w:p>
      <w:pPr>
        <w:spacing w:line="560" w:lineRule="atLeast"/>
        <w:rPr>
          <w:rFonts w:ascii="宋体" w:hAnsi="宋体" w:cs="宋体"/>
          <w:kern w:val="0"/>
          <w:sz w:val="28"/>
          <w:szCs w:val="28"/>
        </w:rPr>
      </w:pPr>
      <w:r>
        <w:rPr>
          <w:rFonts w:hint="eastAsia" w:ascii="宋体" w:hAnsi="宋体" w:cs="宋体"/>
          <w:kern w:val="0"/>
          <w:sz w:val="28"/>
          <w:szCs w:val="28"/>
          <w:u w:val="single"/>
        </w:rPr>
        <w:t xml:space="preserve">                    </w:t>
      </w:r>
      <w:r>
        <w:rPr>
          <w:rFonts w:hint="eastAsia" w:ascii="宋体" w:hAnsi="宋体" w:cs="宋体"/>
          <w:kern w:val="0"/>
          <w:sz w:val="28"/>
          <w:szCs w:val="28"/>
        </w:rPr>
        <w:t>:</w:t>
      </w:r>
    </w:p>
    <w:p>
      <w:pPr>
        <w:spacing w:line="560" w:lineRule="atLeast"/>
        <w:ind w:firstLine="560" w:firstLineChars="200"/>
        <w:rPr>
          <w:rFonts w:ascii="宋体" w:hAnsi="宋体" w:cs="宋体"/>
          <w:kern w:val="0"/>
          <w:sz w:val="28"/>
          <w:szCs w:val="28"/>
        </w:rPr>
      </w:pPr>
      <w:r>
        <w:rPr>
          <w:rFonts w:hint="eastAsia" w:ascii="宋体" w:hAnsi="宋体" w:cs="宋体"/>
          <w:kern w:val="0"/>
          <w:sz w:val="28"/>
          <w:szCs w:val="28"/>
        </w:rPr>
        <w:t>我司拟委托贵司提供</w:t>
      </w:r>
      <w:r>
        <w:rPr>
          <w:rFonts w:hint="eastAsia" w:ascii="宋体" w:hAnsi="宋体" w:cs="宋体"/>
          <w:kern w:val="0"/>
          <w:sz w:val="28"/>
          <w:szCs w:val="28"/>
          <w:u w:val="single"/>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rPr>
        <w:t>服务</w:t>
      </w:r>
      <w:r>
        <w:rPr>
          <w:rFonts w:hint="eastAsia" w:ascii="宋体" w:hAnsi="宋体" w:cs="宋体"/>
          <w:sz w:val="28"/>
          <w:szCs w:val="28"/>
        </w:rPr>
        <w:t>，</w:t>
      </w:r>
      <w:r>
        <w:rPr>
          <w:rFonts w:hint="eastAsia" w:ascii="宋体" w:hAnsi="宋体" w:cs="宋体"/>
          <w:sz w:val="28"/>
          <w:szCs w:val="28"/>
          <w:lang w:val="en-US" w:eastAsia="zh-CN"/>
        </w:rPr>
        <w:t>暂定</w:t>
      </w:r>
      <w:r>
        <w:rPr>
          <w:rFonts w:hint="eastAsia" w:ascii="宋体" w:hAnsi="宋体" w:cs="宋体"/>
          <w:kern w:val="0"/>
          <w:sz w:val="28"/>
          <w:szCs w:val="28"/>
        </w:rPr>
        <w:t>合同价为</w:t>
      </w:r>
      <w:r>
        <w:rPr>
          <w:rFonts w:hint="eastAsia" w:ascii="宋体" w:hAnsi="宋体" w:cs="宋体"/>
          <w:kern w:val="0"/>
          <w:sz w:val="28"/>
          <w:szCs w:val="28"/>
          <w:u w:val="single"/>
        </w:rPr>
        <w:t xml:space="preserve">            </w:t>
      </w:r>
      <w:r>
        <w:rPr>
          <w:rFonts w:hint="eastAsia" w:ascii="宋体" w:hAnsi="宋体" w:cs="宋体"/>
          <w:kern w:val="0"/>
          <w:sz w:val="28"/>
          <w:szCs w:val="28"/>
        </w:rPr>
        <w:t>万元</w:t>
      </w:r>
      <w:r>
        <w:rPr>
          <w:rFonts w:hint="eastAsia" w:ascii="宋体" w:hAnsi="宋体" w:cs="宋体"/>
          <w:sz w:val="28"/>
          <w:szCs w:val="28"/>
        </w:rPr>
        <w:t>。</w:t>
      </w:r>
      <w:r>
        <w:rPr>
          <w:rFonts w:hint="eastAsia" w:ascii="宋体" w:hAnsi="宋体" w:cs="宋体"/>
          <w:kern w:val="0"/>
          <w:sz w:val="28"/>
          <w:szCs w:val="28"/>
        </w:rPr>
        <w:t>请贵司收到此函后组织人员尽快开展工作，并与我</w:t>
      </w:r>
      <w:r>
        <w:rPr>
          <w:rFonts w:hint="eastAsia" w:ascii="宋体" w:hAnsi="宋体" w:cs="宋体"/>
          <w:kern w:val="0"/>
          <w:sz w:val="28"/>
          <w:szCs w:val="28"/>
          <w:lang w:val="en-US" w:eastAsia="zh-CN"/>
        </w:rPr>
        <w:t>司</w:t>
      </w:r>
      <w:r>
        <w:rPr>
          <w:rFonts w:hint="eastAsia" w:ascii="宋体" w:hAnsi="宋体" w:cs="宋体"/>
          <w:kern w:val="0"/>
          <w:sz w:val="28"/>
          <w:szCs w:val="28"/>
        </w:rPr>
        <w:t>联系协商签订合同事宜。</w:t>
      </w:r>
    </w:p>
    <w:p>
      <w:pPr>
        <w:spacing w:line="560" w:lineRule="atLeast"/>
        <w:ind w:firstLine="560" w:firstLineChars="200"/>
        <w:rPr>
          <w:rFonts w:ascii="宋体" w:hAnsi="宋体" w:cs="宋体"/>
          <w:sz w:val="28"/>
          <w:szCs w:val="28"/>
        </w:rPr>
      </w:pPr>
      <w:r>
        <w:rPr>
          <w:rFonts w:hint="eastAsia" w:ascii="宋体" w:hAnsi="宋体" w:cs="宋体"/>
          <w:sz w:val="28"/>
          <w:szCs w:val="28"/>
        </w:rPr>
        <w:t>此函。</w:t>
      </w:r>
    </w:p>
    <w:p>
      <w:pPr>
        <w:adjustRightInd w:val="0"/>
        <w:snapToGrid w:val="0"/>
        <w:spacing w:line="560" w:lineRule="atLeast"/>
        <w:ind w:firstLine="560" w:firstLineChars="200"/>
        <w:jc w:val="right"/>
        <w:rPr>
          <w:rFonts w:ascii="宋体" w:hAnsi="宋体" w:cs="宋体"/>
          <w:sz w:val="28"/>
          <w:szCs w:val="28"/>
        </w:rPr>
      </w:pPr>
    </w:p>
    <w:p>
      <w:pPr>
        <w:adjustRightInd w:val="0"/>
        <w:snapToGrid w:val="0"/>
        <w:spacing w:line="560" w:lineRule="atLeast"/>
        <w:ind w:firstLine="560" w:firstLineChars="200"/>
        <w:jc w:val="right"/>
        <w:rPr>
          <w:rFonts w:hint="eastAsia" w:ascii="宋体" w:hAnsi="宋体" w:cs="宋体"/>
          <w:sz w:val="28"/>
          <w:szCs w:val="28"/>
        </w:rPr>
      </w:pPr>
    </w:p>
    <w:p>
      <w:pPr>
        <w:adjustRightInd w:val="0"/>
        <w:snapToGrid w:val="0"/>
        <w:spacing w:line="560" w:lineRule="atLeast"/>
        <w:ind w:firstLine="560" w:firstLineChars="200"/>
        <w:jc w:val="right"/>
        <w:rPr>
          <w:rFonts w:hint="eastAsia" w:ascii="宋体" w:hAnsi="宋体" w:cs="宋体"/>
          <w:sz w:val="28"/>
          <w:szCs w:val="28"/>
        </w:rPr>
      </w:pPr>
    </w:p>
    <w:p>
      <w:pPr>
        <w:adjustRightInd w:val="0"/>
        <w:snapToGrid w:val="0"/>
        <w:spacing w:line="560" w:lineRule="atLeast"/>
        <w:ind w:firstLine="560" w:firstLineChars="200"/>
        <w:jc w:val="right"/>
        <w:rPr>
          <w:rFonts w:ascii="宋体" w:hAnsi="宋体" w:cs="宋体"/>
          <w:sz w:val="28"/>
          <w:szCs w:val="28"/>
        </w:rPr>
      </w:pPr>
      <w:r>
        <w:rPr>
          <w:rFonts w:hint="eastAsia" w:ascii="宋体" w:hAnsi="宋体" w:cs="宋体"/>
          <w:sz w:val="28"/>
          <w:szCs w:val="28"/>
        </w:rPr>
        <w:t xml:space="preserve">  </w:t>
      </w:r>
    </w:p>
    <w:p>
      <w:pPr>
        <w:adjustRightInd w:val="0"/>
        <w:snapToGrid w:val="0"/>
        <w:spacing w:line="560" w:lineRule="atLeast"/>
        <w:ind w:firstLine="560" w:firstLineChars="200"/>
        <w:jc w:val="right"/>
        <w:rPr>
          <w:rFonts w:ascii="宋体" w:hAnsi="宋体" w:cs="宋体"/>
          <w:sz w:val="28"/>
          <w:szCs w:val="28"/>
        </w:rPr>
      </w:pPr>
    </w:p>
    <w:p>
      <w:pPr>
        <w:adjustRightInd w:val="0"/>
        <w:snapToGrid w:val="0"/>
        <w:spacing w:line="560" w:lineRule="atLeast"/>
        <w:ind w:firstLine="560" w:firstLineChars="200"/>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b w:val="0"/>
          <w:color w:val="auto"/>
          <w:sz w:val="28"/>
          <w:szCs w:val="28"/>
          <w:highlight w:val="none"/>
          <w:u w:val="none"/>
        </w:rPr>
        <w:t>深圳市龙岗区城投高新技术产业投资开发有限公司</w:t>
      </w:r>
    </w:p>
    <w:p>
      <w:pPr>
        <w:pStyle w:val="2"/>
        <w:rPr>
          <w:rFonts w:hint="eastAsia"/>
        </w:rPr>
      </w:pPr>
    </w:p>
    <w:p>
      <w:pPr>
        <w:widowControl/>
        <w:spacing w:line="560" w:lineRule="atLeast"/>
        <w:jc w:val="center"/>
        <w:rPr>
          <w:rFonts w:hint="eastAsia" w:ascii="宋体" w:hAnsi="宋体" w:cs="宋体"/>
          <w:sz w:val="28"/>
          <w:szCs w:val="28"/>
        </w:rPr>
      </w:pPr>
      <w:r>
        <w:rPr>
          <w:rFonts w:hint="eastAsia" w:ascii="宋体" w:hAnsi="宋体" w:cs="宋体"/>
          <w:sz w:val="28"/>
          <w:szCs w:val="28"/>
        </w:rPr>
        <w:t xml:space="preserve">                          年  月   日</w:t>
      </w:r>
    </w:p>
    <w:p>
      <w:pPr>
        <w:pStyle w:val="2"/>
        <w:rPr>
          <w:rFonts w:hint="eastAsia" w:ascii="宋体" w:hAnsi="宋体" w:cs="宋体"/>
          <w:sz w:val="28"/>
          <w:szCs w:val="28"/>
        </w:rPr>
      </w:pPr>
    </w:p>
    <w:p>
      <w:r>
        <w:br w:type="page"/>
      </w:r>
    </w:p>
    <w:p>
      <w:pPr>
        <w:rPr>
          <w:rFonts w:hint="eastAsia"/>
          <w:b/>
          <w:bCs/>
          <w:sz w:val="28"/>
          <w:szCs w:val="28"/>
        </w:rPr>
      </w:pPr>
      <w:r>
        <w:rPr>
          <w:rFonts w:hint="eastAsia"/>
          <w:b/>
          <w:bCs/>
          <w:sz w:val="28"/>
          <w:szCs w:val="28"/>
        </w:rPr>
        <w:t>附件1：人员配备情况表</w:t>
      </w:r>
    </w:p>
    <w:tbl>
      <w:tblPr>
        <w:tblStyle w:val="5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727"/>
        <w:gridCol w:w="2938"/>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7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序号</w:t>
            </w:r>
          </w:p>
        </w:tc>
        <w:tc>
          <w:tcPr>
            <w:tcW w:w="1727"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姓名</w:t>
            </w:r>
          </w:p>
        </w:tc>
        <w:tc>
          <w:tcPr>
            <w:tcW w:w="2938"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专业职称</w:t>
            </w:r>
          </w:p>
        </w:tc>
        <w:tc>
          <w:tcPr>
            <w:tcW w:w="2878"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727" w:type="dxa"/>
          </w:tcPr>
          <w:p>
            <w:pPr>
              <w:rPr>
                <w:rFonts w:hint="eastAsia" w:ascii="仿宋_GB2312" w:hAnsi="仿宋_GB2312" w:eastAsia="仿宋_GB2312" w:cs="仿宋_GB2312"/>
                <w:b w:val="0"/>
                <w:bCs w:val="0"/>
                <w:sz w:val="28"/>
                <w:szCs w:val="28"/>
                <w:vertAlign w:val="baseline"/>
              </w:rPr>
            </w:pPr>
          </w:p>
        </w:tc>
        <w:tc>
          <w:tcPr>
            <w:tcW w:w="2938" w:type="dxa"/>
          </w:tcPr>
          <w:p>
            <w:pPr>
              <w:rPr>
                <w:rFonts w:hint="eastAsia" w:ascii="仿宋_GB2312" w:hAnsi="仿宋_GB2312" w:eastAsia="仿宋_GB2312" w:cs="仿宋_GB2312"/>
                <w:b w:val="0"/>
                <w:bCs w:val="0"/>
                <w:sz w:val="28"/>
                <w:szCs w:val="28"/>
                <w:vertAlign w:val="baseline"/>
              </w:rPr>
            </w:pPr>
          </w:p>
        </w:tc>
        <w:tc>
          <w:tcPr>
            <w:tcW w:w="2878"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1727" w:type="dxa"/>
          </w:tcPr>
          <w:p>
            <w:pPr>
              <w:rPr>
                <w:rFonts w:hint="eastAsia" w:ascii="仿宋_GB2312" w:hAnsi="仿宋_GB2312" w:eastAsia="仿宋_GB2312" w:cs="仿宋_GB2312"/>
                <w:b w:val="0"/>
                <w:bCs w:val="0"/>
                <w:sz w:val="28"/>
                <w:szCs w:val="28"/>
                <w:vertAlign w:val="baseline"/>
              </w:rPr>
            </w:pPr>
          </w:p>
        </w:tc>
        <w:tc>
          <w:tcPr>
            <w:tcW w:w="2938" w:type="dxa"/>
          </w:tcPr>
          <w:p>
            <w:pPr>
              <w:rPr>
                <w:rFonts w:hint="eastAsia" w:ascii="仿宋_GB2312" w:hAnsi="仿宋_GB2312" w:eastAsia="仿宋_GB2312" w:cs="仿宋_GB2312"/>
                <w:b w:val="0"/>
                <w:bCs w:val="0"/>
                <w:sz w:val="28"/>
                <w:szCs w:val="28"/>
                <w:vertAlign w:val="baseline"/>
              </w:rPr>
            </w:pPr>
          </w:p>
        </w:tc>
        <w:tc>
          <w:tcPr>
            <w:tcW w:w="2878"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1727" w:type="dxa"/>
          </w:tcPr>
          <w:p>
            <w:pPr>
              <w:rPr>
                <w:rFonts w:hint="eastAsia" w:ascii="仿宋_GB2312" w:hAnsi="仿宋_GB2312" w:eastAsia="仿宋_GB2312" w:cs="仿宋_GB2312"/>
                <w:b w:val="0"/>
                <w:bCs w:val="0"/>
                <w:sz w:val="28"/>
                <w:szCs w:val="28"/>
                <w:vertAlign w:val="baseline"/>
              </w:rPr>
            </w:pPr>
          </w:p>
        </w:tc>
        <w:tc>
          <w:tcPr>
            <w:tcW w:w="2938" w:type="dxa"/>
          </w:tcPr>
          <w:p>
            <w:pPr>
              <w:rPr>
                <w:rFonts w:hint="eastAsia" w:ascii="仿宋_GB2312" w:hAnsi="仿宋_GB2312" w:eastAsia="仿宋_GB2312" w:cs="仿宋_GB2312"/>
                <w:b w:val="0"/>
                <w:bCs w:val="0"/>
                <w:sz w:val="28"/>
                <w:szCs w:val="28"/>
                <w:vertAlign w:val="baseline"/>
              </w:rPr>
            </w:pPr>
          </w:p>
        </w:tc>
        <w:tc>
          <w:tcPr>
            <w:tcW w:w="2878"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1727" w:type="dxa"/>
          </w:tcPr>
          <w:p>
            <w:pPr>
              <w:rPr>
                <w:rFonts w:hint="eastAsia" w:ascii="仿宋_GB2312" w:hAnsi="仿宋_GB2312" w:eastAsia="仿宋_GB2312" w:cs="仿宋_GB2312"/>
                <w:b w:val="0"/>
                <w:bCs w:val="0"/>
                <w:sz w:val="28"/>
                <w:szCs w:val="28"/>
                <w:vertAlign w:val="baseline"/>
              </w:rPr>
            </w:pPr>
          </w:p>
        </w:tc>
        <w:tc>
          <w:tcPr>
            <w:tcW w:w="2938" w:type="dxa"/>
          </w:tcPr>
          <w:p>
            <w:pPr>
              <w:rPr>
                <w:rFonts w:hint="eastAsia" w:ascii="仿宋_GB2312" w:hAnsi="仿宋_GB2312" w:eastAsia="仿宋_GB2312" w:cs="仿宋_GB2312"/>
                <w:b w:val="0"/>
                <w:bCs w:val="0"/>
                <w:sz w:val="28"/>
                <w:szCs w:val="28"/>
                <w:vertAlign w:val="baseline"/>
              </w:rPr>
            </w:pPr>
          </w:p>
        </w:tc>
        <w:tc>
          <w:tcPr>
            <w:tcW w:w="2878"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1727" w:type="dxa"/>
          </w:tcPr>
          <w:p>
            <w:pPr>
              <w:rPr>
                <w:rFonts w:hint="eastAsia" w:ascii="仿宋_GB2312" w:hAnsi="仿宋_GB2312" w:eastAsia="仿宋_GB2312" w:cs="仿宋_GB2312"/>
                <w:b w:val="0"/>
                <w:bCs w:val="0"/>
                <w:sz w:val="28"/>
                <w:szCs w:val="28"/>
                <w:vertAlign w:val="baseline"/>
              </w:rPr>
            </w:pPr>
          </w:p>
        </w:tc>
        <w:tc>
          <w:tcPr>
            <w:tcW w:w="2938" w:type="dxa"/>
          </w:tcPr>
          <w:p>
            <w:pPr>
              <w:rPr>
                <w:rFonts w:hint="eastAsia" w:ascii="仿宋_GB2312" w:hAnsi="仿宋_GB2312" w:eastAsia="仿宋_GB2312" w:cs="仿宋_GB2312"/>
                <w:b w:val="0"/>
                <w:bCs w:val="0"/>
                <w:sz w:val="28"/>
                <w:szCs w:val="28"/>
                <w:vertAlign w:val="baseline"/>
              </w:rPr>
            </w:pPr>
          </w:p>
        </w:tc>
        <w:tc>
          <w:tcPr>
            <w:tcW w:w="2878"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79" w:type="dxa"/>
          </w:tcPr>
          <w:p>
            <w:pPr>
              <w:rPr>
                <w:rFonts w:hint="eastAsia" w:ascii="仿宋_GB2312" w:hAnsi="仿宋_GB2312" w:eastAsia="仿宋_GB2312" w:cs="仿宋_GB2312"/>
                <w:b w:val="0"/>
                <w:bCs w:val="0"/>
                <w:sz w:val="28"/>
                <w:szCs w:val="28"/>
                <w:vertAlign w:val="baseline"/>
                <w:lang w:val="en-US" w:eastAsia="zh-CN"/>
              </w:rPr>
            </w:pPr>
          </w:p>
        </w:tc>
        <w:tc>
          <w:tcPr>
            <w:tcW w:w="1727" w:type="dxa"/>
          </w:tcPr>
          <w:p>
            <w:pPr>
              <w:rPr>
                <w:rFonts w:hint="eastAsia" w:ascii="仿宋_GB2312" w:hAnsi="仿宋_GB2312" w:eastAsia="仿宋_GB2312" w:cs="仿宋_GB2312"/>
                <w:b w:val="0"/>
                <w:bCs w:val="0"/>
                <w:sz w:val="28"/>
                <w:szCs w:val="28"/>
                <w:vertAlign w:val="baseline"/>
              </w:rPr>
            </w:pPr>
          </w:p>
        </w:tc>
        <w:tc>
          <w:tcPr>
            <w:tcW w:w="2938" w:type="dxa"/>
          </w:tcPr>
          <w:p>
            <w:pPr>
              <w:rPr>
                <w:rFonts w:hint="eastAsia" w:ascii="仿宋_GB2312" w:hAnsi="仿宋_GB2312" w:eastAsia="仿宋_GB2312" w:cs="仿宋_GB2312"/>
                <w:b w:val="0"/>
                <w:bCs w:val="0"/>
                <w:sz w:val="28"/>
                <w:szCs w:val="28"/>
                <w:vertAlign w:val="baseline"/>
              </w:rPr>
            </w:pPr>
          </w:p>
        </w:tc>
        <w:tc>
          <w:tcPr>
            <w:tcW w:w="2878"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dxa"/>
          </w:tcPr>
          <w:p>
            <w:pPr>
              <w:rPr>
                <w:rFonts w:hint="eastAsia" w:ascii="仿宋_GB2312" w:hAnsi="仿宋_GB2312" w:eastAsia="仿宋_GB2312" w:cs="仿宋_GB2312"/>
                <w:b w:val="0"/>
                <w:bCs w:val="0"/>
                <w:sz w:val="28"/>
                <w:szCs w:val="28"/>
                <w:vertAlign w:val="baseline"/>
                <w:lang w:val="en-US" w:eastAsia="zh-CN"/>
              </w:rPr>
            </w:pPr>
          </w:p>
        </w:tc>
        <w:tc>
          <w:tcPr>
            <w:tcW w:w="1727" w:type="dxa"/>
          </w:tcPr>
          <w:p>
            <w:pPr>
              <w:rPr>
                <w:rFonts w:hint="eastAsia" w:ascii="仿宋_GB2312" w:hAnsi="仿宋_GB2312" w:eastAsia="仿宋_GB2312" w:cs="仿宋_GB2312"/>
                <w:b w:val="0"/>
                <w:bCs w:val="0"/>
                <w:sz w:val="28"/>
                <w:szCs w:val="28"/>
                <w:vertAlign w:val="baseline"/>
              </w:rPr>
            </w:pPr>
          </w:p>
        </w:tc>
        <w:tc>
          <w:tcPr>
            <w:tcW w:w="2938" w:type="dxa"/>
          </w:tcPr>
          <w:p>
            <w:pPr>
              <w:rPr>
                <w:rFonts w:hint="eastAsia" w:ascii="仿宋_GB2312" w:hAnsi="仿宋_GB2312" w:eastAsia="仿宋_GB2312" w:cs="仿宋_GB2312"/>
                <w:b w:val="0"/>
                <w:bCs w:val="0"/>
                <w:sz w:val="28"/>
                <w:szCs w:val="28"/>
                <w:vertAlign w:val="baseline"/>
              </w:rPr>
            </w:pPr>
          </w:p>
        </w:tc>
        <w:tc>
          <w:tcPr>
            <w:tcW w:w="2878" w:type="dxa"/>
          </w:tcPr>
          <w:p>
            <w:pPr>
              <w:rPr>
                <w:rFonts w:hint="eastAsia" w:ascii="仿宋_GB2312" w:hAnsi="仿宋_GB2312" w:eastAsia="仿宋_GB2312" w:cs="仿宋_GB2312"/>
                <w:b w:val="0"/>
                <w:bCs w:val="0"/>
                <w:sz w:val="28"/>
                <w:szCs w:val="28"/>
                <w:vertAlign w:val="baseline"/>
              </w:rPr>
            </w:pPr>
          </w:p>
        </w:tc>
      </w:tr>
    </w:tbl>
    <w:p>
      <w:pPr>
        <w:rPr>
          <w:rFonts w:hint="eastAsia"/>
          <w:b/>
          <w:bCs/>
          <w:sz w:val="28"/>
          <w:szCs w:val="28"/>
        </w:rPr>
      </w:pPr>
      <w:r>
        <w:rPr>
          <w:rFonts w:hint="eastAsia"/>
          <w:b/>
          <w:bCs/>
          <w:sz w:val="28"/>
          <w:szCs w:val="28"/>
        </w:rPr>
        <w:br w:type="page"/>
      </w:r>
    </w:p>
    <w:p>
      <w:pPr>
        <w:rPr>
          <w:rFonts w:hint="eastAsia"/>
          <w:b/>
          <w:bCs/>
          <w:sz w:val="28"/>
          <w:szCs w:val="28"/>
        </w:rPr>
      </w:pPr>
      <w:r>
        <w:rPr>
          <w:rFonts w:hint="eastAsia"/>
          <w:b/>
          <w:bCs/>
          <w:sz w:val="28"/>
          <w:szCs w:val="28"/>
        </w:rPr>
        <w:t>附件</w:t>
      </w:r>
      <w:r>
        <w:rPr>
          <w:rFonts w:hint="eastAsia"/>
          <w:b/>
          <w:bCs/>
          <w:sz w:val="28"/>
          <w:szCs w:val="28"/>
          <w:lang w:val="en-US" w:eastAsia="zh-CN"/>
        </w:rPr>
        <w:t>2</w:t>
      </w:r>
      <w:r>
        <w:rPr>
          <w:rFonts w:hint="eastAsia"/>
          <w:b/>
          <w:bCs/>
          <w:sz w:val="28"/>
          <w:szCs w:val="28"/>
        </w:rPr>
        <w:t>：履约评价</w:t>
      </w:r>
    </w:p>
    <w:p>
      <w:pPr>
        <w:pStyle w:val="28"/>
        <w:rPr>
          <w:rFonts w:hint="eastAsia"/>
        </w:rPr>
      </w:pPr>
    </w:p>
    <w:p>
      <w:pPr>
        <w:pStyle w:val="147"/>
        <w:spacing w:line="360" w:lineRule="auto"/>
        <w:ind w:firstLine="420" w:firstLineChars="200"/>
        <w:rPr>
          <w:rFonts w:ascii="宋体"/>
          <w:bCs/>
          <w:szCs w:val="21"/>
          <w:u w:val="single"/>
        </w:rPr>
      </w:pPr>
      <w:r>
        <w:rPr>
          <w:rFonts w:hint="eastAsia" w:ascii="宋体"/>
          <w:bCs/>
          <w:szCs w:val="21"/>
          <w:u w:val="single"/>
        </w:rPr>
        <w:t>1、本办法以</w:t>
      </w:r>
      <w:r>
        <w:rPr>
          <w:rFonts w:hint="eastAsia" w:ascii="宋体"/>
          <w:bCs/>
          <w:szCs w:val="21"/>
          <w:u w:val="single"/>
          <w:lang w:val="en-US" w:eastAsia="zh-CN"/>
        </w:rPr>
        <w:t>承包</w:t>
      </w:r>
      <w:r>
        <w:rPr>
          <w:rFonts w:hint="eastAsia" w:ascii="宋体"/>
          <w:bCs/>
          <w:szCs w:val="21"/>
          <w:u w:val="single"/>
        </w:rPr>
        <w:t>人的实际工作为根据，通过量化的方式对其工作进行全面评价，并奖优罚劣，以提高</w:t>
      </w:r>
      <w:r>
        <w:rPr>
          <w:rFonts w:hint="eastAsia" w:ascii="宋体"/>
          <w:bCs/>
          <w:szCs w:val="21"/>
          <w:u w:val="single"/>
          <w:lang w:val="en-US" w:eastAsia="zh-CN"/>
        </w:rPr>
        <w:t>承包</w:t>
      </w:r>
      <w:r>
        <w:rPr>
          <w:rFonts w:hint="eastAsia" w:ascii="宋体"/>
          <w:bCs/>
          <w:szCs w:val="21"/>
          <w:u w:val="single"/>
        </w:rPr>
        <w:t>人合同履约工作整体质量。</w:t>
      </w:r>
    </w:p>
    <w:p>
      <w:pPr>
        <w:pStyle w:val="147"/>
        <w:spacing w:line="360" w:lineRule="auto"/>
        <w:ind w:firstLine="420" w:firstLineChars="200"/>
        <w:rPr>
          <w:rFonts w:ascii="宋体"/>
          <w:bCs/>
          <w:szCs w:val="21"/>
          <w:u w:val="single"/>
        </w:rPr>
      </w:pPr>
      <w:r>
        <w:rPr>
          <w:rFonts w:hint="eastAsia" w:ascii="宋体"/>
          <w:bCs/>
          <w:szCs w:val="21"/>
          <w:u w:val="single"/>
        </w:rPr>
        <w:t>2、发包人有权依据</w:t>
      </w:r>
      <w:r>
        <w:rPr>
          <w:rFonts w:hint="eastAsia" w:ascii="宋体" w:hAnsi="Times New Roman" w:eastAsia="宋体" w:cs="Times New Roman"/>
          <w:bCs/>
          <w:sz w:val="21"/>
          <w:szCs w:val="21"/>
          <w:u w:val="single"/>
        </w:rPr>
        <w:t>《龙岗区建筑工务署承包商履约评价管理办法》</w:t>
      </w:r>
      <w:r>
        <w:rPr>
          <w:rFonts w:hint="eastAsia" w:ascii="宋体"/>
          <w:bCs/>
          <w:szCs w:val="21"/>
          <w:u w:val="single"/>
        </w:rPr>
        <w:t>及本合同约定对评价内容进行修订、补充和完善，承包人应无条件接受修订后的评价内容。</w:t>
      </w:r>
    </w:p>
    <w:p>
      <w:pPr>
        <w:pStyle w:val="147"/>
        <w:spacing w:line="360" w:lineRule="auto"/>
        <w:ind w:firstLine="420" w:firstLineChars="200"/>
        <w:rPr>
          <w:rFonts w:ascii="宋体"/>
          <w:bCs/>
          <w:szCs w:val="21"/>
          <w:u w:val="single"/>
        </w:rPr>
      </w:pPr>
      <w:r>
        <w:rPr>
          <w:rFonts w:hint="eastAsia" w:ascii="宋体"/>
          <w:bCs/>
          <w:szCs w:val="21"/>
          <w:u w:val="single"/>
        </w:rPr>
        <w:t>3、评价工作由发包人牵头，</w:t>
      </w:r>
      <w:r>
        <w:rPr>
          <w:rFonts w:hint="eastAsia" w:ascii="宋体"/>
          <w:bCs/>
          <w:szCs w:val="21"/>
          <w:u w:val="single"/>
          <w:lang w:val="en-US" w:eastAsia="zh-CN"/>
        </w:rPr>
        <w:t>承包</w:t>
      </w:r>
      <w:r>
        <w:rPr>
          <w:rFonts w:hint="eastAsia" w:ascii="宋体"/>
          <w:bCs/>
          <w:szCs w:val="21"/>
          <w:u w:val="single"/>
        </w:rPr>
        <w:t>人应无条件配合发包人对其进行评价，并无条件接受评价结果以及发包人依据</w:t>
      </w:r>
      <w:r>
        <w:rPr>
          <w:rFonts w:hint="eastAsia" w:ascii="宋体" w:hAnsi="Times New Roman" w:eastAsia="宋体" w:cs="Times New Roman"/>
          <w:bCs/>
          <w:sz w:val="21"/>
          <w:szCs w:val="21"/>
          <w:u w:val="single"/>
        </w:rPr>
        <w:t>《龙岗区建筑工务署承包商履约评价管理办法》</w:t>
      </w:r>
      <w:r>
        <w:rPr>
          <w:rFonts w:hint="eastAsia" w:ascii="宋体"/>
          <w:bCs/>
          <w:szCs w:val="21"/>
          <w:u w:val="single"/>
        </w:rPr>
        <w:t>对结果进行的应用，</w:t>
      </w:r>
      <w:r>
        <w:rPr>
          <w:rFonts w:hint="eastAsia" w:ascii="宋体"/>
          <w:bCs/>
          <w:szCs w:val="21"/>
          <w:u w:val="single"/>
          <w:lang w:val="en-US" w:eastAsia="zh-CN"/>
        </w:rPr>
        <w:t>承包</w:t>
      </w:r>
      <w:r>
        <w:rPr>
          <w:rFonts w:hint="eastAsia" w:ascii="宋体"/>
          <w:bCs/>
          <w:szCs w:val="21"/>
          <w:u w:val="single"/>
        </w:rPr>
        <w:t>人承诺不会因此提出任何延期、索赔等要求。</w:t>
      </w:r>
    </w:p>
    <w:p>
      <w:pPr>
        <w:pStyle w:val="147"/>
        <w:spacing w:line="360" w:lineRule="auto"/>
        <w:ind w:firstLine="420" w:firstLineChars="200"/>
        <w:rPr>
          <w:rFonts w:ascii="宋体"/>
          <w:bCs/>
          <w:szCs w:val="21"/>
        </w:rPr>
      </w:pPr>
      <w:r>
        <w:rPr>
          <w:rFonts w:hint="eastAsia" w:ascii="宋体"/>
          <w:bCs/>
          <w:szCs w:val="21"/>
        </w:rPr>
        <w:t>4、评分细则</w:t>
      </w:r>
    </w:p>
    <w:p>
      <w:pPr>
        <w:pStyle w:val="147"/>
        <w:spacing w:line="360" w:lineRule="auto"/>
        <w:ind w:firstLine="420" w:firstLineChars="200"/>
        <w:rPr>
          <w:rFonts w:ascii="宋体"/>
          <w:bCs/>
          <w:szCs w:val="21"/>
        </w:rPr>
      </w:pPr>
      <w:r>
        <w:rPr>
          <w:rFonts w:hint="eastAsia" w:ascii="宋体"/>
          <w:bCs/>
          <w:szCs w:val="21"/>
          <w:u w:val="single"/>
        </w:rPr>
        <w:t>（1）发包人依据</w:t>
      </w:r>
      <w:r>
        <w:rPr>
          <w:rFonts w:hint="eastAsia" w:ascii="宋体" w:hAnsi="Times New Roman" w:eastAsia="宋体" w:cs="Times New Roman"/>
          <w:bCs/>
          <w:sz w:val="21"/>
          <w:szCs w:val="21"/>
          <w:u w:val="single"/>
        </w:rPr>
        <w:t>《龙岗区建筑工务署承包商履约评价管理办法》</w:t>
      </w:r>
      <w:r>
        <w:rPr>
          <w:rFonts w:hint="eastAsia" w:ascii="宋体"/>
          <w:bCs/>
          <w:szCs w:val="21"/>
          <w:u w:val="single"/>
        </w:rPr>
        <w:t>及本合同约定对</w:t>
      </w:r>
      <w:r>
        <w:rPr>
          <w:rFonts w:hint="eastAsia" w:ascii="宋体"/>
          <w:bCs/>
          <w:szCs w:val="21"/>
          <w:u w:val="single"/>
          <w:lang w:val="en-US" w:eastAsia="zh-CN"/>
        </w:rPr>
        <w:t>承包</w:t>
      </w:r>
      <w:r>
        <w:rPr>
          <w:rFonts w:hint="eastAsia" w:ascii="宋体"/>
          <w:bCs/>
          <w:szCs w:val="21"/>
          <w:u w:val="single"/>
        </w:rPr>
        <w:t>人进行履约评价。</w:t>
      </w:r>
    </w:p>
    <w:p>
      <w:pPr>
        <w:pStyle w:val="147"/>
        <w:spacing w:line="360" w:lineRule="auto"/>
        <w:ind w:firstLine="420" w:firstLineChars="200"/>
        <w:rPr>
          <w:rFonts w:ascii="宋体"/>
          <w:bCs/>
          <w:szCs w:val="21"/>
          <w:highlight w:val="yellow"/>
          <w:u w:val="single"/>
        </w:rPr>
      </w:pPr>
      <w:r>
        <w:rPr>
          <w:rFonts w:hint="eastAsia" w:ascii="宋体"/>
          <w:bCs/>
          <w:szCs w:val="21"/>
          <w:u w:val="single"/>
        </w:rPr>
        <w:t>（2）每个类别根据各评分项目规定的评分细则进行打分。</w:t>
      </w:r>
    </w:p>
    <w:p>
      <w:pPr>
        <w:pStyle w:val="147"/>
        <w:spacing w:line="360" w:lineRule="auto"/>
        <w:ind w:firstLine="420" w:firstLineChars="200"/>
        <w:rPr>
          <w:rFonts w:ascii="宋体"/>
          <w:bCs/>
          <w:szCs w:val="21"/>
          <w:u w:val="single"/>
        </w:rPr>
      </w:pPr>
      <w:r>
        <w:rPr>
          <w:rFonts w:hint="eastAsia" w:ascii="宋体"/>
          <w:bCs/>
          <w:szCs w:val="21"/>
          <w:u w:val="single"/>
        </w:rPr>
        <w:t>（3）每个评分项目的打分不得超过该项目的标准分。</w:t>
      </w:r>
    </w:p>
    <w:p>
      <w:pPr>
        <w:pStyle w:val="147"/>
        <w:spacing w:line="360" w:lineRule="auto"/>
        <w:ind w:firstLine="420" w:firstLineChars="200"/>
        <w:rPr>
          <w:rFonts w:ascii="宋体"/>
          <w:bCs/>
          <w:szCs w:val="21"/>
        </w:rPr>
      </w:pPr>
      <w:r>
        <w:rPr>
          <w:rFonts w:hint="eastAsia" w:ascii="宋体"/>
          <w:bCs/>
          <w:szCs w:val="21"/>
        </w:rPr>
        <w:t>5、评价结果</w:t>
      </w:r>
    </w:p>
    <w:p>
      <w:pPr>
        <w:pStyle w:val="147"/>
        <w:spacing w:line="360" w:lineRule="auto"/>
        <w:ind w:firstLine="420" w:firstLineChars="200"/>
        <w:rPr>
          <w:rFonts w:hint="eastAsia" w:ascii="宋体" w:hAnsi="Times New Roman" w:cs="Times New Roman"/>
          <w:b w:val="0"/>
          <w:bCs/>
          <w:sz w:val="21"/>
          <w:szCs w:val="21"/>
          <w:u w:val="single"/>
        </w:rPr>
      </w:pPr>
      <w:r>
        <w:rPr>
          <w:rFonts w:hint="eastAsia" w:ascii="宋体"/>
          <w:bCs/>
          <w:szCs w:val="21"/>
          <w:u w:val="single"/>
        </w:rPr>
        <w:t>履约评价结果将按照</w:t>
      </w:r>
      <w:r>
        <w:rPr>
          <w:rFonts w:hint="eastAsia" w:ascii="宋体" w:hAnsi="Times New Roman" w:eastAsia="宋体" w:cs="Times New Roman"/>
          <w:bCs/>
          <w:sz w:val="21"/>
          <w:szCs w:val="21"/>
          <w:u w:val="single"/>
        </w:rPr>
        <w:t>《龙岗区建筑工务署承包商履约评价管理办法》</w:t>
      </w:r>
      <w:r>
        <w:rPr>
          <w:rFonts w:hint="eastAsia" w:ascii="宋体"/>
          <w:bCs/>
          <w:szCs w:val="21"/>
          <w:u w:val="single"/>
        </w:rPr>
        <w:t>进行运用。</w:t>
      </w:r>
    </w:p>
    <w:p>
      <w:pPr>
        <w:pStyle w:val="145"/>
        <w:numPr>
          <w:ilvl w:val="0"/>
          <w:numId w:val="5"/>
        </w:numPr>
        <w:spacing w:line="360" w:lineRule="auto"/>
        <w:ind w:left="720" w:firstLineChars="0"/>
        <w:jc w:val="left"/>
        <w:rPr>
          <w:rFonts w:ascii="宋体" w:hAnsi="宋体" w:cs="宋体"/>
          <w:sz w:val="24"/>
          <w:szCs w:val="24"/>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104"/>
        <w:jc w:val="center"/>
        <w:rPr>
          <w:rFonts w:ascii="宋体" w:hAnsi="宋体" w:cs="宋体"/>
          <w:color w:val="auto"/>
        </w:rPr>
      </w:pPr>
      <w:r>
        <w:rPr>
          <w:rFonts w:hint="eastAsia" w:ascii="宋体" w:eastAsia="宋体" w:cs="Times New Roman"/>
          <w:b/>
          <w:color w:val="auto"/>
          <w:spacing w:val="20"/>
          <w:kern w:val="2"/>
          <w:sz w:val="36"/>
          <w:szCs w:val="36"/>
        </w:rPr>
        <w:t>履约评价表</w:t>
      </w:r>
    </w:p>
    <w:tbl>
      <w:tblPr>
        <w:tblStyle w:val="53"/>
        <w:tblpPr w:leftFromText="180" w:rightFromText="180" w:vertAnchor="text" w:horzAnchor="page" w:tblpX="1609" w:tblpY="306"/>
        <w:tblOverlap w:val="never"/>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215"/>
        <w:gridCol w:w="1005"/>
        <w:gridCol w:w="3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48" w:type="dxa"/>
            <w:vAlign w:val="center"/>
          </w:tcPr>
          <w:p>
            <w:pPr>
              <w:rPr>
                <w:rFonts w:ascii="宋体" w:hAnsi="宋体"/>
                <w:b/>
                <w:sz w:val="18"/>
                <w:szCs w:val="18"/>
              </w:rPr>
            </w:pPr>
            <w:r>
              <w:rPr>
                <w:rFonts w:hint="eastAsia" w:ascii="宋体" w:hAnsi="宋体"/>
                <w:sz w:val="18"/>
                <w:szCs w:val="18"/>
              </w:rPr>
              <w:t>合同名称</w:t>
            </w:r>
          </w:p>
        </w:tc>
        <w:tc>
          <w:tcPr>
            <w:tcW w:w="4215" w:type="dxa"/>
            <w:vAlign w:val="center"/>
          </w:tcPr>
          <w:p>
            <w:pPr>
              <w:rPr>
                <w:rFonts w:ascii="宋体" w:hAnsi="宋体"/>
                <w:b/>
                <w:sz w:val="18"/>
                <w:szCs w:val="18"/>
              </w:rPr>
            </w:pPr>
          </w:p>
        </w:tc>
        <w:tc>
          <w:tcPr>
            <w:tcW w:w="1005" w:type="dxa"/>
            <w:vAlign w:val="center"/>
          </w:tcPr>
          <w:p>
            <w:pPr>
              <w:rPr>
                <w:rFonts w:ascii="宋体" w:hAnsi="宋体"/>
                <w:b/>
                <w:sz w:val="18"/>
                <w:szCs w:val="18"/>
              </w:rPr>
            </w:pPr>
            <w:r>
              <w:rPr>
                <w:rFonts w:hint="eastAsia" w:ascii="宋体" w:hAnsi="宋体"/>
                <w:sz w:val="18"/>
                <w:szCs w:val="18"/>
              </w:rPr>
              <w:t>承 包 商</w:t>
            </w:r>
          </w:p>
        </w:tc>
        <w:tc>
          <w:tcPr>
            <w:tcW w:w="3182" w:type="dxa"/>
            <w:vAlign w:val="center"/>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8" w:type="dxa"/>
            <w:vAlign w:val="center"/>
          </w:tcPr>
          <w:p>
            <w:pPr>
              <w:rPr>
                <w:rFonts w:ascii="宋体" w:hAnsi="宋体"/>
                <w:b/>
                <w:sz w:val="18"/>
                <w:szCs w:val="18"/>
              </w:rPr>
            </w:pPr>
            <w:r>
              <w:rPr>
                <w:rFonts w:hint="eastAsia" w:ascii="宋体" w:hAnsi="宋体"/>
                <w:sz w:val="18"/>
                <w:szCs w:val="18"/>
              </w:rPr>
              <w:t>合同编号</w:t>
            </w:r>
          </w:p>
        </w:tc>
        <w:tc>
          <w:tcPr>
            <w:tcW w:w="4215" w:type="dxa"/>
            <w:vAlign w:val="center"/>
          </w:tcPr>
          <w:p>
            <w:pPr>
              <w:rPr>
                <w:rFonts w:ascii="宋体" w:hAnsi="宋体"/>
                <w:b/>
                <w:sz w:val="18"/>
                <w:szCs w:val="18"/>
              </w:rPr>
            </w:pPr>
          </w:p>
        </w:tc>
        <w:tc>
          <w:tcPr>
            <w:tcW w:w="1005" w:type="dxa"/>
            <w:vAlign w:val="center"/>
          </w:tcPr>
          <w:p>
            <w:pPr>
              <w:rPr>
                <w:rFonts w:ascii="宋体" w:hAnsi="宋体"/>
                <w:b/>
                <w:sz w:val="18"/>
                <w:szCs w:val="18"/>
              </w:rPr>
            </w:pPr>
            <w:r>
              <w:rPr>
                <w:rFonts w:hint="eastAsia" w:ascii="宋体" w:hAnsi="宋体"/>
                <w:sz w:val="18"/>
                <w:szCs w:val="18"/>
              </w:rPr>
              <w:t>组织单位</w:t>
            </w:r>
          </w:p>
        </w:tc>
        <w:tc>
          <w:tcPr>
            <w:tcW w:w="3182" w:type="dxa"/>
            <w:vAlign w:val="center"/>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48" w:type="dxa"/>
            <w:vAlign w:val="center"/>
          </w:tcPr>
          <w:p>
            <w:pPr>
              <w:rPr>
                <w:rFonts w:ascii="宋体" w:hAnsi="宋体"/>
                <w:b/>
                <w:sz w:val="18"/>
                <w:szCs w:val="18"/>
              </w:rPr>
            </w:pPr>
            <w:r>
              <w:rPr>
                <w:rFonts w:hint="eastAsia" w:ascii="宋体" w:hAnsi="宋体"/>
                <w:sz w:val="18"/>
                <w:szCs w:val="18"/>
              </w:rPr>
              <w:t>评价类型</w:t>
            </w:r>
          </w:p>
        </w:tc>
        <w:tc>
          <w:tcPr>
            <w:tcW w:w="4215" w:type="dxa"/>
            <w:vAlign w:val="center"/>
          </w:tcPr>
          <w:p>
            <w:pPr>
              <w:rPr>
                <w:rFonts w:ascii="宋体" w:hAnsi="宋体"/>
                <w:b/>
                <w:sz w:val="18"/>
                <w:szCs w:val="18"/>
              </w:rPr>
            </w:pPr>
          </w:p>
        </w:tc>
        <w:tc>
          <w:tcPr>
            <w:tcW w:w="1005" w:type="dxa"/>
            <w:vAlign w:val="center"/>
          </w:tcPr>
          <w:p>
            <w:pPr>
              <w:rPr>
                <w:rFonts w:ascii="宋体" w:hAnsi="宋体"/>
                <w:b/>
                <w:sz w:val="18"/>
                <w:szCs w:val="18"/>
              </w:rPr>
            </w:pPr>
            <w:r>
              <w:rPr>
                <w:rFonts w:hint="eastAsia" w:ascii="宋体" w:hAnsi="宋体"/>
                <w:sz w:val="18"/>
                <w:szCs w:val="18"/>
              </w:rPr>
              <w:t>评价时间</w:t>
            </w:r>
          </w:p>
        </w:tc>
        <w:tc>
          <w:tcPr>
            <w:tcW w:w="3182" w:type="dxa"/>
            <w:vAlign w:val="center"/>
          </w:tcPr>
          <w:p>
            <w:pPr>
              <w:ind w:firstLine="1080" w:firstLineChars="600"/>
              <w:rPr>
                <w:rFonts w:ascii="宋体" w:hAnsi="宋体"/>
                <w:b/>
                <w:sz w:val="18"/>
                <w:szCs w:val="18"/>
              </w:rPr>
            </w:pPr>
            <w:r>
              <w:rPr>
                <w:rFonts w:hint="eastAsia" w:ascii="宋体" w:hAnsi="宋体"/>
                <w:sz w:val="18"/>
                <w:szCs w:val="18"/>
              </w:rPr>
              <w:t>年   月   日</w:t>
            </w:r>
          </w:p>
        </w:tc>
      </w:tr>
    </w:tbl>
    <w:p>
      <w:pPr>
        <w:pStyle w:val="43"/>
        <w:rPr>
          <w:color w:val="FF0000"/>
          <w:highlight w:val="yellow"/>
        </w:rPr>
      </w:pPr>
    </w:p>
    <w:tbl>
      <w:tblPr>
        <w:tblStyle w:val="53"/>
        <w:tblpPr w:leftFromText="180" w:rightFromText="180" w:vertAnchor="text" w:horzAnchor="page" w:tblpX="1665" w:tblpY="278"/>
        <w:tblOverlap w:val="never"/>
        <w:tblW w:w="9042" w:type="dxa"/>
        <w:tblInd w:w="0" w:type="dxa"/>
        <w:tblLayout w:type="fixed"/>
        <w:tblCellMar>
          <w:top w:w="0" w:type="dxa"/>
          <w:left w:w="108" w:type="dxa"/>
          <w:bottom w:w="0" w:type="dxa"/>
          <w:right w:w="108" w:type="dxa"/>
        </w:tblCellMar>
      </w:tblPr>
      <w:tblGrid>
        <w:gridCol w:w="720"/>
        <w:gridCol w:w="1107"/>
        <w:gridCol w:w="1053"/>
        <w:gridCol w:w="2997"/>
        <w:gridCol w:w="2475"/>
        <w:gridCol w:w="690"/>
      </w:tblGrid>
      <w:tr>
        <w:tblPrEx>
          <w:tblCellMar>
            <w:top w:w="0" w:type="dxa"/>
            <w:left w:w="108" w:type="dxa"/>
            <w:bottom w:w="0" w:type="dxa"/>
            <w:right w:w="108" w:type="dxa"/>
          </w:tblCellMar>
        </w:tblPrEx>
        <w:trPr>
          <w:trHeight w:val="70" w:hRule="atLeast"/>
        </w:trPr>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序号</w:t>
            </w:r>
          </w:p>
        </w:tc>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分项内容</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spacing w:val="-10"/>
                <w:kern w:val="0"/>
                <w:sz w:val="18"/>
                <w:szCs w:val="18"/>
              </w:rPr>
            </w:pPr>
            <w:r>
              <w:rPr>
                <w:rFonts w:hint="eastAsia" w:ascii="宋体" w:hAnsi="宋体" w:cs="宋体"/>
                <w:spacing w:val="-10"/>
                <w:kern w:val="0"/>
                <w:sz w:val="18"/>
                <w:szCs w:val="18"/>
              </w:rPr>
              <w:t>满分值</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评 价 指 标</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评 分 标 准</w:t>
            </w:r>
          </w:p>
        </w:tc>
        <w:tc>
          <w:tcPr>
            <w:tcW w:w="690"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3" w:hRule="atLeast"/>
        </w:trPr>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cs="宋体"/>
                <w:b/>
                <w:bCs/>
                <w:kern w:val="0"/>
                <w:sz w:val="18"/>
                <w:szCs w:val="18"/>
              </w:rPr>
              <w:t xml:space="preserve">一  </w:t>
            </w:r>
          </w:p>
        </w:tc>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cs="宋体"/>
                <w:b/>
                <w:bCs/>
                <w:kern w:val="0"/>
                <w:sz w:val="18"/>
                <w:szCs w:val="18"/>
              </w:rPr>
              <w:t>人员设备配置</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cs="宋体"/>
                <w:b/>
                <w:bCs/>
                <w:kern w:val="0"/>
                <w:sz w:val="18"/>
                <w:szCs w:val="18"/>
              </w:rPr>
              <w:t>30</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p>
        </w:tc>
        <w:tc>
          <w:tcPr>
            <w:tcW w:w="690" w:type="dxa"/>
            <w:tcBorders>
              <w:top w:val="nil"/>
              <w:left w:val="nil"/>
              <w:bottom w:val="single" w:color="auto" w:sz="4" w:space="0"/>
              <w:right w:val="single" w:color="auto" w:sz="4" w:space="0"/>
            </w:tcBorders>
            <w:shd w:val="clear" w:color="auto" w:fill="FFFFFF"/>
            <w:vAlign w:val="center"/>
          </w:tcPr>
          <w:p>
            <w:pPr>
              <w:rPr>
                <w:rFonts w:ascii="宋体" w:hAnsi="宋体"/>
                <w:sz w:val="18"/>
                <w:szCs w:val="18"/>
              </w:rPr>
            </w:pPr>
          </w:p>
        </w:tc>
      </w:tr>
      <w:tr>
        <w:tblPrEx>
          <w:tblCellMar>
            <w:top w:w="0" w:type="dxa"/>
            <w:left w:w="108" w:type="dxa"/>
            <w:bottom w:w="0" w:type="dxa"/>
            <w:right w:w="108" w:type="dxa"/>
          </w:tblCellMar>
        </w:tblPrEx>
        <w:trPr>
          <w:trHeight w:val="71"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1</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60" w:lineRule="exact"/>
              <w:rPr>
                <w:rFonts w:ascii="宋体" w:hAnsi="宋体" w:cs="宋体"/>
                <w:kern w:val="0"/>
                <w:sz w:val="18"/>
                <w:szCs w:val="18"/>
              </w:rPr>
            </w:pPr>
            <w:r>
              <w:rPr>
                <w:rFonts w:hint="eastAsia" w:ascii="宋体" w:hAnsi="宋体" w:cs="宋体"/>
                <w:kern w:val="0"/>
                <w:sz w:val="18"/>
                <w:szCs w:val="18"/>
              </w:rPr>
              <w:t>主要人员</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cs="宋体"/>
                <w:bCs/>
                <w:kern w:val="0"/>
                <w:sz w:val="18"/>
                <w:szCs w:val="18"/>
              </w:rPr>
              <w:t>5</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sz w:val="18"/>
                <w:szCs w:val="18"/>
              </w:rPr>
              <w:t>项目负责人</w:t>
            </w:r>
            <w:r>
              <w:rPr>
                <w:rFonts w:hint="eastAsia" w:ascii="宋体" w:hAnsi="宋体" w:cs="宋体"/>
                <w:kern w:val="0"/>
                <w:sz w:val="18"/>
                <w:szCs w:val="18"/>
              </w:rPr>
              <w:t>是否</w:t>
            </w:r>
            <w:r>
              <w:rPr>
                <w:rFonts w:hint="eastAsia" w:ascii="宋体" w:hAnsi="宋体"/>
                <w:sz w:val="18"/>
                <w:szCs w:val="18"/>
              </w:rPr>
              <w:t>按合同到位</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sz w:val="18"/>
                <w:szCs w:val="18"/>
              </w:rPr>
              <w:t>未按合同到位扣5分。</w:t>
            </w:r>
          </w:p>
        </w:tc>
        <w:tc>
          <w:tcPr>
            <w:tcW w:w="690" w:type="dxa"/>
            <w:tcBorders>
              <w:top w:val="nil"/>
              <w:left w:val="nil"/>
              <w:bottom w:val="single" w:color="auto" w:sz="4" w:space="0"/>
              <w:right w:val="single" w:color="auto" w:sz="4" w:space="0"/>
            </w:tcBorders>
            <w:shd w:val="clear" w:color="auto" w:fill="FFFFFF"/>
            <w:vAlign w:val="center"/>
          </w:tcPr>
          <w:p>
            <w:pPr>
              <w:rPr>
                <w:rFonts w:ascii="宋体" w:hAnsi="宋体"/>
                <w:sz w:val="18"/>
                <w:szCs w:val="18"/>
              </w:rPr>
            </w:pPr>
          </w:p>
        </w:tc>
      </w:tr>
      <w:tr>
        <w:tblPrEx>
          <w:tblCellMar>
            <w:top w:w="0" w:type="dxa"/>
            <w:left w:w="108" w:type="dxa"/>
            <w:bottom w:w="0" w:type="dxa"/>
            <w:right w:w="108" w:type="dxa"/>
          </w:tblCellMar>
        </w:tblPrEx>
        <w:trPr>
          <w:trHeight w:val="303" w:hRule="atLeast"/>
        </w:trPr>
        <w:tc>
          <w:tcPr>
            <w:tcW w:w="7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p>
        </w:tc>
        <w:tc>
          <w:tcPr>
            <w:tcW w:w="11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b/>
                <w:bCs/>
                <w:kern w:val="0"/>
                <w:sz w:val="18"/>
                <w:szCs w:val="18"/>
              </w:rPr>
            </w:pP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10</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b/>
                <w:bCs/>
                <w:kern w:val="0"/>
                <w:sz w:val="18"/>
                <w:szCs w:val="18"/>
              </w:rPr>
            </w:pPr>
            <w:r>
              <w:rPr>
                <w:rFonts w:hint="eastAsia" w:ascii="宋体" w:hAnsi="宋体"/>
                <w:sz w:val="18"/>
                <w:szCs w:val="18"/>
              </w:rPr>
              <w:t>项目技术负责人、技术人员</w:t>
            </w:r>
            <w:r>
              <w:rPr>
                <w:rFonts w:hint="eastAsia" w:ascii="宋体" w:hAnsi="宋体" w:cs="宋体"/>
                <w:kern w:val="0"/>
                <w:sz w:val="18"/>
                <w:szCs w:val="18"/>
              </w:rPr>
              <w:t>是否</w:t>
            </w:r>
            <w:r>
              <w:rPr>
                <w:rFonts w:hint="eastAsia" w:ascii="宋体" w:hAnsi="宋体"/>
                <w:sz w:val="18"/>
                <w:szCs w:val="18"/>
              </w:rPr>
              <w:t>按合同到位</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b/>
                <w:bCs/>
                <w:kern w:val="0"/>
                <w:sz w:val="18"/>
                <w:szCs w:val="18"/>
              </w:rPr>
            </w:pPr>
            <w:r>
              <w:rPr>
                <w:rFonts w:hint="eastAsia" w:ascii="宋体" w:hAnsi="宋体"/>
                <w:sz w:val="18"/>
                <w:szCs w:val="18"/>
              </w:rPr>
              <w:t>项目技术负责人、技术人员未按合同到位，擅自更换人员，每人次扣3-5分，扣完为止。</w:t>
            </w:r>
          </w:p>
        </w:tc>
        <w:tc>
          <w:tcPr>
            <w:tcW w:w="690" w:type="dxa"/>
            <w:tcBorders>
              <w:top w:val="nil"/>
              <w:left w:val="nil"/>
              <w:bottom w:val="single" w:color="auto" w:sz="4" w:space="0"/>
              <w:right w:val="single" w:color="auto" w:sz="4" w:space="0"/>
            </w:tcBorders>
            <w:shd w:val="clear" w:color="auto" w:fill="FFFFFF"/>
            <w:vAlign w:val="center"/>
          </w:tcPr>
          <w:p>
            <w:pPr>
              <w:rPr>
                <w:rFonts w:ascii="宋体" w:hAnsi="宋体"/>
                <w:sz w:val="18"/>
                <w:szCs w:val="18"/>
              </w:rPr>
            </w:pPr>
          </w:p>
        </w:tc>
      </w:tr>
      <w:tr>
        <w:tblPrEx>
          <w:tblCellMar>
            <w:top w:w="0" w:type="dxa"/>
            <w:left w:w="108" w:type="dxa"/>
            <w:bottom w:w="0" w:type="dxa"/>
            <w:right w:w="108" w:type="dxa"/>
          </w:tblCellMar>
        </w:tblPrEx>
        <w:trPr>
          <w:trHeight w:val="303" w:hRule="atLeast"/>
        </w:trPr>
        <w:tc>
          <w:tcPr>
            <w:tcW w:w="7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p>
        </w:tc>
        <w:tc>
          <w:tcPr>
            <w:tcW w:w="11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b/>
                <w:bCs/>
                <w:kern w:val="0"/>
                <w:sz w:val="18"/>
                <w:szCs w:val="18"/>
              </w:rPr>
            </w:pP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5</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cs="宋体"/>
                <w:kern w:val="0"/>
                <w:sz w:val="18"/>
                <w:szCs w:val="18"/>
              </w:rPr>
              <w:t>特殊工种人员是否持证上岗</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bCs/>
                <w:kern w:val="0"/>
                <w:sz w:val="18"/>
                <w:szCs w:val="18"/>
              </w:rPr>
            </w:pPr>
            <w:r>
              <w:rPr>
                <w:rFonts w:hint="eastAsia" w:ascii="宋体" w:hAnsi="宋体" w:cs="宋体"/>
                <w:bCs/>
                <w:kern w:val="0"/>
                <w:sz w:val="18"/>
                <w:szCs w:val="18"/>
              </w:rPr>
              <w:t>不持证上岗的，每人</w:t>
            </w:r>
            <w:r>
              <w:rPr>
                <w:rFonts w:hint="eastAsia" w:ascii="宋体" w:hAnsi="宋体"/>
                <w:sz w:val="18"/>
                <w:szCs w:val="18"/>
              </w:rPr>
              <w:t>次</w:t>
            </w:r>
            <w:r>
              <w:rPr>
                <w:rFonts w:hint="eastAsia" w:ascii="宋体" w:hAnsi="宋体" w:cs="宋体"/>
                <w:bCs/>
                <w:kern w:val="0"/>
                <w:sz w:val="18"/>
                <w:szCs w:val="18"/>
              </w:rPr>
              <w:t>扣2分，</w:t>
            </w:r>
            <w:r>
              <w:rPr>
                <w:rFonts w:hint="eastAsia" w:ascii="宋体" w:hAnsi="宋体"/>
                <w:sz w:val="18"/>
                <w:szCs w:val="18"/>
              </w:rPr>
              <w:t>扣完为止。</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18"/>
                <w:szCs w:val="18"/>
              </w:rPr>
            </w:pPr>
          </w:p>
        </w:tc>
      </w:tr>
      <w:tr>
        <w:tblPrEx>
          <w:tblCellMar>
            <w:top w:w="0" w:type="dxa"/>
            <w:left w:w="108" w:type="dxa"/>
            <w:bottom w:w="0" w:type="dxa"/>
            <w:right w:w="108" w:type="dxa"/>
          </w:tblCellMar>
        </w:tblPrEx>
        <w:trPr>
          <w:trHeight w:val="306"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2</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主要设备</w:t>
            </w: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10</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kern w:val="0"/>
                <w:sz w:val="18"/>
                <w:szCs w:val="18"/>
              </w:rPr>
            </w:pPr>
            <w:r>
              <w:rPr>
                <w:rFonts w:hint="eastAsia" w:ascii="宋体" w:hAnsi="宋体"/>
                <w:sz w:val="18"/>
                <w:szCs w:val="18"/>
              </w:rPr>
              <w:t>主要设备</w:t>
            </w:r>
            <w:r>
              <w:rPr>
                <w:rFonts w:hint="eastAsia" w:ascii="宋体" w:hAnsi="宋体" w:cs="宋体"/>
                <w:kern w:val="0"/>
                <w:sz w:val="18"/>
                <w:szCs w:val="18"/>
              </w:rPr>
              <w:t>是否</w:t>
            </w:r>
            <w:r>
              <w:rPr>
                <w:rFonts w:hint="eastAsia" w:ascii="宋体" w:hAnsi="宋体"/>
                <w:sz w:val="18"/>
                <w:szCs w:val="18"/>
              </w:rPr>
              <w:t>按合同到位</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kern w:val="0"/>
                <w:sz w:val="18"/>
                <w:szCs w:val="18"/>
              </w:rPr>
            </w:pPr>
            <w:r>
              <w:rPr>
                <w:rFonts w:hint="eastAsia" w:ascii="宋体" w:hAnsi="宋体"/>
                <w:sz w:val="18"/>
                <w:szCs w:val="18"/>
              </w:rPr>
              <w:t>未按合同到位</w:t>
            </w:r>
            <w:r>
              <w:rPr>
                <w:rFonts w:hint="eastAsia" w:ascii="宋体" w:hAnsi="宋体" w:cs="宋体"/>
                <w:bCs/>
                <w:kern w:val="0"/>
                <w:sz w:val="18"/>
                <w:szCs w:val="18"/>
              </w:rPr>
              <w:t>的每台设备</w:t>
            </w:r>
            <w:r>
              <w:rPr>
                <w:rFonts w:hint="eastAsia" w:ascii="宋体" w:hAnsi="宋体"/>
                <w:sz w:val="18"/>
                <w:szCs w:val="18"/>
              </w:rPr>
              <w:t>扣5分，扣完为止。</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bCs/>
                <w:kern w:val="0"/>
                <w:sz w:val="18"/>
                <w:szCs w:val="18"/>
              </w:rPr>
            </w:pPr>
            <w:r>
              <w:rPr>
                <w:rFonts w:hint="eastAsia" w:ascii="宋体" w:hAnsi="宋体" w:cs="宋体"/>
                <w:b/>
                <w:bCs/>
                <w:kern w:val="0"/>
                <w:sz w:val="18"/>
                <w:szCs w:val="18"/>
              </w:rPr>
              <w:t>二</w:t>
            </w:r>
          </w:p>
        </w:tc>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kern w:val="0"/>
                <w:sz w:val="18"/>
                <w:szCs w:val="18"/>
              </w:rPr>
            </w:pPr>
            <w:r>
              <w:rPr>
                <w:rFonts w:hint="eastAsia" w:ascii="宋体" w:hAnsi="宋体" w:cs="宋体"/>
                <w:b/>
                <w:kern w:val="0"/>
                <w:sz w:val="18"/>
                <w:szCs w:val="18"/>
              </w:rPr>
              <w:t>勘察质量</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cs="宋体"/>
                <w:b/>
                <w:bCs/>
                <w:kern w:val="0"/>
                <w:sz w:val="18"/>
                <w:szCs w:val="18"/>
              </w:rPr>
              <w:t>40</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p>
        </w:tc>
        <w:tc>
          <w:tcPr>
            <w:tcW w:w="690"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3</w:t>
            </w:r>
          </w:p>
        </w:tc>
        <w:tc>
          <w:tcPr>
            <w:tcW w:w="110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line="260" w:lineRule="exact"/>
              <w:rPr>
                <w:rFonts w:ascii="宋体" w:hAnsi="宋体"/>
                <w:sz w:val="18"/>
                <w:szCs w:val="18"/>
              </w:rPr>
            </w:pPr>
            <w:r>
              <w:rPr>
                <w:rFonts w:ascii="宋体" w:hAnsi="宋体"/>
                <w:sz w:val="18"/>
                <w:szCs w:val="18"/>
              </w:rPr>
              <w:t>质量</w:t>
            </w:r>
            <w:r>
              <w:rPr>
                <w:rFonts w:hint="eastAsia" w:ascii="宋体" w:hAnsi="宋体"/>
                <w:sz w:val="18"/>
                <w:szCs w:val="18"/>
              </w:rPr>
              <w:t>控制</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5</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sz w:val="18"/>
                <w:szCs w:val="18"/>
              </w:rPr>
              <w:t>是否严格执行规范和技术标准</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b/>
                <w:bCs/>
                <w:kern w:val="0"/>
                <w:sz w:val="18"/>
                <w:szCs w:val="18"/>
              </w:rPr>
            </w:pPr>
            <w:r>
              <w:rPr>
                <w:rFonts w:ascii="宋体" w:hAnsi="宋体"/>
                <w:sz w:val="18"/>
                <w:szCs w:val="18"/>
              </w:rPr>
              <w:t>每存在一处不</w:t>
            </w:r>
            <w:r>
              <w:rPr>
                <w:rFonts w:hint="eastAsia" w:ascii="宋体" w:hAnsi="宋体"/>
                <w:sz w:val="18"/>
                <w:szCs w:val="18"/>
              </w:rPr>
              <w:t>严格执行</w:t>
            </w:r>
            <w:r>
              <w:rPr>
                <w:rFonts w:ascii="宋体" w:hAnsi="宋体"/>
                <w:sz w:val="18"/>
                <w:szCs w:val="18"/>
              </w:rPr>
              <w:t>规范和强制性</w:t>
            </w:r>
            <w:r>
              <w:rPr>
                <w:rFonts w:hint="eastAsia" w:ascii="宋体" w:hAnsi="宋体"/>
                <w:sz w:val="18"/>
                <w:szCs w:val="18"/>
              </w:rPr>
              <w:t>技术</w:t>
            </w:r>
            <w:r>
              <w:rPr>
                <w:rFonts w:ascii="宋体" w:hAnsi="宋体"/>
                <w:sz w:val="18"/>
                <w:szCs w:val="18"/>
              </w:rPr>
              <w:t>标准的扣</w:t>
            </w:r>
            <w:r>
              <w:rPr>
                <w:rFonts w:hint="eastAsia" w:ascii="宋体" w:hAnsi="宋体"/>
                <w:sz w:val="18"/>
                <w:szCs w:val="18"/>
              </w:rPr>
              <w:t>2</w:t>
            </w:r>
            <w:r>
              <w:rPr>
                <w:rFonts w:ascii="宋体" w:hAnsi="宋体"/>
                <w:sz w:val="18"/>
                <w:szCs w:val="18"/>
              </w:rPr>
              <w:t>分</w:t>
            </w:r>
            <w:r>
              <w:rPr>
                <w:rFonts w:hint="eastAsia" w:ascii="宋体" w:hAnsi="宋体"/>
                <w:sz w:val="18"/>
                <w:szCs w:val="18"/>
              </w:rPr>
              <w:t>，扣完为止。</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p>
        </w:tc>
        <w:tc>
          <w:tcPr>
            <w:tcW w:w="1107" w:type="dxa"/>
            <w:vMerge w:val="continue"/>
            <w:tcBorders>
              <w:top w:val="single" w:color="auto" w:sz="4" w:space="0"/>
              <w:left w:val="nil"/>
              <w:bottom w:val="single" w:color="auto" w:sz="4" w:space="0"/>
              <w:right w:val="single" w:color="auto" w:sz="4" w:space="0"/>
            </w:tcBorders>
            <w:shd w:val="clear" w:color="auto" w:fill="FFFFFF"/>
            <w:vAlign w:val="center"/>
          </w:tcPr>
          <w:p>
            <w:pPr>
              <w:widowControl/>
              <w:spacing w:line="260" w:lineRule="exact"/>
              <w:rPr>
                <w:rFonts w:ascii="宋体" w:hAnsi="宋体" w:cs="宋体"/>
                <w:b/>
                <w:kern w:val="0"/>
                <w:sz w:val="18"/>
                <w:szCs w:val="18"/>
              </w:rPr>
            </w:pPr>
          </w:p>
        </w:tc>
        <w:tc>
          <w:tcPr>
            <w:tcW w:w="1053"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5</w:t>
            </w:r>
          </w:p>
        </w:tc>
        <w:tc>
          <w:tcPr>
            <w:tcW w:w="2997"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sz w:val="18"/>
                <w:szCs w:val="18"/>
              </w:rPr>
              <w:t>是否有</w:t>
            </w:r>
            <w:r>
              <w:rPr>
                <w:rFonts w:ascii="宋体" w:hAnsi="宋体"/>
                <w:sz w:val="18"/>
                <w:szCs w:val="18"/>
              </w:rPr>
              <w:t>缺项、漏项</w:t>
            </w:r>
          </w:p>
        </w:tc>
        <w:tc>
          <w:tcPr>
            <w:tcW w:w="2475" w:type="dxa"/>
            <w:tcBorders>
              <w:top w:val="single" w:color="auto" w:sz="4" w:space="0"/>
              <w:left w:val="nil"/>
              <w:bottom w:val="single" w:color="auto" w:sz="4" w:space="0"/>
              <w:right w:val="single" w:color="auto" w:sz="4" w:space="0"/>
            </w:tcBorders>
            <w:shd w:val="clear" w:color="auto" w:fill="FFFFFF"/>
            <w:vAlign w:val="center"/>
          </w:tcPr>
          <w:p>
            <w:pPr>
              <w:widowControl/>
              <w:spacing w:line="260" w:lineRule="exact"/>
              <w:rPr>
                <w:rFonts w:ascii="宋体" w:hAnsi="宋体" w:cs="宋体"/>
                <w:b/>
                <w:bCs/>
                <w:kern w:val="0"/>
                <w:sz w:val="18"/>
                <w:szCs w:val="18"/>
              </w:rPr>
            </w:pPr>
            <w:r>
              <w:rPr>
                <w:rFonts w:hint="eastAsia" w:ascii="宋体" w:hAnsi="宋体"/>
                <w:sz w:val="18"/>
                <w:szCs w:val="18"/>
              </w:rPr>
              <w:t>发现</w:t>
            </w:r>
            <w:r>
              <w:rPr>
                <w:rFonts w:ascii="宋体" w:hAnsi="宋体"/>
                <w:sz w:val="18"/>
                <w:szCs w:val="18"/>
              </w:rPr>
              <w:t>缺项、</w:t>
            </w:r>
            <w:r>
              <w:rPr>
                <w:rFonts w:hint="eastAsia" w:ascii="宋体" w:hAnsi="宋体"/>
                <w:sz w:val="18"/>
                <w:szCs w:val="18"/>
              </w:rPr>
              <w:t>漏项</w:t>
            </w:r>
            <w:r>
              <w:rPr>
                <w:rFonts w:hint="eastAsia" w:ascii="宋体"/>
                <w:sz w:val="18"/>
                <w:szCs w:val="18"/>
              </w:rPr>
              <w:t>的</w:t>
            </w:r>
            <w:r>
              <w:rPr>
                <w:rFonts w:hint="eastAsia" w:ascii="宋体" w:hAnsi="宋体"/>
                <w:sz w:val="18"/>
                <w:szCs w:val="18"/>
              </w:rPr>
              <w:t>，每处扣1-3分，扣完为止。</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restart"/>
            <w:tcBorders>
              <w:top w:val="single" w:color="auto" w:sz="4" w:space="0"/>
              <w:left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4</w:t>
            </w:r>
          </w:p>
        </w:tc>
        <w:tc>
          <w:tcPr>
            <w:tcW w:w="1107" w:type="dxa"/>
            <w:vMerge w:val="restart"/>
            <w:tcBorders>
              <w:top w:val="single" w:color="auto" w:sz="4" w:space="0"/>
              <w:left w:val="nil"/>
              <w:right w:val="single" w:color="auto" w:sz="4" w:space="0"/>
            </w:tcBorders>
            <w:shd w:val="clear" w:color="auto" w:fill="FFFFFF"/>
            <w:vAlign w:val="center"/>
          </w:tcPr>
          <w:p>
            <w:pPr>
              <w:spacing w:line="260" w:lineRule="exact"/>
              <w:rPr>
                <w:rFonts w:ascii="宋体" w:hAnsi="宋体"/>
                <w:sz w:val="18"/>
                <w:szCs w:val="18"/>
              </w:rPr>
            </w:pPr>
            <w:r>
              <w:rPr>
                <w:rFonts w:hint="eastAsia" w:ascii="宋体"/>
                <w:sz w:val="18"/>
                <w:szCs w:val="18"/>
              </w:rPr>
              <w:t>勘察文件</w:t>
            </w:r>
          </w:p>
        </w:tc>
        <w:tc>
          <w:tcPr>
            <w:tcW w:w="1053"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3</w:t>
            </w:r>
          </w:p>
        </w:tc>
        <w:tc>
          <w:tcPr>
            <w:tcW w:w="2997" w:type="dxa"/>
            <w:tcBorders>
              <w:top w:val="nil"/>
              <w:left w:val="nil"/>
              <w:bottom w:val="single" w:color="auto" w:sz="4" w:space="0"/>
              <w:right w:val="single" w:color="auto" w:sz="4" w:space="0"/>
            </w:tcBorders>
            <w:shd w:val="clear" w:color="auto" w:fill="FFFFFF"/>
            <w:vAlign w:val="center"/>
          </w:tcPr>
          <w:p>
            <w:pPr>
              <w:widowControl/>
              <w:spacing w:line="260" w:lineRule="exact"/>
              <w:rPr>
                <w:rFonts w:ascii="宋体" w:hAnsi="宋体" w:cs="宋体"/>
                <w:b/>
                <w:bCs/>
                <w:kern w:val="0"/>
                <w:sz w:val="18"/>
                <w:szCs w:val="18"/>
              </w:rPr>
            </w:pPr>
            <w:r>
              <w:rPr>
                <w:rFonts w:hint="eastAsia" w:ascii="宋体"/>
                <w:sz w:val="18"/>
                <w:szCs w:val="18"/>
              </w:rPr>
              <w:t>在工程勘察前，</w:t>
            </w:r>
            <w:r>
              <w:rPr>
                <w:rFonts w:hint="eastAsia" w:ascii="宋体" w:hAnsi="宋体"/>
                <w:sz w:val="18"/>
                <w:szCs w:val="18"/>
              </w:rPr>
              <w:t>是否</w:t>
            </w:r>
            <w:r>
              <w:rPr>
                <w:rFonts w:hint="eastAsia" w:ascii="宋体"/>
                <w:sz w:val="18"/>
                <w:szCs w:val="18"/>
              </w:rPr>
              <w:t>提出勘察纲要或勘察组织设计</w:t>
            </w:r>
          </w:p>
        </w:tc>
        <w:tc>
          <w:tcPr>
            <w:tcW w:w="247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sz w:val="18"/>
                <w:szCs w:val="18"/>
              </w:rPr>
              <w:t>没有</w:t>
            </w:r>
            <w:r>
              <w:rPr>
                <w:rFonts w:hint="eastAsia" w:ascii="宋体"/>
                <w:sz w:val="18"/>
                <w:szCs w:val="18"/>
              </w:rPr>
              <w:t>提出的，</w:t>
            </w:r>
            <w:r>
              <w:rPr>
                <w:rFonts w:hint="eastAsia" w:ascii="宋体" w:hAnsi="宋体"/>
                <w:sz w:val="18"/>
                <w:szCs w:val="18"/>
              </w:rPr>
              <w:t>扣3分。</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right w:val="single" w:color="auto" w:sz="4" w:space="0"/>
            </w:tcBorders>
            <w:shd w:val="clear" w:color="auto" w:fill="auto"/>
            <w:vAlign w:val="center"/>
          </w:tcPr>
          <w:p>
            <w:pPr>
              <w:widowControl/>
              <w:rPr>
                <w:rFonts w:ascii="宋体" w:hAnsi="宋体" w:cs="宋体"/>
                <w:bCs/>
                <w:kern w:val="0"/>
                <w:sz w:val="18"/>
                <w:szCs w:val="18"/>
              </w:rPr>
            </w:pPr>
          </w:p>
        </w:tc>
        <w:tc>
          <w:tcPr>
            <w:tcW w:w="1107" w:type="dxa"/>
            <w:vMerge w:val="continue"/>
            <w:tcBorders>
              <w:left w:val="nil"/>
              <w:right w:val="single" w:color="auto" w:sz="4" w:space="0"/>
            </w:tcBorders>
            <w:shd w:val="clear" w:color="auto" w:fill="FFFFFF"/>
            <w:vAlign w:val="center"/>
          </w:tcPr>
          <w:p>
            <w:pPr>
              <w:widowControl/>
              <w:rPr>
                <w:rFonts w:ascii="宋体" w:hAnsi="宋体" w:cs="宋体"/>
                <w:b/>
                <w:kern w:val="0"/>
                <w:sz w:val="18"/>
                <w:szCs w:val="18"/>
              </w:rPr>
            </w:pPr>
          </w:p>
        </w:tc>
        <w:tc>
          <w:tcPr>
            <w:tcW w:w="1053"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5</w:t>
            </w:r>
          </w:p>
        </w:tc>
        <w:tc>
          <w:tcPr>
            <w:tcW w:w="2997" w:type="dxa"/>
            <w:tcBorders>
              <w:top w:val="nil"/>
              <w:left w:val="nil"/>
              <w:bottom w:val="single" w:color="auto" w:sz="4" w:space="0"/>
              <w:right w:val="single" w:color="auto" w:sz="4" w:space="0"/>
            </w:tcBorders>
            <w:shd w:val="clear" w:color="auto" w:fill="FFFFFF"/>
            <w:vAlign w:val="center"/>
          </w:tcPr>
          <w:p>
            <w:pPr>
              <w:rPr>
                <w:rFonts w:ascii="宋体"/>
                <w:sz w:val="18"/>
                <w:szCs w:val="18"/>
              </w:rPr>
            </w:pPr>
            <w:r>
              <w:rPr>
                <w:rFonts w:hAnsi="宋体"/>
                <w:sz w:val="18"/>
                <w:szCs w:val="18"/>
              </w:rPr>
              <w:t>勘察成果是否详实可信</w:t>
            </w:r>
          </w:p>
        </w:tc>
        <w:tc>
          <w:tcPr>
            <w:tcW w:w="247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Ansi="宋体"/>
                <w:sz w:val="18"/>
                <w:szCs w:val="18"/>
              </w:rPr>
              <w:t>勘察成果</w:t>
            </w:r>
            <w:r>
              <w:rPr>
                <w:rFonts w:hint="eastAsia" w:hAnsi="宋体"/>
                <w:sz w:val="18"/>
                <w:szCs w:val="18"/>
              </w:rPr>
              <w:t>不详</w:t>
            </w:r>
            <w:r>
              <w:rPr>
                <w:rFonts w:hAnsi="宋体"/>
                <w:sz w:val="18"/>
                <w:szCs w:val="18"/>
              </w:rPr>
              <w:t>实可信</w:t>
            </w:r>
            <w:r>
              <w:rPr>
                <w:rFonts w:hint="eastAsia" w:ascii="宋体"/>
                <w:sz w:val="18"/>
                <w:szCs w:val="18"/>
              </w:rPr>
              <w:t>的，</w:t>
            </w:r>
            <w:r>
              <w:rPr>
                <w:rFonts w:hint="eastAsia" w:ascii="宋体" w:hAnsi="宋体"/>
                <w:sz w:val="18"/>
                <w:szCs w:val="18"/>
              </w:rPr>
              <w:t>扣3-5分。</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right w:val="single" w:color="auto" w:sz="4" w:space="0"/>
            </w:tcBorders>
            <w:shd w:val="clear" w:color="auto" w:fill="auto"/>
            <w:vAlign w:val="center"/>
          </w:tcPr>
          <w:p>
            <w:pPr>
              <w:widowControl/>
              <w:rPr>
                <w:rFonts w:ascii="宋体" w:hAnsi="宋体" w:cs="宋体"/>
                <w:bCs/>
                <w:kern w:val="0"/>
                <w:sz w:val="18"/>
                <w:szCs w:val="18"/>
              </w:rPr>
            </w:pPr>
          </w:p>
        </w:tc>
        <w:tc>
          <w:tcPr>
            <w:tcW w:w="1107" w:type="dxa"/>
            <w:vMerge w:val="continue"/>
            <w:tcBorders>
              <w:left w:val="nil"/>
              <w:right w:val="single" w:color="auto" w:sz="4" w:space="0"/>
            </w:tcBorders>
            <w:shd w:val="clear" w:color="auto" w:fill="FFFFFF"/>
            <w:vAlign w:val="center"/>
          </w:tcPr>
          <w:p>
            <w:pPr>
              <w:widowControl/>
              <w:rPr>
                <w:rFonts w:ascii="宋体" w:hAnsi="宋体" w:cs="宋体"/>
                <w:kern w:val="0"/>
                <w:sz w:val="18"/>
                <w:szCs w:val="18"/>
              </w:rPr>
            </w:pPr>
          </w:p>
        </w:tc>
        <w:tc>
          <w:tcPr>
            <w:tcW w:w="1053" w:type="dxa"/>
            <w:tcBorders>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3</w:t>
            </w:r>
          </w:p>
        </w:tc>
        <w:tc>
          <w:tcPr>
            <w:tcW w:w="2997" w:type="dxa"/>
            <w:tcBorders>
              <w:top w:val="nil"/>
              <w:left w:val="nil"/>
              <w:bottom w:val="single" w:color="auto" w:sz="4" w:space="0"/>
              <w:right w:val="single" w:color="auto" w:sz="4" w:space="0"/>
            </w:tcBorders>
            <w:shd w:val="clear" w:color="auto" w:fill="FFFFFF"/>
            <w:vAlign w:val="center"/>
          </w:tcPr>
          <w:p>
            <w:pPr>
              <w:rPr>
                <w:rFonts w:ascii="宋体" w:hAnsi="宋体"/>
                <w:sz w:val="18"/>
                <w:szCs w:val="18"/>
              </w:rPr>
            </w:pPr>
            <w:r>
              <w:rPr>
                <w:rFonts w:hint="eastAsia" w:ascii="宋体" w:hAnsi="宋体"/>
                <w:sz w:val="18"/>
                <w:szCs w:val="18"/>
              </w:rPr>
              <w:t>是否一次性提供完整的</w:t>
            </w:r>
            <w:r>
              <w:rPr>
                <w:rFonts w:hint="eastAsia" w:ascii="宋体"/>
                <w:sz w:val="18"/>
                <w:szCs w:val="18"/>
              </w:rPr>
              <w:t>勘察文件</w:t>
            </w:r>
            <w:r>
              <w:rPr>
                <w:rFonts w:hint="eastAsia" w:ascii="宋体" w:hAnsi="宋体"/>
                <w:sz w:val="18"/>
                <w:szCs w:val="18"/>
              </w:rPr>
              <w:t>资料</w:t>
            </w:r>
          </w:p>
        </w:tc>
        <w:tc>
          <w:tcPr>
            <w:tcW w:w="2475" w:type="dxa"/>
            <w:tcBorders>
              <w:top w:val="nil"/>
              <w:left w:val="nil"/>
              <w:bottom w:val="single" w:color="auto" w:sz="4" w:space="0"/>
              <w:right w:val="single" w:color="auto" w:sz="4" w:space="0"/>
            </w:tcBorders>
            <w:shd w:val="clear" w:color="auto" w:fill="FFFFFF"/>
            <w:vAlign w:val="center"/>
          </w:tcPr>
          <w:p>
            <w:pPr>
              <w:widowControl/>
              <w:spacing w:line="240" w:lineRule="exact"/>
              <w:rPr>
                <w:rFonts w:ascii="宋体" w:hAnsi="宋体" w:cs="宋体"/>
                <w:bCs/>
                <w:kern w:val="0"/>
                <w:sz w:val="18"/>
                <w:szCs w:val="18"/>
              </w:rPr>
            </w:pPr>
            <w:r>
              <w:rPr>
                <w:rFonts w:hint="eastAsia" w:ascii="宋体" w:hAnsi="宋体"/>
                <w:sz w:val="18"/>
                <w:szCs w:val="18"/>
              </w:rPr>
              <w:t>资料不全的，每缺1项扣1分，扣完为止。</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right w:val="single" w:color="auto" w:sz="4" w:space="0"/>
            </w:tcBorders>
            <w:shd w:val="clear" w:color="auto" w:fill="auto"/>
            <w:vAlign w:val="center"/>
          </w:tcPr>
          <w:p>
            <w:pPr>
              <w:widowControl/>
              <w:rPr>
                <w:rFonts w:ascii="宋体" w:hAnsi="宋体" w:cs="宋体"/>
                <w:bCs/>
                <w:kern w:val="0"/>
                <w:sz w:val="18"/>
                <w:szCs w:val="18"/>
              </w:rPr>
            </w:pPr>
          </w:p>
        </w:tc>
        <w:tc>
          <w:tcPr>
            <w:tcW w:w="1107" w:type="dxa"/>
            <w:vMerge w:val="continue"/>
            <w:tcBorders>
              <w:left w:val="nil"/>
              <w:right w:val="single" w:color="auto" w:sz="4" w:space="0"/>
            </w:tcBorders>
            <w:shd w:val="clear" w:color="auto" w:fill="FFFFFF"/>
            <w:vAlign w:val="center"/>
          </w:tcPr>
          <w:p>
            <w:pPr>
              <w:widowControl/>
              <w:rPr>
                <w:rFonts w:ascii="宋体" w:hAnsi="宋体" w:cs="宋体"/>
                <w:kern w:val="0"/>
                <w:sz w:val="18"/>
                <w:szCs w:val="18"/>
              </w:rPr>
            </w:pPr>
          </w:p>
        </w:tc>
        <w:tc>
          <w:tcPr>
            <w:tcW w:w="1053" w:type="dxa"/>
            <w:tcBorders>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5</w:t>
            </w:r>
          </w:p>
        </w:tc>
        <w:tc>
          <w:tcPr>
            <w:tcW w:w="2997" w:type="dxa"/>
            <w:tcBorders>
              <w:top w:val="nil"/>
              <w:left w:val="nil"/>
              <w:bottom w:val="single" w:color="auto" w:sz="4" w:space="0"/>
              <w:right w:val="single" w:color="auto" w:sz="4" w:space="0"/>
            </w:tcBorders>
            <w:shd w:val="clear" w:color="auto" w:fill="FFFFFF"/>
            <w:vAlign w:val="center"/>
          </w:tcPr>
          <w:p>
            <w:pPr>
              <w:rPr>
                <w:rFonts w:ascii="宋体" w:hAnsi="宋体"/>
                <w:sz w:val="18"/>
                <w:szCs w:val="18"/>
              </w:rPr>
            </w:pPr>
            <w:r>
              <w:rPr>
                <w:rFonts w:hint="eastAsia" w:ascii="宋体" w:hAnsi="宋体" w:cs="宋体"/>
                <w:kern w:val="0"/>
                <w:sz w:val="18"/>
                <w:szCs w:val="18"/>
              </w:rPr>
              <w:t>是否达到</w:t>
            </w:r>
            <w:r>
              <w:rPr>
                <w:rFonts w:hint="eastAsia" w:ascii="宋体"/>
                <w:sz w:val="18"/>
                <w:szCs w:val="18"/>
              </w:rPr>
              <w:t>勘察</w:t>
            </w:r>
            <w:r>
              <w:rPr>
                <w:rFonts w:hint="eastAsia" w:ascii="宋体" w:hAnsi="宋体"/>
                <w:sz w:val="18"/>
                <w:szCs w:val="18"/>
              </w:rPr>
              <w:t>深度要求</w:t>
            </w:r>
          </w:p>
        </w:tc>
        <w:tc>
          <w:tcPr>
            <w:tcW w:w="247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kern w:val="0"/>
                <w:sz w:val="18"/>
                <w:szCs w:val="18"/>
              </w:rPr>
              <w:t>达不到</w:t>
            </w:r>
            <w:r>
              <w:rPr>
                <w:rFonts w:hint="eastAsia" w:ascii="宋体"/>
                <w:sz w:val="18"/>
                <w:szCs w:val="18"/>
              </w:rPr>
              <w:t>勘察</w:t>
            </w:r>
            <w:r>
              <w:rPr>
                <w:rFonts w:hint="eastAsia" w:ascii="宋体" w:hAnsi="宋体"/>
                <w:sz w:val="18"/>
                <w:szCs w:val="18"/>
              </w:rPr>
              <w:t>深度要求扣5分。</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p>
        </w:tc>
        <w:tc>
          <w:tcPr>
            <w:tcW w:w="1107" w:type="dxa"/>
            <w:vMerge w:val="continue"/>
            <w:tcBorders>
              <w:left w:val="nil"/>
              <w:bottom w:val="single" w:color="auto" w:sz="4" w:space="0"/>
              <w:right w:val="single" w:color="auto" w:sz="4" w:space="0"/>
            </w:tcBorders>
            <w:shd w:val="clear" w:color="auto" w:fill="FFFFFF"/>
            <w:vAlign w:val="center"/>
          </w:tcPr>
          <w:p>
            <w:pPr>
              <w:widowControl/>
              <w:rPr>
                <w:rFonts w:ascii="宋体" w:hAnsi="宋体"/>
                <w:spacing w:val="-20"/>
                <w:sz w:val="18"/>
                <w:szCs w:val="18"/>
              </w:rPr>
            </w:pPr>
          </w:p>
        </w:tc>
        <w:tc>
          <w:tcPr>
            <w:tcW w:w="1053" w:type="dxa"/>
            <w:tcBorders>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4</w:t>
            </w:r>
          </w:p>
        </w:tc>
        <w:tc>
          <w:tcPr>
            <w:tcW w:w="2997" w:type="dxa"/>
            <w:tcBorders>
              <w:top w:val="nil"/>
              <w:left w:val="nil"/>
              <w:bottom w:val="single" w:color="auto" w:sz="4" w:space="0"/>
              <w:right w:val="single" w:color="auto" w:sz="4" w:space="0"/>
            </w:tcBorders>
            <w:shd w:val="clear" w:color="auto" w:fill="FFFFFF"/>
            <w:vAlign w:val="center"/>
          </w:tcPr>
          <w:p>
            <w:pPr>
              <w:widowControl/>
              <w:rPr>
                <w:rFonts w:ascii="宋体" w:hAnsi="宋体"/>
                <w:sz w:val="18"/>
                <w:szCs w:val="18"/>
              </w:rPr>
            </w:pPr>
            <w:r>
              <w:rPr>
                <w:rFonts w:hint="eastAsia" w:ascii="宋体" w:hAnsi="宋体" w:cs="宋体"/>
                <w:kern w:val="0"/>
                <w:sz w:val="18"/>
                <w:szCs w:val="18"/>
              </w:rPr>
              <w:t>是否</w:t>
            </w:r>
            <w:r>
              <w:rPr>
                <w:rFonts w:hint="eastAsia" w:ascii="宋体" w:hAnsi="宋体"/>
                <w:sz w:val="18"/>
                <w:szCs w:val="18"/>
              </w:rPr>
              <w:t>一次性通过</w:t>
            </w:r>
            <w:r>
              <w:rPr>
                <w:rFonts w:hint="eastAsia" w:ascii="宋体"/>
                <w:sz w:val="18"/>
                <w:szCs w:val="18"/>
              </w:rPr>
              <w:t>勘察文件</w:t>
            </w:r>
            <w:r>
              <w:rPr>
                <w:rFonts w:hint="eastAsia" w:ascii="宋体" w:hAnsi="宋体"/>
                <w:sz w:val="18"/>
                <w:szCs w:val="18"/>
              </w:rPr>
              <w:t>审查</w:t>
            </w:r>
          </w:p>
        </w:tc>
        <w:tc>
          <w:tcPr>
            <w:tcW w:w="2475" w:type="dxa"/>
            <w:tcBorders>
              <w:top w:val="nil"/>
              <w:left w:val="nil"/>
              <w:bottom w:val="single" w:color="auto" w:sz="4" w:space="0"/>
              <w:right w:val="single" w:color="auto" w:sz="4" w:space="0"/>
            </w:tcBorders>
            <w:shd w:val="clear" w:color="auto" w:fill="FFFFFF"/>
            <w:vAlign w:val="center"/>
          </w:tcPr>
          <w:p>
            <w:pPr>
              <w:widowControl/>
              <w:spacing w:line="260" w:lineRule="exact"/>
              <w:rPr>
                <w:rFonts w:ascii="宋体" w:hAnsi="宋体"/>
                <w:sz w:val="18"/>
                <w:szCs w:val="18"/>
              </w:rPr>
            </w:pPr>
            <w:r>
              <w:rPr>
                <w:rFonts w:hint="eastAsia" w:ascii="宋体" w:hAnsi="宋体"/>
                <w:sz w:val="18"/>
                <w:szCs w:val="18"/>
              </w:rPr>
              <w:t>未能一次性通过审查的，每增加一次审查扣2分，扣完为止。</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5</w:t>
            </w:r>
          </w:p>
        </w:tc>
        <w:tc>
          <w:tcPr>
            <w:tcW w:w="1107" w:type="dxa"/>
            <w:tcBorders>
              <w:top w:val="single" w:color="auto" w:sz="4" w:space="0"/>
              <w:left w:val="nil"/>
              <w:bottom w:val="single" w:color="auto" w:sz="4" w:space="0"/>
              <w:right w:val="single" w:color="auto" w:sz="4" w:space="0"/>
            </w:tcBorders>
            <w:shd w:val="clear" w:color="auto" w:fill="FFFFFF"/>
            <w:vAlign w:val="center"/>
          </w:tcPr>
          <w:p>
            <w:pPr>
              <w:spacing w:line="260" w:lineRule="exact"/>
              <w:rPr>
                <w:rFonts w:ascii="宋体" w:hAnsi="宋体"/>
                <w:sz w:val="18"/>
                <w:szCs w:val="18"/>
              </w:rPr>
            </w:pPr>
            <w:r>
              <w:rPr>
                <w:rFonts w:hint="eastAsia" w:ascii="宋体" w:hAnsi="宋体"/>
                <w:sz w:val="18"/>
                <w:szCs w:val="18"/>
              </w:rPr>
              <w:t>工程变更</w:t>
            </w:r>
          </w:p>
        </w:tc>
        <w:tc>
          <w:tcPr>
            <w:tcW w:w="1053" w:type="dxa"/>
            <w:tcBorders>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10</w:t>
            </w:r>
          </w:p>
        </w:tc>
        <w:tc>
          <w:tcPr>
            <w:tcW w:w="2997"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是否有</w:t>
            </w:r>
            <w:r>
              <w:rPr>
                <w:rFonts w:hint="eastAsia" w:ascii="宋体" w:hAnsi="宋体"/>
                <w:sz w:val="18"/>
                <w:szCs w:val="18"/>
              </w:rPr>
              <w:t>因</w:t>
            </w:r>
            <w:r>
              <w:rPr>
                <w:rFonts w:hint="eastAsia" w:ascii="宋体"/>
                <w:sz w:val="18"/>
                <w:szCs w:val="18"/>
              </w:rPr>
              <w:t>勘察</w:t>
            </w:r>
            <w:r>
              <w:rPr>
                <w:rFonts w:hint="eastAsia" w:ascii="宋体" w:hAnsi="宋体"/>
                <w:sz w:val="18"/>
                <w:szCs w:val="18"/>
              </w:rPr>
              <w:t>不准而使工程费用增加</w:t>
            </w:r>
          </w:p>
        </w:tc>
        <w:tc>
          <w:tcPr>
            <w:tcW w:w="2475" w:type="dxa"/>
            <w:tcBorders>
              <w:top w:val="nil"/>
              <w:left w:val="nil"/>
              <w:bottom w:val="single" w:color="auto" w:sz="4" w:space="0"/>
              <w:right w:val="single" w:color="auto" w:sz="4" w:space="0"/>
            </w:tcBorders>
            <w:shd w:val="clear" w:color="auto" w:fill="FFFFFF"/>
            <w:vAlign w:val="center"/>
          </w:tcPr>
          <w:p>
            <w:pPr>
              <w:widowControl/>
              <w:spacing w:line="260" w:lineRule="exact"/>
              <w:rPr>
                <w:rFonts w:ascii="宋体" w:hAnsi="宋体"/>
                <w:sz w:val="18"/>
                <w:szCs w:val="18"/>
              </w:rPr>
            </w:pPr>
            <w:r>
              <w:rPr>
                <w:rFonts w:hint="eastAsia" w:ascii="宋体" w:hAnsi="宋体"/>
                <w:sz w:val="18"/>
                <w:szCs w:val="18"/>
              </w:rPr>
              <w:t>造成工程费用增加，每增加1%扣3分，扣完为止。</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tcBorders>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
                <w:bCs/>
                <w:kern w:val="0"/>
                <w:sz w:val="18"/>
                <w:szCs w:val="18"/>
              </w:rPr>
              <w:t>三</w:t>
            </w:r>
          </w:p>
        </w:tc>
        <w:tc>
          <w:tcPr>
            <w:tcW w:w="1107" w:type="dxa"/>
            <w:tcBorders>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r>
              <w:rPr>
                <w:rFonts w:hint="eastAsia" w:ascii="宋体" w:hAnsi="宋体" w:cs="宋体"/>
                <w:b/>
                <w:kern w:val="0"/>
                <w:sz w:val="18"/>
                <w:szCs w:val="18"/>
              </w:rPr>
              <w:t>进度与配合</w:t>
            </w:r>
          </w:p>
        </w:tc>
        <w:tc>
          <w:tcPr>
            <w:tcW w:w="1053" w:type="dxa"/>
            <w:tcBorders>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
                <w:bCs/>
                <w:kern w:val="0"/>
                <w:sz w:val="18"/>
                <w:szCs w:val="18"/>
              </w:rPr>
              <w:t>30</w:t>
            </w:r>
          </w:p>
        </w:tc>
        <w:tc>
          <w:tcPr>
            <w:tcW w:w="2997"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c>
          <w:tcPr>
            <w:tcW w:w="2475" w:type="dxa"/>
            <w:tcBorders>
              <w:top w:val="nil"/>
              <w:left w:val="nil"/>
              <w:bottom w:val="single" w:color="auto" w:sz="4" w:space="0"/>
              <w:right w:val="single" w:color="auto" w:sz="4" w:space="0"/>
            </w:tcBorders>
            <w:shd w:val="clear" w:color="auto" w:fill="FFFFFF"/>
            <w:vAlign w:val="center"/>
          </w:tcPr>
          <w:p>
            <w:pPr>
              <w:widowControl/>
              <w:rPr>
                <w:rFonts w:ascii="宋体" w:hAnsi="宋体"/>
                <w:sz w:val="18"/>
                <w:szCs w:val="18"/>
              </w:rPr>
            </w:pP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tcBorders>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6</w:t>
            </w:r>
          </w:p>
        </w:tc>
        <w:tc>
          <w:tcPr>
            <w:tcW w:w="1107" w:type="dxa"/>
            <w:tcBorders>
              <w:left w:val="nil"/>
              <w:bottom w:val="single" w:color="auto" w:sz="4" w:space="0"/>
              <w:right w:val="single" w:color="auto" w:sz="4" w:space="0"/>
            </w:tcBorders>
            <w:shd w:val="clear" w:color="auto" w:fill="FFFFFF"/>
            <w:vAlign w:val="center"/>
          </w:tcPr>
          <w:p>
            <w:pPr>
              <w:widowControl/>
              <w:spacing w:line="260" w:lineRule="exact"/>
              <w:rPr>
                <w:rFonts w:ascii="宋体" w:hAnsi="宋体" w:cs="宋体"/>
                <w:kern w:val="0"/>
                <w:sz w:val="18"/>
                <w:szCs w:val="18"/>
              </w:rPr>
            </w:pPr>
            <w:r>
              <w:rPr>
                <w:rFonts w:hint="eastAsia" w:ascii="宋体"/>
                <w:sz w:val="18"/>
                <w:szCs w:val="18"/>
              </w:rPr>
              <w:t>勘察</w:t>
            </w:r>
            <w:r>
              <w:rPr>
                <w:rFonts w:hint="eastAsia" w:ascii="宋体" w:hAnsi="宋体" w:cs="宋体"/>
                <w:kern w:val="0"/>
                <w:sz w:val="18"/>
                <w:szCs w:val="18"/>
              </w:rPr>
              <w:t>进度</w:t>
            </w:r>
          </w:p>
        </w:tc>
        <w:tc>
          <w:tcPr>
            <w:tcW w:w="1053" w:type="dxa"/>
            <w:tcBorders>
              <w:left w:val="nil"/>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hint="eastAsia" w:ascii="宋体" w:hAnsi="宋体" w:cs="宋体"/>
                <w:bCs/>
                <w:kern w:val="0"/>
                <w:sz w:val="18"/>
                <w:szCs w:val="18"/>
              </w:rPr>
              <w:t>8</w:t>
            </w:r>
          </w:p>
        </w:tc>
        <w:tc>
          <w:tcPr>
            <w:tcW w:w="2997" w:type="dxa"/>
            <w:tcBorders>
              <w:top w:val="nil"/>
              <w:left w:val="nil"/>
              <w:bottom w:val="single" w:color="auto" w:sz="4" w:space="0"/>
              <w:right w:val="single" w:color="auto" w:sz="4" w:space="0"/>
            </w:tcBorders>
            <w:shd w:val="clear" w:color="auto" w:fill="FFFFFF"/>
            <w:vAlign w:val="center"/>
          </w:tcPr>
          <w:p>
            <w:pPr>
              <w:spacing w:line="260" w:lineRule="exact"/>
              <w:rPr>
                <w:rFonts w:ascii="宋体" w:hAnsi="宋体"/>
                <w:sz w:val="18"/>
                <w:szCs w:val="18"/>
              </w:rPr>
            </w:pPr>
            <w:r>
              <w:rPr>
                <w:rFonts w:hint="eastAsia" w:ascii="宋体" w:hAnsi="宋体" w:cs="宋体"/>
                <w:kern w:val="0"/>
                <w:sz w:val="18"/>
                <w:szCs w:val="18"/>
              </w:rPr>
              <w:t>是否</w:t>
            </w:r>
            <w:r>
              <w:rPr>
                <w:rFonts w:ascii="宋体" w:hAnsi="宋体"/>
                <w:sz w:val="18"/>
                <w:szCs w:val="18"/>
              </w:rPr>
              <w:t>按</w:t>
            </w:r>
            <w:r>
              <w:rPr>
                <w:rFonts w:hint="eastAsia" w:ascii="宋体" w:hAnsi="宋体"/>
                <w:sz w:val="18"/>
                <w:szCs w:val="18"/>
              </w:rPr>
              <w:t>约</w:t>
            </w:r>
            <w:r>
              <w:rPr>
                <w:rFonts w:ascii="宋体" w:hAnsi="宋体"/>
                <w:sz w:val="18"/>
                <w:szCs w:val="18"/>
              </w:rPr>
              <w:t>定时间及时提交</w:t>
            </w:r>
            <w:r>
              <w:rPr>
                <w:rFonts w:hint="eastAsia" w:ascii="宋体"/>
                <w:sz w:val="18"/>
                <w:szCs w:val="18"/>
              </w:rPr>
              <w:t>勘察报告等文件</w:t>
            </w:r>
          </w:p>
        </w:tc>
        <w:tc>
          <w:tcPr>
            <w:tcW w:w="2475" w:type="dxa"/>
            <w:tcBorders>
              <w:top w:val="nil"/>
              <w:left w:val="nil"/>
              <w:bottom w:val="single" w:color="auto" w:sz="4" w:space="0"/>
              <w:right w:val="single" w:color="auto" w:sz="4" w:space="0"/>
            </w:tcBorders>
            <w:shd w:val="clear" w:color="auto" w:fill="FFFFFF"/>
            <w:vAlign w:val="center"/>
          </w:tcPr>
          <w:p>
            <w:pPr>
              <w:widowControl/>
              <w:spacing w:line="260" w:lineRule="exact"/>
              <w:rPr>
                <w:rFonts w:ascii="宋体" w:hAnsi="宋体"/>
                <w:sz w:val="18"/>
                <w:szCs w:val="18"/>
              </w:rPr>
            </w:pPr>
            <w:r>
              <w:rPr>
                <w:rFonts w:ascii="宋体" w:hAnsi="宋体"/>
                <w:sz w:val="18"/>
                <w:szCs w:val="18"/>
              </w:rPr>
              <w:t>超过</w:t>
            </w:r>
            <w:r>
              <w:rPr>
                <w:rFonts w:hint="eastAsia" w:ascii="宋体" w:hAnsi="宋体"/>
                <w:sz w:val="18"/>
                <w:szCs w:val="18"/>
              </w:rPr>
              <w:t>约</w:t>
            </w:r>
            <w:r>
              <w:rPr>
                <w:rFonts w:ascii="宋体" w:hAnsi="宋体"/>
                <w:sz w:val="18"/>
                <w:szCs w:val="18"/>
              </w:rPr>
              <w:t>定时间一周以内提交的扣</w:t>
            </w:r>
            <w:r>
              <w:rPr>
                <w:rFonts w:hint="eastAsia" w:ascii="宋体" w:hAnsi="宋体"/>
                <w:sz w:val="18"/>
                <w:szCs w:val="18"/>
              </w:rPr>
              <w:t>2</w:t>
            </w:r>
            <w:r>
              <w:rPr>
                <w:rFonts w:ascii="宋体" w:hAnsi="宋体"/>
                <w:sz w:val="18"/>
                <w:szCs w:val="18"/>
              </w:rPr>
              <w:t>分，超过规定时间一周以上两周以内提交的扣</w:t>
            </w:r>
            <w:r>
              <w:rPr>
                <w:rFonts w:hint="eastAsia" w:ascii="宋体" w:hAnsi="宋体"/>
                <w:sz w:val="18"/>
                <w:szCs w:val="18"/>
              </w:rPr>
              <w:t>5</w:t>
            </w:r>
            <w:r>
              <w:rPr>
                <w:rFonts w:ascii="宋体" w:hAnsi="宋体"/>
                <w:sz w:val="18"/>
                <w:szCs w:val="18"/>
              </w:rPr>
              <w:t>分，超过规定时间两周以上提交的</w:t>
            </w:r>
            <w:r>
              <w:rPr>
                <w:rFonts w:hint="eastAsia" w:ascii="宋体" w:hAnsi="宋体"/>
                <w:sz w:val="18"/>
                <w:szCs w:val="18"/>
              </w:rPr>
              <w:t>扣8</w:t>
            </w:r>
            <w:r>
              <w:rPr>
                <w:rFonts w:ascii="宋体" w:hAnsi="宋体"/>
                <w:sz w:val="18"/>
                <w:szCs w:val="18"/>
              </w:rPr>
              <w:t>分</w:t>
            </w:r>
            <w:r>
              <w:rPr>
                <w:rFonts w:hint="eastAsia" w:ascii="宋体" w:hAnsi="宋体"/>
                <w:sz w:val="18"/>
                <w:szCs w:val="18"/>
              </w:rPr>
              <w:t>。</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restart"/>
            <w:tcBorders>
              <w:top w:val="single" w:color="auto" w:sz="4" w:space="0"/>
              <w:left w:val="single" w:color="auto" w:sz="4" w:space="0"/>
              <w:right w:val="single" w:color="auto" w:sz="4"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7</w:t>
            </w:r>
          </w:p>
        </w:tc>
        <w:tc>
          <w:tcPr>
            <w:tcW w:w="1107" w:type="dxa"/>
            <w:vMerge w:val="restart"/>
            <w:tcBorders>
              <w:top w:val="single" w:color="auto" w:sz="4" w:space="0"/>
              <w:left w:val="single" w:color="auto" w:sz="4" w:space="0"/>
              <w:right w:val="single" w:color="auto" w:sz="4" w:space="0"/>
            </w:tcBorders>
            <w:shd w:val="clear" w:color="auto" w:fill="FFFFFF"/>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配合</w:t>
            </w: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kern w:val="0"/>
                <w:sz w:val="18"/>
                <w:szCs w:val="18"/>
              </w:rPr>
            </w:pPr>
            <w:r>
              <w:rPr>
                <w:rFonts w:ascii="宋体" w:hAnsi="宋体"/>
                <w:sz w:val="18"/>
                <w:szCs w:val="18"/>
              </w:rPr>
              <w:t>4</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是否</w:t>
            </w:r>
            <w:r>
              <w:rPr>
                <w:rFonts w:ascii="宋体" w:hAnsi="宋体"/>
                <w:spacing w:val="-6"/>
                <w:sz w:val="18"/>
                <w:szCs w:val="18"/>
              </w:rPr>
              <w:t>积极参加</w:t>
            </w:r>
            <w:r>
              <w:rPr>
                <w:rFonts w:hint="eastAsia" w:ascii="宋体" w:hAnsi="宋体"/>
                <w:spacing w:val="-6"/>
                <w:sz w:val="18"/>
                <w:szCs w:val="18"/>
                <w:lang w:val="en-US" w:eastAsia="zh-CN"/>
              </w:rPr>
              <w:t>甲方</w:t>
            </w:r>
            <w:r>
              <w:rPr>
                <w:rFonts w:ascii="宋体" w:hAnsi="宋体"/>
                <w:spacing w:val="-6"/>
                <w:sz w:val="18"/>
                <w:szCs w:val="18"/>
              </w:rPr>
              <w:t>组织的</w:t>
            </w:r>
            <w:r>
              <w:rPr>
                <w:rFonts w:ascii="宋体" w:hAnsi="宋体" w:cs="Arial"/>
                <w:kern w:val="0"/>
                <w:sz w:val="18"/>
                <w:szCs w:val="18"/>
              </w:rPr>
              <w:t>施工验槽</w:t>
            </w:r>
            <w:r>
              <w:rPr>
                <w:rFonts w:hint="eastAsia" w:ascii="宋体" w:hAnsi="宋体" w:cs="Arial"/>
                <w:kern w:val="0"/>
                <w:sz w:val="18"/>
                <w:szCs w:val="18"/>
              </w:rPr>
              <w:t>及</w:t>
            </w:r>
            <w:r>
              <w:rPr>
                <w:rFonts w:ascii="宋体" w:hAnsi="宋体"/>
                <w:spacing w:val="-6"/>
                <w:sz w:val="18"/>
                <w:szCs w:val="18"/>
              </w:rPr>
              <w:t>图纸审查、施工图设计交底</w:t>
            </w:r>
            <w:r>
              <w:rPr>
                <w:rFonts w:hint="eastAsia" w:ascii="宋体" w:hAnsi="宋体"/>
                <w:spacing w:val="-6"/>
                <w:sz w:val="18"/>
                <w:szCs w:val="18"/>
              </w:rPr>
              <w:t>等会议</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sz w:val="18"/>
                <w:szCs w:val="18"/>
              </w:rPr>
            </w:pPr>
            <w:r>
              <w:rPr>
                <w:rFonts w:hint="eastAsia" w:ascii="宋体" w:hAnsi="宋体"/>
                <w:spacing w:val="-6"/>
                <w:sz w:val="18"/>
                <w:szCs w:val="18"/>
              </w:rPr>
              <w:t>不</w:t>
            </w:r>
            <w:r>
              <w:rPr>
                <w:rFonts w:ascii="宋体" w:hAnsi="宋体"/>
                <w:spacing w:val="-6"/>
                <w:sz w:val="18"/>
                <w:szCs w:val="18"/>
              </w:rPr>
              <w:t>积极参加</w:t>
            </w:r>
            <w:r>
              <w:rPr>
                <w:rFonts w:hint="eastAsia" w:ascii="宋体" w:hAnsi="宋体"/>
                <w:spacing w:val="-6"/>
                <w:sz w:val="18"/>
                <w:szCs w:val="18"/>
              </w:rPr>
              <w:t>的，发生</w:t>
            </w:r>
            <w:r>
              <w:rPr>
                <w:rFonts w:ascii="宋体" w:hAnsi="宋体"/>
                <w:sz w:val="18"/>
                <w:szCs w:val="18"/>
              </w:rPr>
              <w:t>一次扣2分</w:t>
            </w:r>
            <w:r>
              <w:rPr>
                <w:rFonts w:hint="eastAsia" w:ascii="宋体" w:hAnsi="宋体"/>
                <w:sz w:val="18"/>
                <w:szCs w:val="18"/>
              </w:rPr>
              <w:t>，扣完为止。</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right w:val="single" w:color="auto" w:sz="4" w:space="0"/>
            </w:tcBorders>
            <w:shd w:val="clear" w:color="auto" w:fill="auto"/>
            <w:vAlign w:val="center"/>
          </w:tcPr>
          <w:p>
            <w:pPr>
              <w:widowControl/>
              <w:rPr>
                <w:rFonts w:ascii="宋体" w:hAnsi="宋体" w:cs="宋体"/>
                <w:b/>
                <w:bCs/>
                <w:kern w:val="0"/>
                <w:sz w:val="18"/>
                <w:szCs w:val="18"/>
              </w:rPr>
            </w:pPr>
          </w:p>
        </w:tc>
        <w:tc>
          <w:tcPr>
            <w:tcW w:w="1107" w:type="dxa"/>
            <w:vMerge w:val="continue"/>
            <w:tcBorders>
              <w:left w:val="single" w:color="auto" w:sz="4" w:space="0"/>
              <w:right w:val="single" w:color="auto" w:sz="4" w:space="0"/>
            </w:tcBorders>
            <w:shd w:val="clear" w:color="auto" w:fill="FFFFFF"/>
            <w:vAlign w:val="center"/>
          </w:tcPr>
          <w:p>
            <w:pPr>
              <w:widowControl/>
              <w:rPr>
                <w:rFonts w:ascii="宋体" w:hAnsi="宋体" w:cs="宋体"/>
                <w:b/>
                <w:kern w:val="0"/>
                <w:sz w:val="18"/>
                <w:szCs w:val="18"/>
              </w:rPr>
            </w:pPr>
          </w:p>
        </w:tc>
        <w:tc>
          <w:tcPr>
            <w:tcW w:w="1053"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4</w:t>
            </w:r>
          </w:p>
        </w:tc>
        <w:tc>
          <w:tcPr>
            <w:tcW w:w="2997" w:type="dxa"/>
            <w:tcBorders>
              <w:top w:val="single" w:color="auto" w:sz="4" w:space="0"/>
              <w:left w:val="nil"/>
              <w:bottom w:val="single" w:color="auto" w:sz="4" w:space="0"/>
              <w:right w:val="single" w:color="auto" w:sz="4" w:space="0"/>
            </w:tcBorders>
            <w:shd w:val="clear" w:color="auto" w:fill="FFFFFF"/>
            <w:vAlign w:val="center"/>
          </w:tcPr>
          <w:p>
            <w:pPr>
              <w:spacing w:line="260" w:lineRule="exact"/>
              <w:rPr>
                <w:rFonts w:ascii="宋体" w:hAnsi="宋体"/>
                <w:sz w:val="18"/>
                <w:szCs w:val="18"/>
              </w:rPr>
            </w:pPr>
            <w:r>
              <w:rPr>
                <w:rFonts w:hint="eastAsia" w:ascii="宋体" w:hAnsi="宋体" w:cs="宋体"/>
                <w:kern w:val="0"/>
                <w:sz w:val="18"/>
                <w:szCs w:val="18"/>
              </w:rPr>
              <w:t>是否</w:t>
            </w:r>
            <w:r>
              <w:rPr>
                <w:rFonts w:ascii="宋体" w:hAnsi="宋体"/>
                <w:sz w:val="18"/>
                <w:szCs w:val="18"/>
              </w:rPr>
              <w:t>积极</w:t>
            </w:r>
            <w:r>
              <w:rPr>
                <w:rFonts w:ascii="宋体" w:hAnsi="宋体"/>
                <w:spacing w:val="-6"/>
                <w:sz w:val="18"/>
                <w:szCs w:val="18"/>
              </w:rPr>
              <w:t>参加</w:t>
            </w:r>
            <w:r>
              <w:rPr>
                <w:rFonts w:hint="eastAsia" w:ascii="宋体" w:hAnsi="宋体"/>
                <w:spacing w:val="-6"/>
                <w:sz w:val="18"/>
                <w:szCs w:val="18"/>
                <w:lang w:val="en-US" w:eastAsia="zh-CN"/>
              </w:rPr>
              <w:t>甲方</w:t>
            </w:r>
            <w:r>
              <w:rPr>
                <w:rFonts w:ascii="宋体" w:hAnsi="宋体"/>
                <w:spacing w:val="-6"/>
                <w:sz w:val="18"/>
                <w:szCs w:val="18"/>
              </w:rPr>
              <w:t>组织</w:t>
            </w:r>
            <w:r>
              <w:rPr>
                <w:rFonts w:hint="eastAsia" w:ascii="宋体" w:hAnsi="宋体"/>
                <w:spacing w:val="-6"/>
                <w:sz w:val="18"/>
                <w:szCs w:val="18"/>
              </w:rPr>
              <w:t>的</w:t>
            </w:r>
            <w:r>
              <w:rPr>
                <w:rFonts w:hint="eastAsia" w:ascii="宋体" w:hAnsi="宋体"/>
                <w:sz w:val="18"/>
                <w:szCs w:val="18"/>
              </w:rPr>
              <w:t>工程</w:t>
            </w:r>
            <w:r>
              <w:rPr>
                <w:rFonts w:ascii="宋体" w:hAnsi="宋体"/>
                <w:sz w:val="18"/>
                <w:szCs w:val="18"/>
              </w:rPr>
              <w:t>技术难点处理</w:t>
            </w:r>
            <w:r>
              <w:rPr>
                <w:rFonts w:hint="eastAsia" w:ascii="宋体" w:hAnsi="宋体"/>
                <w:sz w:val="18"/>
                <w:szCs w:val="18"/>
              </w:rPr>
              <w:t>工作会</w:t>
            </w:r>
            <w:r>
              <w:rPr>
                <w:rFonts w:hint="eastAsia" w:ascii="宋体" w:hAnsi="宋体"/>
                <w:spacing w:val="-6"/>
                <w:sz w:val="18"/>
                <w:szCs w:val="18"/>
              </w:rPr>
              <w:t>议</w:t>
            </w:r>
          </w:p>
        </w:tc>
        <w:tc>
          <w:tcPr>
            <w:tcW w:w="2475" w:type="dxa"/>
            <w:tcBorders>
              <w:top w:val="single" w:color="auto" w:sz="4" w:space="0"/>
              <w:left w:val="nil"/>
              <w:bottom w:val="single" w:color="auto" w:sz="4" w:space="0"/>
              <w:right w:val="single" w:color="auto" w:sz="4" w:space="0"/>
            </w:tcBorders>
            <w:shd w:val="clear" w:color="auto" w:fill="FFFFFF"/>
            <w:vAlign w:val="center"/>
          </w:tcPr>
          <w:p>
            <w:pPr>
              <w:widowControl/>
              <w:spacing w:line="260" w:lineRule="exact"/>
              <w:rPr>
                <w:rFonts w:ascii="宋体" w:hAnsi="宋体"/>
                <w:sz w:val="18"/>
                <w:szCs w:val="18"/>
              </w:rPr>
            </w:pPr>
            <w:r>
              <w:rPr>
                <w:rFonts w:hint="eastAsia" w:ascii="宋体" w:hAnsi="宋体"/>
                <w:spacing w:val="-6"/>
                <w:sz w:val="18"/>
                <w:szCs w:val="18"/>
              </w:rPr>
              <w:t>不</w:t>
            </w:r>
            <w:r>
              <w:rPr>
                <w:rFonts w:ascii="宋体" w:hAnsi="宋体"/>
                <w:spacing w:val="-6"/>
                <w:sz w:val="18"/>
                <w:szCs w:val="18"/>
              </w:rPr>
              <w:t>积极参加</w:t>
            </w:r>
            <w:r>
              <w:rPr>
                <w:rFonts w:hint="eastAsia" w:ascii="宋体" w:hAnsi="宋体"/>
                <w:spacing w:val="-6"/>
                <w:sz w:val="18"/>
                <w:szCs w:val="18"/>
              </w:rPr>
              <w:t>的，发生</w:t>
            </w:r>
            <w:r>
              <w:rPr>
                <w:rFonts w:ascii="宋体" w:hAnsi="宋体"/>
                <w:sz w:val="18"/>
                <w:szCs w:val="18"/>
              </w:rPr>
              <w:t>一次扣2分</w:t>
            </w:r>
            <w:r>
              <w:rPr>
                <w:rFonts w:hint="eastAsia" w:ascii="宋体" w:hAnsi="宋体"/>
                <w:sz w:val="18"/>
                <w:szCs w:val="18"/>
              </w:rPr>
              <w:t>，扣完为止。</w:t>
            </w:r>
          </w:p>
        </w:tc>
        <w:tc>
          <w:tcPr>
            <w:tcW w:w="690"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right w:val="single" w:color="auto" w:sz="4" w:space="0"/>
            </w:tcBorders>
            <w:shd w:val="clear" w:color="auto" w:fill="auto"/>
            <w:vAlign w:val="center"/>
          </w:tcPr>
          <w:p>
            <w:pPr>
              <w:widowControl/>
              <w:rPr>
                <w:rFonts w:ascii="宋体" w:hAnsi="宋体" w:cs="宋体"/>
                <w:b/>
                <w:bCs/>
                <w:kern w:val="0"/>
                <w:sz w:val="18"/>
                <w:szCs w:val="18"/>
              </w:rPr>
            </w:pPr>
          </w:p>
        </w:tc>
        <w:tc>
          <w:tcPr>
            <w:tcW w:w="1107" w:type="dxa"/>
            <w:vMerge w:val="continue"/>
            <w:tcBorders>
              <w:left w:val="single" w:color="auto" w:sz="4" w:space="0"/>
              <w:right w:val="single" w:color="auto" w:sz="4" w:space="0"/>
            </w:tcBorders>
            <w:shd w:val="clear" w:color="auto" w:fill="FFFFFF"/>
            <w:vAlign w:val="center"/>
          </w:tcPr>
          <w:p>
            <w:pPr>
              <w:widowControl/>
              <w:rPr>
                <w:rFonts w:ascii="宋体" w:hAnsi="宋体" w:cs="宋体"/>
                <w:b/>
                <w:kern w:val="0"/>
                <w:sz w:val="18"/>
                <w:szCs w:val="18"/>
              </w:rPr>
            </w:pPr>
          </w:p>
        </w:tc>
        <w:tc>
          <w:tcPr>
            <w:tcW w:w="1053" w:type="dxa"/>
            <w:tcBorders>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4</w:t>
            </w:r>
          </w:p>
        </w:tc>
        <w:tc>
          <w:tcPr>
            <w:tcW w:w="2997" w:type="dxa"/>
            <w:tcBorders>
              <w:top w:val="nil"/>
              <w:left w:val="nil"/>
              <w:bottom w:val="single" w:color="auto" w:sz="4" w:space="0"/>
              <w:right w:val="single" w:color="auto" w:sz="4" w:space="0"/>
            </w:tcBorders>
            <w:shd w:val="clear" w:color="auto" w:fill="FFFFFF"/>
            <w:vAlign w:val="center"/>
          </w:tcPr>
          <w:p>
            <w:pPr>
              <w:spacing w:line="260" w:lineRule="exact"/>
              <w:rPr>
                <w:rFonts w:ascii="宋体" w:hAnsi="宋体"/>
                <w:spacing w:val="-8"/>
                <w:sz w:val="18"/>
                <w:szCs w:val="18"/>
              </w:rPr>
            </w:pPr>
            <w:r>
              <w:rPr>
                <w:rFonts w:hint="eastAsia" w:ascii="宋体" w:hAnsi="宋体" w:cs="宋体"/>
                <w:kern w:val="0"/>
                <w:sz w:val="18"/>
                <w:szCs w:val="18"/>
              </w:rPr>
              <w:t>是否认真听取、</w:t>
            </w:r>
            <w:r>
              <w:rPr>
                <w:rFonts w:hint="eastAsia" w:ascii="宋体" w:hAnsi="宋体"/>
                <w:spacing w:val="-8"/>
                <w:sz w:val="18"/>
                <w:szCs w:val="18"/>
              </w:rPr>
              <w:t>采纳</w:t>
            </w:r>
            <w:r>
              <w:rPr>
                <w:rFonts w:hint="eastAsia" w:ascii="宋体" w:hAnsi="宋体"/>
                <w:spacing w:val="-8"/>
                <w:sz w:val="18"/>
                <w:szCs w:val="18"/>
                <w:lang w:val="en-US" w:eastAsia="zh-CN"/>
              </w:rPr>
              <w:t>发包人</w:t>
            </w:r>
            <w:r>
              <w:rPr>
                <w:rFonts w:hint="eastAsia" w:ascii="宋体" w:hAnsi="宋体"/>
                <w:spacing w:val="-8"/>
                <w:sz w:val="18"/>
                <w:szCs w:val="18"/>
              </w:rPr>
              <w:t>、</w:t>
            </w:r>
            <w:r>
              <w:rPr>
                <w:rFonts w:ascii="宋体" w:hAnsi="宋体"/>
                <w:spacing w:val="-8"/>
                <w:sz w:val="18"/>
                <w:szCs w:val="18"/>
              </w:rPr>
              <w:t>施工、监理</w:t>
            </w:r>
            <w:r>
              <w:rPr>
                <w:rFonts w:hint="eastAsia" w:ascii="宋体" w:hAnsi="宋体"/>
                <w:spacing w:val="-8"/>
                <w:sz w:val="18"/>
                <w:szCs w:val="18"/>
              </w:rPr>
              <w:t>等</w:t>
            </w:r>
            <w:r>
              <w:rPr>
                <w:rFonts w:ascii="宋体" w:hAnsi="宋体"/>
                <w:spacing w:val="-8"/>
                <w:sz w:val="18"/>
                <w:szCs w:val="18"/>
              </w:rPr>
              <w:t>单位</w:t>
            </w:r>
            <w:r>
              <w:rPr>
                <w:rFonts w:hint="eastAsia" w:ascii="宋体" w:hAnsi="宋体"/>
                <w:spacing w:val="-8"/>
                <w:sz w:val="18"/>
                <w:szCs w:val="18"/>
              </w:rPr>
              <w:t>的合理化建议</w:t>
            </w:r>
          </w:p>
        </w:tc>
        <w:tc>
          <w:tcPr>
            <w:tcW w:w="2475" w:type="dxa"/>
            <w:tcBorders>
              <w:top w:val="nil"/>
              <w:left w:val="nil"/>
              <w:bottom w:val="single" w:color="auto" w:sz="4" w:space="0"/>
              <w:right w:val="single" w:color="auto" w:sz="4" w:space="0"/>
            </w:tcBorders>
            <w:shd w:val="clear" w:color="auto" w:fill="FFFFFF"/>
            <w:vAlign w:val="center"/>
          </w:tcPr>
          <w:p>
            <w:pPr>
              <w:spacing w:line="260" w:lineRule="exact"/>
              <w:rPr>
                <w:rFonts w:ascii="宋体" w:hAnsi="宋体"/>
                <w:spacing w:val="-8"/>
                <w:sz w:val="18"/>
                <w:szCs w:val="18"/>
              </w:rPr>
            </w:pPr>
            <w:r>
              <w:rPr>
                <w:rFonts w:hint="eastAsia" w:ascii="宋体" w:hAnsi="宋体" w:cs="宋体"/>
                <w:kern w:val="0"/>
                <w:sz w:val="18"/>
                <w:szCs w:val="18"/>
              </w:rPr>
              <w:t>不认真听取、不</w:t>
            </w:r>
            <w:r>
              <w:rPr>
                <w:rFonts w:hint="eastAsia" w:ascii="宋体" w:hAnsi="宋体"/>
                <w:spacing w:val="-8"/>
                <w:sz w:val="18"/>
                <w:szCs w:val="18"/>
              </w:rPr>
              <w:t>采纳合理化建议的，</w:t>
            </w:r>
          </w:p>
          <w:p>
            <w:pPr>
              <w:widowControl/>
              <w:spacing w:line="260" w:lineRule="exact"/>
              <w:rPr>
                <w:rFonts w:ascii="宋体" w:hAnsi="宋体"/>
                <w:sz w:val="18"/>
                <w:szCs w:val="18"/>
              </w:rPr>
            </w:pPr>
            <w:r>
              <w:rPr>
                <w:rFonts w:hint="eastAsia" w:ascii="宋体" w:hAnsi="宋体"/>
                <w:spacing w:val="-6"/>
                <w:sz w:val="18"/>
                <w:szCs w:val="18"/>
              </w:rPr>
              <w:t>发生</w:t>
            </w:r>
            <w:r>
              <w:rPr>
                <w:rFonts w:ascii="宋体" w:hAnsi="宋体"/>
                <w:sz w:val="18"/>
                <w:szCs w:val="18"/>
              </w:rPr>
              <w:t>一次扣1分，</w:t>
            </w:r>
            <w:r>
              <w:rPr>
                <w:rFonts w:hint="eastAsia" w:ascii="宋体" w:hAnsi="宋体"/>
                <w:sz w:val="18"/>
                <w:szCs w:val="18"/>
              </w:rPr>
              <w:t>扣完为止。</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right w:val="single" w:color="auto" w:sz="4" w:space="0"/>
            </w:tcBorders>
            <w:shd w:val="clear" w:color="auto" w:fill="auto"/>
            <w:vAlign w:val="center"/>
          </w:tcPr>
          <w:p>
            <w:pPr>
              <w:widowControl/>
              <w:rPr>
                <w:rFonts w:ascii="宋体" w:hAnsi="宋体" w:cs="宋体"/>
                <w:bCs/>
                <w:kern w:val="0"/>
                <w:sz w:val="18"/>
                <w:szCs w:val="18"/>
              </w:rPr>
            </w:pPr>
          </w:p>
        </w:tc>
        <w:tc>
          <w:tcPr>
            <w:tcW w:w="1107" w:type="dxa"/>
            <w:vMerge w:val="continue"/>
            <w:tcBorders>
              <w:left w:val="single" w:color="auto" w:sz="4" w:space="0"/>
              <w:right w:val="single" w:color="auto" w:sz="4" w:space="0"/>
            </w:tcBorders>
            <w:shd w:val="clear" w:color="auto" w:fill="FFFFFF"/>
            <w:vAlign w:val="center"/>
          </w:tcPr>
          <w:p>
            <w:pPr>
              <w:widowControl/>
              <w:rPr>
                <w:rFonts w:ascii="宋体" w:hAnsi="宋体" w:cs="宋体"/>
                <w:kern w:val="0"/>
                <w:sz w:val="18"/>
                <w:szCs w:val="18"/>
              </w:rPr>
            </w:pPr>
          </w:p>
        </w:tc>
        <w:tc>
          <w:tcPr>
            <w:tcW w:w="1053" w:type="dxa"/>
            <w:tcBorders>
              <w:left w:val="nil"/>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4</w:t>
            </w:r>
          </w:p>
        </w:tc>
        <w:tc>
          <w:tcPr>
            <w:tcW w:w="2997" w:type="dxa"/>
            <w:tcBorders>
              <w:top w:val="nil"/>
              <w:left w:val="nil"/>
              <w:bottom w:val="single" w:color="auto" w:sz="4" w:space="0"/>
              <w:right w:val="single" w:color="auto" w:sz="4" w:space="0"/>
            </w:tcBorders>
            <w:shd w:val="clear" w:color="auto" w:fill="FFFFFF"/>
            <w:vAlign w:val="center"/>
          </w:tcPr>
          <w:p>
            <w:pPr>
              <w:widowControl/>
              <w:spacing w:before="75" w:after="75" w:line="260" w:lineRule="exact"/>
              <w:rPr>
                <w:rFonts w:ascii="宋体" w:hAnsi="宋体" w:cs="宋体"/>
                <w:kern w:val="0"/>
                <w:sz w:val="18"/>
                <w:szCs w:val="18"/>
              </w:rPr>
            </w:pPr>
            <w:r>
              <w:rPr>
                <w:rFonts w:hint="eastAsia" w:ascii="宋体"/>
                <w:sz w:val="18"/>
                <w:szCs w:val="18"/>
              </w:rPr>
              <w:t>是否</w:t>
            </w:r>
            <w:r>
              <w:rPr>
                <w:rFonts w:hint="eastAsia" w:ascii="宋体" w:hAnsi="宋体" w:cs="宋体"/>
                <w:kern w:val="0"/>
                <w:sz w:val="18"/>
                <w:szCs w:val="18"/>
              </w:rPr>
              <w:t>遵守</w:t>
            </w:r>
            <w:r>
              <w:rPr>
                <w:rFonts w:hint="eastAsia" w:ascii="宋体"/>
                <w:sz w:val="18"/>
                <w:szCs w:val="18"/>
              </w:rPr>
              <w:t>勘察现场作业</w:t>
            </w:r>
            <w:r>
              <w:rPr>
                <w:rFonts w:hint="eastAsia" w:ascii="宋体" w:hAnsi="宋体" w:cs="宋体"/>
                <w:kern w:val="0"/>
                <w:sz w:val="18"/>
                <w:szCs w:val="18"/>
              </w:rPr>
              <w:t>安全制度</w:t>
            </w:r>
          </w:p>
        </w:tc>
        <w:tc>
          <w:tcPr>
            <w:tcW w:w="2475" w:type="dxa"/>
            <w:tcBorders>
              <w:top w:val="nil"/>
              <w:left w:val="nil"/>
              <w:bottom w:val="single" w:color="auto" w:sz="4" w:space="0"/>
              <w:right w:val="single" w:color="auto" w:sz="4" w:space="0"/>
            </w:tcBorders>
            <w:shd w:val="clear" w:color="auto" w:fill="FFFFFF"/>
            <w:vAlign w:val="center"/>
          </w:tcPr>
          <w:p>
            <w:pPr>
              <w:widowControl/>
              <w:spacing w:line="260" w:lineRule="exact"/>
              <w:rPr>
                <w:rFonts w:ascii="宋体" w:hAnsi="宋体"/>
                <w:sz w:val="18"/>
                <w:szCs w:val="18"/>
              </w:rPr>
            </w:pPr>
            <w:r>
              <w:rPr>
                <w:rFonts w:hint="eastAsia" w:ascii="宋体" w:hAnsi="宋体"/>
                <w:sz w:val="18"/>
                <w:szCs w:val="18"/>
              </w:rPr>
              <w:t>不</w:t>
            </w:r>
            <w:r>
              <w:rPr>
                <w:rFonts w:hint="eastAsia" w:ascii="宋体" w:hAnsi="宋体" w:cs="宋体"/>
                <w:kern w:val="0"/>
                <w:sz w:val="18"/>
                <w:szCs w:val="18"/>
              </w:rPr>
              <w:t>遵守的，</w:t>
            </w:r>
            <w:r>
              <w:rPr>
                <w:rFonts w:hint="eastAsia" w:ascii="宋体" w:hAnsi="宋体"/>
                <w:spacing w:val="-6"/>
                <w:sz w:val="18"/>
                <w:szCs w:val="18"/>
              </w:rPr>
              <w:t>发现</w:t>
            </w:r>
            <w:r>
              <w:rPr>
                <w:rFonts w:ascii="宋体" w:hAnsi="宋体"/>
                <w:sz w:val="18"/>
                <w:szCs w:val="18"/>
              </w:rPr>
              <w:t>一次扣</w:t>
            </w:r>
            <w:r>
              <w:rPr>
                <w:rFonts w:hint="eastAsia" w:ascii="宋体" w:hAnsi="宋体"/>
                <w:sz w:val="18"/>
                <w:szCs w:val="18"/>
              </w:rPr>
              <w:t>2</w:t>
            </w:r>
            <w:r>
              <w:rPr>
                <w:rFonts w:ascii="宋体" w:hAnsi="宋体"/>
                <w:sz w:val="18"/>
                <w:szCs w:val="18"/>
              </w:rPr>
              <w:t>分，</w:t>
            </w:r>
            <w:r>
              <w:rPr>
                <w:rFonts w:hint="eastAsia" w:ascii="宋体" w:hAnsi="宋体"/>
                <w:sz w:val="18"/>
                <w:szCs w:val="18"/>
              </w:rPr>
              <w:t>扣完为止。</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right w:val="single" w:color="auto" w:sz="4" w:space="0"/>
            </w:tcBorders>
            <w:shd w:val="clear" w:color="auto" w:fill="auto"/>
            <w:vAlign w:val="center"/>
          </w:tcPr>
          <w:p>
            <w:pPr>
              <w:widowControl/>
              <w:rPr>
                <w:rFonts w:ascii="宋体" w:hAnsi="宋体" w:cs="宋体"/>
                <w:bCs/>
                <w:kern w:val="0"/>
                <w:sz w:val="18"/>
                <w:szCs w:val="18"/>
              </w:rPr>
            </w:pPr>
          </w:p>
        </w:tc>
        <w:tc>
          <w:tcPr>
            <w:tcW w:w="1107" w:type="dxa"/>
            <w:vMerge w:val="continue"/>
            <w:tcBorders>
              <w:left w:val="single" w:color="auto" w:sz="4" w:space="0"/>
              <w:right w:val="single" w:color="auto" w:sz="4" w:space="0"/>
            </w:tcBorders>
            <w:shd w:val="clear" w:color="auto" w:fill="FFFFFF"/>
            <w:vAlign w:val="center"/>
          </w:tcPr>
          <w:p>
            <w:pPr>
              <w:widowControl/>
              <w:rPr>
                <w:rFonts w:ascii="宋体" w:hAnsi="宋体" w:cs="宋体"/>
                <w:kern w:val="0"/>
                <w:sz w:val="18"/>
                <w:szCs w:val="18"/>
              </w:rPr>
            </w:pP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2</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是否积极配合调查建设工程质量安全事故</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sz w:val="18"/>
                <w:szCs w:val="18"/>
              </w:rPr>
            </w:pPr>
            <w:r>
              <w:rPr>
                <w:rFonts w:hint="eastAsia" w:ascii="宋体" w:hAnsi="宋体" w:cs="宋体"/>
                <w:kern w:val="0"/>
                <w:sz w:val="18"/>
                <w:szCs w:val="18"/>
              </w:rPr>
              <w:t>不积极配合的，</w:t>
            </w:r>
            <w:r>
              <w:rPr>
                <w:rFonts w:hint="eastAsia" w:ascii="宋体" w:hAnsi="宋体"/>
                <w:spacing w:val="-6"/>
                <w:sz w:val="18"/>
                <w:szCs w:val="18"/>
              </w:rPr>
              <w:t>发生</w:t>
            </w:r>
            <w:r>
              <w:rPr>
                <w:rFonts w:ascii="宋体" w:hAnsi="宋体"/>
                <w:sz w:val="18"/>
                <w:szCs w:val="18"/>
              </w:rPr>
              <w:t>一次扣1分，</w:t>
            </w:r>
            <w:r>
              <w:rPr>
                <w:rFonts w:hint="eastAsia" w:ascii="宋体" w:hAnsi="宋体"/>
                <w:sz w:val="18"/>
                <w:szCs w:val="18"/>
              </w:rPr>
              <w:t>扣完为止。</w:t>
            </w:r>
          </w:p>
        </w:tc>
        <w:tc>
          <w:tcPr>
            <w:tcW w:w="690" w:type="dxa"/>
            <w:tcBorders>
              <w:top w:val="nil"/>
              <w:left w:val="nil"/>
              <w:bottom w:val="nil"/>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right w:val="single" w:color="auto" w:sz="4" w:space="0"/>
            </w:tcBorders>
            <w:shd w:val="clear" w:color="auto" w:fill="auto"/>
            <w:vAlign w:val="center"/>
          </w:tcPr>
          <w:p>
            <w:pPr>
              <w:widowControl/>
              <w:rPr>
                <w:rFonts w:ascii="宋体" w:hAnsi="宋体" w:cs="宋体"/>
                <w:bCs/>
                <w:kern w:val="0"/>
                <w:sz w:val="18"/>
                <w:szCs w:val="18"/>
              </w:rPr>
            </w:pPr>
          </w:p>
        </w:tc>
        <w:tc>
          <w:tcPr>
            <w:tcW w:w="1107" w:type="dxa"/>
            <w:vMerge w:val="continue"/>
            <w:tcBorders>
              <w:left w:val="single" w:color="auto" w:sz="4" w:space="0"/>
              <w:right w:val="single" w:color="auto" w:sz="4" w:space="0"/>
            </w:tcBorders>
            <w:shd w:val="clear" w:color="auto" w:fill="FFFFFF"/>
            <w:vAlign w:val="center"/>
          </w:tcPr>
          <w:p>
            <w:pPr>
              <w:widowControl/>
              <w:rPr>
                <w:rFonts w:ascii="宋体" w:hAnsi="宋体" w:cs="宋体"/>
                <w:kern w:val="0"/>
                <w:sz w:val="18"/>
                <w:szCs w:val="18"/>
              </w:rPr>
            </w:pP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2</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是否积极配合</w:t>
            </w:r>
            <w:r>
              <w:rPr>
                <w:rFonts w:ascii="宋体" w:hAnsi="宋体"/>
                <w:sz w:val="18"/>
                <w:szCs w:val="18"/>
              </w:rPr>
              <w:t>地方政府及相关部门</w:t>
            </w:r>
            <w:r>
              <w:rPr>
                <w:rFonts w:hint="eastAsia" w:ascii="宋体" w:hAnsi="宋体"/>
                <w:sz w:val="18"/>
                <w:szCs w:val="18"/>
              </w:rPr>
              <w:t>检查</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不积极配合的，</w:t>
            </w:r>
            <w:r>
              <w:rPr>
                <w:rFonts w:hint="eastAsia" w:ascii="宋体" w:hAnsi="宋体"/>
                <w:spacing w:val="-6"/>
                <w:sz w:val="18"/>
                <w:szCs w:val="18"/>
              </w:rPr>
              <w:t>发生</w:t>
            </w:r>
            <w:r>
              <w:rPr>
                <w:rFonts w:ascii="宋体" w:hAnsi="宋体"/>
                <w:sz w:val="18"/>
                <w:szCs w:val="18"/>
              </w:rPr>
              <w:t>一次扣1分，</w:t>
            </w:r>
            <w:r>
              <w:rPr>
                <w:rFonts w:hint="eastAsia" w:ascii="宋体" w:hAnsi="宋体"/>
                <w:sz w:val="18"/>
                <w:szCs w:val="18"/>
              </w:rPr>
              <w:t>扣完为止。</w:t>
            </w:r>
          </w:p>
        </w:tc>
        <w:tc>
          <w:tcPr>
            <w:tcW w:w="690" w:type="dxa"/>
            <w:tcBorders>
              <w:top w:val="nil"/>
              <w:left w:val="nil"/>
              <w:bottom w:val="nil"/>
              <w:right w:val="single" w:color="auto" w:sz="4" w:space="0"/>
            </w:tcBorders>
            <w:shd w:val="clear" w:color="auto" w:fill="FFFFFF"/>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77" w:hRule="atLeast"/>
        </w:trPr>
        <w:tc>
          <w:tcPr>
            <w:tcW w:w="720" w:type="dxa"/>
            <w:vMerge w:val="continue"/>
            <w:tcBorders>
              <w:left w:val="single" w:color="auto" w:sz="4" w:space="0"/>
              <w:bottom w:val="single" w:color="auto" w:sz="4" w:space="0"/>
              <w:right w:val="single" w:color="auto" w:sz="4" w:space="0"/>
            </w:tcBorders>
            <w:shd w:val="clear" w:color="auto" w:fill="auto"/>
            <w:vAlign w:val="center"/>
          </w:tcPr>
          <w:p>
            <w:pPr>
              <w:widowControl/>
              <w:rPr>
                <w:rFonts w:ascii="宋体" w:hAnsi="宋体" w:cs="宋体"/>
                <w:bCs/>
                <w:kern w:val="0"/>
                <w:sz w:val="18"/>
                <w:szCs w:val="18"/>
              </w:rPr>
            </w:pPr>
          </w:p>
        </w:tc>
        <w:tc>
          <w:tcPr>
            <w:tcW w:w="1107" w:type="dxa"/>
            <w:vMerge w:val="continue"/>
            <w:tcBorders>
              <w:left w:val="single" w:color="auto" w:sz="4" w:space="0"/>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c>
          <w:tcPr>
            <w:tcW w:w="10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Cs/>
                <w:kern w:val="0"/>
                <w:sz w:val="18"/>
                <w:szCs w:val="18"/>
              </w:rPr>
            </w:pPr>
            <w:r>
              <w:rPr>
                <w:rFonts w:hint="eastAsia" w:ascii="宋体" w:hAnsi="宋体" w:cs="宋体"/>
                <w:bCs/>
                <w:kern w:val="0"/>
                <w:sz w:val="18"/>
                <w:szCs w:val="18"/>
              </w:rPr>
              <w:t>2</w:t>
            </w:r>
          </w:p>
        </w:tc>
        <w:tc>
          <w:tcPr>
            <w:tcW w:w="29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kern w:val="0"/>
                <w:sz w:val="18"/>
                <w:szCs w:val="18"/>
              </w:rPr>
            </w:pPr>
            <w:r>
              <w:rPr>
                <w:rFonts w:ascii="宋体" w:hAnsi="宋体"/>
                <w:sz w:val="18"/>
                <w:szCs w:val="18"/>
              </w:rPr>
              <w:t>是否积极响应、配合集团公司的</w:t>
            </w:r>
            <w:r>
              <w:rPr>
                <w:rFonts w:hint="eastAsia" w:ascii="宋体" w:hAnsi="宋体"/>
                <w:sz w:val="18"/>
                <w:szCs w:val="18"/>
              </w:rPr>
              <w:t>其它</w:t>
            </w:r>
            <w:r>
              <w:rPr>
                <w:rFonts w:ascii="宋体" w:hAnsi="宋体"/>
                <w:sz w:val="18"/>
                <w:szCs w:val="18"/>
              </w:rPr>
              <w:t>要求</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不积极</w:t>
            </w:r>
            <w:r>
              <w:rPr>
                <w:rFonts w:ascii="宋体" w:hAnsi="宋体"/>
                <w:sz w:val="18"/>
                <w:szCs w:val="18"/>
              </w:rPr>
              <w:t>响应、配合</w:t>
            </w:r>
            <w:r>
              <w:rPr>
                <w:rFonts w:hint="eastAsia" w:ascii="宋体" w:hAnsi="宋体" w:cs="宋体"/>
                <w:kern w:val="0"/>
                <w:sz w:val="18"/>
                <w:szCs w:val="18"/>
              </w:rPr>
              <w:t>的，</w:t>
            </w:r>
            <w:r>
              <w:rPr>
                <w:rFonts w:hint="eastAsia" w:ascii="宋体" w:hAnsi="宋体"/>
                <w:spacing w:val="-6"/>
                <w:sz w:val="18"/>
                <w:szCs w:val="18"/>
              </w:rPr>
              <w:t>发生</w:t>
            </w:r>
            <w:r>
              <w:rPr>
                <w:rFonts w:ascii="宋体" w:hAnsi="宋体"/>
                <w:sz w:val="18"/>
                <w:szCs w:val="18"/>
              </w:rPr>
              <w:t>一次扣1分，</w:t>
            </w:r>
            <w:r>
              <w:rPr>
                <w:rFonts w:hint="eastAsia" w:ascii="宋体" w:hAnsi="宋体"/>
                <w:sz w:val="18"/>
                <w:szCs w:val="18"/>
              </w:rPr>
              <w:t>扣完为止。</w:t>
            </w:r>
          </w:p>
        </w:tc>
        <w:tc>
          <w:tcPr>
            <w:tcW w:w="69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kern w:val="0"/>
                <w:sz w:val="18"/>
                <w:szCs w:val="18"/>
              </w:rPr>
            </w:pPr>
          </w:p>
        </w:tc>
      </w:tr>
    </w:tbl>
    <w:p/>
    <w:tbl>
      <w:tblPr>
        <w:tblStyle w:val="53"/>
        <w:tblpPr w:leftFromText="180" w:rightFromText="180" w:vertAnchor="text" w:horzAnchor="page" w:tblpX="1455" w:tblpY="274"/>
        <w:tblOverlap w:val="never"/>
        <w:tblW w:w="9000" w:type="dxa"/>
        <w:tblInd w:w="0" w:type="dxa"/>
        <w:tblLayout w:type="fixed"/>
        <w:tblCellMar>
          <w:top w:w="0" w:type="dxa"/>
          <w:left w:w="108" w:type="dxa"/>
          <w:bottom w:w="0" w:type="dxa"/>
          <w:right w:w="108" w:type="dxa"/>
        </w:tblCellMar>
      </w:tblPr>
      <w:tblGrid>
        <w:gridCol w:w="1830"/>
        <w:gridCol w:w="7170"/>
      </w:tblGrid>
      <w:tr>
        <w:tblPrEx>
          <w:tblCellMar>
            <w:top w:w="0" w:type="dxa"/>
            <w:left w:w="108" w:type="dxa"/>
            <w:bottom w:w="0" w:type="dxa"/>
            <w:right w:w="108" w:type="dxa"/>
          </w:tblCellMar>
        </w:tblPrEx>
        <w:trPr>
          <w:trHeight w:val="73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360" w:firstLineChars="200"/>
              <w:rPr>
                <w:rFonts w:ascii="宋体" w:hAnsi="宋体"/>
                <w:sz w:val="18"/>
                <w:szCs w:val="18"/>
              </w:rPr>
            </w:pPr>
            <w:r>
              <w:rPr>
                <w:rFonts w:hint="eastAsia" w:ascii="宋体" w:hAnsi="宋体"/>
                <w:sz w:val="18"/>
                <w:szCs w:val="18"/>
              </w:rPr>
              <w:t>合计分数</w:t>
            </w:r>
          </w:p>
        </w:tc>
        <w:tc>
          <w:tcPr>
            <w:tcW w:w="71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360" w:firstLineChars="200"/>
              <w:rPr>
                <w:rFonts w:ascii="宋体" w:hAnsi="宋体"/>
                <w:sz w:val="18"/>
                <w:szCs w:val="18"/>
              </w:rPr>
            </w:pPr>
          </w:p>
        </w:tc>
      </w:tr>
      <w:tr>
        <w:tblPrEx>
          <w:tblCellMar>
            <w:top w:w="0" w:type="dxa"/>
            <w:left w:w="108" w:type="dxa"/>
            <w:bottom w:w="0" w:type="dxa"/>
            <w:right w:w="108" w:type="dxa"/>
          </w:tblCellMar>
        </w:tblPrEx>
        <w:trPr>
          <w:trHeight w:val="73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360" w:firstLineChars="200"/>
              <w:rPr>
                <w:rFonts w:ascii="宋体" w:hAnsi="宋体"/>
                <w:sz w:val="18"/>
                <w:szCs w:val="18"/>
              </w:rPr>
            </w:pPr>
            <w:r>
              <w:rPr>
                <w:rFonts w:hint="eastAsia" w:ascii="宋体" w:hAnsi="宋体"/>
                <w:sz w:val="18"/>
                <w:szCs w:val="18"/>
              </w:rPr>
              <w:t>加分项（1-6分）</w:t>
            </w:r>
          </w:p>
        </w:tc>
        <w:tc>
          <w:tcPr>
            <w:tcW w:w="71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 w:val="18"/>
                <w:szCs w:val="18"/>
              </w:rPr>
            </w:pPr>
            <w:r>
              <w:rPr>
                <w:rFonts w:hint="eastAsia" w:ascii="宋体" w:hAnsi="宋体" w:cs="宋体"/>
                <w:sz w:val="18"/>
                <w:szCs w:val="18"/>
              </w:rPr>
              <w:t>备注清楚加分事由及所加分数</w:t>
            </w:r>
          </w:p>
        </w:tc>
      </w:tr>
      <w:tr>
        <w:trPr>
          <w:trHeight w:val="73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360" w:firstLineChars="200"/>
              <w:rPr>
                <w:rFonts w:ascii="宋体" w:hAnsi="宋体"/>
                <w:sz w:val="18"/>
                <w:szCs w:val="18"/>
              </w:rPr>
            </w:pPr>
            <w:r>
              <w:rPr>
                <w:rFonts w:hint="eastAsia" w:ascii="宋体" w:hAnsi="宋体"/>
                <w:sz w:val="18"/>
                <w:szCs w:val="18"/>
              </w:rPr>
              <w:t>扣分</w:t>
            </w:r>
          </w:p>
        </w:tc>
        <w:tc>
          <w:tcPr>
            <w:tcW w:w="71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备注清楚扣分事由及所扣分数</w:t>
            </w:r>
          </w:p>
          <w:p>
            <w:pPr>
              <w:widowControl/>
              <w:spacing w:line="240" w:lineRule="atLeast"/>
              <w:ind w:firstLine="360" w:firstLineChars="200"/>
              <w:rPr>
                <w:rFonts w:ascii="宋体" w:hAnsi="宋体"/>
                <w:sz w:val="18"/>
                <w:szCs w:val="18"/>
              </w:rPr>
            </w:pPr>
          </w:p>
        </w:tc>
      </w:tr>
      <w:tr>
        <w:tblPrEx>
          <w:tblCellMar>
            <w:top w:w="0" w:type="dxa"/>
            <w:left w:w="108" w:type="dxa"/>
            <w:bottom w:w="0" w:type="dxa"/>
            <w:right w:w="108" w:type="dxa"/>
          </w:tblCellMar>
        </w:tblPrEx>
        <w:trPr>
          <w:trHeight w:val="73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360" w:firstLineChars="200"/>
              <w:rPr>
                <w:rFonts w:ascii="宋体" w:hAnsi="宋体"/>
                <w:sz w:val="18"/>
                <w:szCs w:val="18"/>
              </w:rPr>
            </w:pPr>
            <w:r>
              <w:rPr>
                <w:rFonts w:hint="eastAsia" w:ascii="宋体" w:hAnsi="宋体"/>
                <w:sz w:val="18"/>
                <w:szCs w:val="18"/>
              </w:rPr>
              <w:t>最终得分</w:t>
            </w:r>
          </w:p>
        </w:tc>
        <w:tc>
          <w:tcPr>
            <w:tcW w:w="71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360" w:firstLineChars="200"/>
              <w:rPr>
                <w:rFonts w:ascii="宋体" w:hAnsi="宋体"/>
                <w:sz w:val="18"/>
                <w:szCs w:val="18"/>
              </w:rPr>
            </w:pPr>
          </w:p>
        </w:tc>
      </w:tr>
      <w:tr>
        <w:tblPrEx>
          <w:tblCellMar>
            <w:top w:w="0" w:type="dxa"/>
            <w:left w:w="108" w:type="dxa"/>
            <w:bottom w:w="0" w:type="dxa"/>
            <w:right w:w="108" w:type="dxa"/>
          </w:tblCellMar>
        </w:tblPrEx>
        <w:trPr>
          <w:trHeight w:val="593"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sz w:val="18"/>
                <w:szCs w:val="18"/>
              </w:rPr>
            </w:pPr>
            <w:r>
              <w:rPr>
                <w:rFonts w:hint="eastAsia" w:ascii="宋体" w:hAnsi="宋体"/>
                <w:sz w:val="18"/>
                <w:szCs w:val="18"/>
              </w:rPr>
              <w:t xml:space="preserve">    评价小组签字</w:t>
            </w:r>
          </w:p>
        </w:tc>
        <w:tc>
          <w:tcPr>
            <w:tcW w:w="717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360" w:firstLineChars="200"/>
              <w:rPr>
                <w:rFonts w:ascii="宋体" w:hAnsi="宋体"/>
                <w:sz w:val="18"/>
                <w:szCs w:val="18"/>
              </w:rPr>
            </w:pPr>
          </w:p>
        </w:tc>
      </w:tr>
    </w:tbl>
    <w:p/>
    <w:p/>
    <w:p/>
    <w:p/>
    <w:p/>
    <w:p>
      <w:pPr>
        <w:rPr>
          <w:rFonts w:hint="eastAsia"/>
          <w:b/>
          <w:bCs/>
          <w:sz w:val="28"/>
          <w:szCs w:val="28"/>
        </w:rPr>
        <w:sectPr>
          <w:headerReference r:id="rId6" w:type="default"/>
          <w:footerReference r:id="rId7" w:type="default"/>
          <w:pgSz w:w="11906" w:h="16838"/>
          <w:pgMar w:top="1276" w:right="1351" w:bottom="1135" w:left="1414"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b/>
          <w:bCs/>
          <w:sz w:val="28"/>
          <w:szCs w:val="28"/>
        </w:rPr>
      </w:pPr>
      <w:r>
        <w:rPr>
          <w:rFonts w:hint="eastAsia"/>
          <w:b/>
          <w:bCs/>
          <w:sz w:val="28"/>
          <w:szCs w:val="28"/>
        </w:rPr>
        <w:t>附件</w:t>
      </w:r>
      <w:r>
        <w:rPr>
          <w:rFonts w:hint="eastAsia"/>
          <w:b/>
          <w:bCs/>
          <w:sz w:val="28"/>
          <w:szCs w:val="28"/>
          <w:lang w:val="en-US" w:eastAsia="zh-CN"/>
        </w:rPr>
        <w:t>3</w:t>
      </w:r>
      <w:r>
        <w:rPr>
          <w:rFonts w:hint="eastAsia"/>
          <w:b/>
          <w:bCs/>
          <w:sz w:val="28"/>
          <w:szCs w:val="28"/>
        </w:rPr>
        <w:t>：廉政协议</w:t>
      </w:r>
    </w:p>
    <w:p>
      <w:pPr>
        <w:spacing w:line="360" w:lineRule="auto"/>
        <w:jc w:val="center"/>
        <w:rPr>
          <w:rFonts w:ascii="宋体"/>
          <w:b/>
          <w:sz w:val="36"/>
          <w:szCs w:val="36"/>
        </w:rPr>
      </w:pPr>
      <w:r>
        <w:rPr>
          <w:rFonts w:hint="eastAsia" w:ascii="宋体"/>
          <w:b/>
          <w:spacing w:val="20"/>
          <w:sz w:val="36"/>
          <w:szCs w:val="36"/>
        </w:rPr>
        <w:t>廉政协议</w:t>
      </w:r>
    </w:p>
    <w:p>
      <w:pPr>
        <w:spacing w:beforeLines="50" w:afterLines="50" w:line="360" w:lineRule="auto"/>
        <w:contextualSpacing/>
        <w:rPr>
          <w:rFonts w:ascii="宋体"/>
          <w:sz w:val="24"/>
          <w:szCs w:val="24"/>
        </w:rPr>
      </w:pPr>
      <w:r>
        <w:rPr>
          <w:rFonts w:hint="eastAsia" w:ascii="宋体" w:hAnsi="宋体"/>
          <w:sz w:val="24"/>
          <w:szCs w:val="24"/>
        </w:rPr>
        <w:t xml:space="preserve">    发包人及</w:t>
      </w:r>
      <w:r>
        <w:rPr>
          <w:rFonts w:hint="eastAsia" w:ascii="宋体" w:hAnsi="宋体"/>
          <w:sz w:val="24"/>
          <w:szCs w:val="24"/>
          <w:lang w:val="en-US" w:eastAsia="zh-CN"/>
        </w:rPr>
        <w:t>承包</w:t>
      </w:r>
      <w:r>
        <w:rPr>
          <w:rFonts w:hint="eastAsia" w:ascii="宋体" w:hAnsi="宋体"/>
          <w:sz w:val="24"/>
          <w:szCs w:val="24"/>
        </w:rPr>
        <w:t>人为加强阳光合作，保证职员职业安全，双方经协商签</w:t>
      </w:r>
      <w:r>
        <w:rPr>
          <w:rFonts w:hint="eastAsia" w:ascii="宋体" w:hAnsi="宋体"/>
          <w:sz w:val="24"/>
          <w:szCs w:val="24"/>
          <w:lang w:val="en-US" w:eastAsia="zh-CN"/>
        </w:rPr>
        <w:t>订</w:t>
      </w:r>
      <w:r>
        <w:rPr>
          <w:rFonts w:hint="eastAsia" w:ascii="宋体" w:hAnsi="宋体"/>
          <w:sz w:val="24"/>
          <w:szCs w:val="24"/>
        </w:rPr>
        <w:t>本协议并作为双方共同遵守的廉政行为准则。</w:t>
      </w:r>
    </w:p>
    <w:p>
      <w:pPr>
        <w:widowControl/>
        <w:numPr>
          <w:ilvl w:val="0"/>
          <w:numId w:val="6"/>
        </w:numPr>
        <w:spacing w:beforeLines="50" w:afterLines="50" w:line="360" w:lineRule="auto"/>
        <w:contextualSpacing/>
        <w:rPr>
          <w:rFonts w:ascii="宋体" w:hAnsi="宋体"/>
          <w:b/>
          <w:sz w:val="24"/>
          <w:szCs w:val="24"/>
        </w:rPr>
      </w:pPr>
      <w:r>
        <w:rPr>
          <w:rFonts w:hint="eastAsia" w:ascii="宋体" w:hAnsi="宋体"/>
          <w:b/>
          <w:sz w:val="24"/>
          <w:szCs w:val="24"/>
        </w:rPr>
        <w:t>发包人责任</w:t>
      </w:r>
    </w:p>
    <w:p>
      <w:pPr>
        <w:spacing w:beforeLines="50" w:afterLines="50" w:line="360" w:lineRule="auto"/>
        <w:ind w:left="105" w:leftChars="50" w:firstLine="420"/>
        <w:contextualSpacing/>
        <w:rPr>
          <w:rFonts w:ascii="宋体" w:hAnsi="宋体"/>
          <w:sz w:val="24"/>
          <w:szCs w:val="24"/>
        </w:rPr>
      </w:pPr>
      <w:r>
        <w:rPr>
          <w:rFonts w:hint="eastAsia" w:ascii="宋体" w:hAnsi="宋体"/>
          <w:sz w:val="24"/>
          <w:szCs w:val="24"/>
        </w:rPr>
        <w:t>1.发包人从事业务活动必须坚持公开、公平、公正、诚信、透明的原则（除法律法规认定的商业秘密和合同文件另有规定者外）。</w:t>
      </w:r>
    </w:p>
    <w:p>
      <w:pPr>
        <w:spacing w:beforeLines="50" w:afterLines="50" w:line="360" w:lineRule="auto"/>
        <w:ind w:left="105" w:leftChars="50" w:firstLine="480" w:firstLineChars="200"/>
        <w:contextualSpacing/>
        <w:rPr>
          <w:rFonts w:ascii="宋体" w:hAnsi="宋体"/>
          <w:sz w:val="24"/>
          <w:szCs w:val="24"/>
        </w:rPr>
      </w:pPr>
      <w:r>
        <w:rPr>
          <w:rFonts w:hint="eastAsia" w:ascii="宋体" w:hAnsi="宋体"/>
          <w:sz w:val="24"/>
          <w:szCs w:val="24"/>
        </w:rPr>
        <w:t>2.发包人人员应严格遵守本单位有廉政管理的规定，不得接受</w:t>
      </w:r>
      <w:r>
        <w:rPr>
          <w:rFonts w:hint="eastAsia" w:ascii="宋体" w:hAnsi="宋体"/>
          <w:sz w:val="24"/>
          <w:szCs w:val="24"/>
          <w:lang w:val="en-US" w:eastAsia="zh-CN"/>
        </w:rPr>
        <w:t>承包</w:t>
      </w:r>
      <w:r>
        <w:rPr>
          <w:rFonts w:hint="eastAsia" w:ascii="宋体" w:hAnsi="宋体"/>
          <w:sz w:val="24"/>
          <w:szCs w:val="24"/>
        </w:rPr>
        <w:t>人任何形式的回扣、实物、现金、有价证券、礼券等有价物品，不得参加</w:t>
      </w:r>
      <w:r>
        <w:rPr>
          <w:rFonts w:hint="eastAsia" w:ascii="宋体" w:hAnsi="宋体"/>
          <w:sz w:val="24"/>
          <w:szCs w:val="24"/>
          <w:lang w:val="en-US" w:eastAsia="zh-CN"/>
        </w:rPr>
        <w:t>承包</w:t>
      </w:r>
      <w:r>
        <w:rPr>
          <w:rFonts w:hint="eastAsia" w:ascii="宋体" w:hAnsi="宋体"/>
          <w:sz w:val="24"/>
          <w:szCs w:val="24"/>
        </w:rPr>
        <w:t xml:space="preserve">人提供的旅游或其他可能影响职务行为公正履行的活动。 </w:t>
      </w:r>
    </w:p>
    <w:p>
      <w:pPr>
        <w:spacing w:beforeLines="50" w:afterLines="50" w:line="360" w:lineRule="auto"/>
        <w:ind w:left="105" w:leftChars="50" w:firstLine="480" w:firstLineChars="200"/>
        <w:contextualSpacing/>
        <w:rPr>
          <w:rFonts w:ascii="宋体" w:hAnsi="宋体"/>
          <w:sz w:val="24"/>
          <w:szCs w:val="24"/>
        </w:rPr>
      </w:pPr>
      <w:r>
        <w:rPr>
          <w:rFonts w:hint="eastAsia" w:ascii="宋体" w:hAnsi="宋体"/>
          <w:sz w:val="24"/>
          <w:szCs w:val="24"/>
        </w:rPr>
        <w:t>3.发包人人员如违反廉政管理制度及本协议规定，发包人视情节轻重、影响大小给予处罚，或移交司法机关处理。</w:t>
      </w:r>
    </w:p>
    <w:p>
      <w:pPr>
        <w:spacing w:beforeLines="50" w:afterLines="50" w:line="360" w:lineRule="auto"/>
        <w:ind w:left="105" w:leftChars="50" w:firstLine="480" w:firstLineChars="200"/>
        <w:contextualSpacing/>
        <w:rPr>
          <w:rFonts w:ascii="宋体" w:hAnsi="宋体"/>
          <w:sz w:val="24"/>
          <w:szCs w:val="24"/>
        </w:rPr>
      </w:pPr>
      <w:r>
        <w:rPr>
          <w:rFonts w:hint="eastAsia" w:ascii="宋体" w:hAnsi="宋体"/>
          <w:sz w:val="24"/>
          <w:szCs w:val="24"/>
        </w:rPr>
        <w:t>4．对于</w:t>
      </w:r>
      <w:r>
        <w:rPr>
          <w:rFonts w:hint="eastAsia" w:ascii="宋体" w:hAnsi="宋体"/>
          <w:sz w:val="24"/>
          <w:szCs w:val="24"/>
          <w:lang w:val="en-US" w:eastAsia="zh-CN"/>
        </w:rPr>
        <w:t>承包</w:t>
      </w:r>
      <w:r>
        <w:rPr>
          <w:rFonts w:hint="eastAsia" w:ascii="宋体" w:hAnsi="宋体"/>
          <w:sz w:val="24"/>
          <w:szCs w:val="24"/>
        </w:rPr>
        <w:t>人举报发包人人员违反廉政规定的情况，发包人应及时进行调查，根据调查情况进行处理，并将调查结果向</w:t>
      </w:r>
      <w:r>
        <w:rPr>
          <w:rFonts w:hint="eastAsia" w:ascii="宋体" w:hAnsi="宋体"/>
          <w:sz w:val="24"/>
          <w:szCs w:val="24"/>
          <w:lang w:val="en-US" w:eastAsia="zh-CN"/>
        </w:rPr>
        <w:t>承包</w:t>
      </w:r>
      <w:r>
        <w:rPr>
          <w:rFonts w:hint="eastAsia" w:ascii="宋体" w:hAnsi="宋体"/>
          <w:sz w:val="24"/>
          <w:szCs w:val="24"/>
        </w:rPr>
        <w:t>人反馈。</w:t>
      </w:r>
    </w:p>
    <w:p>
      <w:pPr>
        <w:spacing w:beforeLines="50" w:afterLines="50" w:line="360" w:lineRule="auto"/>
        <w:ind w:left="105" w:leftChars="50" w:firstLine="480" w:firstLineChars="200"/>
        <w:contextualSpacing/>
        <w:rPr>
          <w:rFonts w:ascii="宋体" w:hAnsi="宋体"/>
          <w:sz w:val="24"/>
          <w:szCs w:val="24"/>
        </w:rPr>
      </w:pPr>
      <w:r>
        <w:rPr>
          <w:rFonts w:hint="eastAsia" w:ascii="宋体" w:hAnsi="宋体"/>
          <w:sz w:val="24"/>
          <w:szCs w:val="24"/>
        </w:rPr>
        <w:t>5.接受举报的一方应为举报方保密，不得对举报方进行报复。</w:t>
      </w:r>
    </w:p>
    <w:p>
      <w:pPr>
        <w:widowControl/>
        <w:numPr>
          <w:ilvl w:val="0"/>
          <w:numId w:val="6"/>
        </w:numPr>
        <w:spacing w:beforeLines="50" w:afterLines="50" w:line="360" w:lineRule="auto"/>
        <w:contextualSpacing/>
        <w:rPr>
          <w:rFonts w:ascii="宋体" w:hAnsi="宋体"/>
          <w:b/>
          <w:sz w:val="24"/>
          <w:szCs w:val="24"/>
        </w:rPr>
      </w:pPr>
      <w:r>
        <w:rPr>
          <w:rFonts w:hint="eastAsia" w:ascii="宋体" w:hAnsi="宋体"/>
          <w:b/>
          <w:sz w:val="24"/>
          <w:szCs w:val="24"/>
          <w:lang w:val="en-US" w:eastAsia="zh-CN"/>
        </w:rPr>
        <w:t>承包</w:t>
      </w:r>
      <w:r>
        <w:rPr>
          <w:rFonts w:hint="eastAsia" w:ascii="宋体" w:hAnsi="宋体"/>
          <w:b/>
          <w:sz w:val="24"/>
          <w:szCs w:val="24"/>
        </w:rPr>
        <w:t>人责任</w:t>
      </w:r>
    </w:p>
    <w:p>
      <w:pPr>
        <w:spacing w:beforeLines="50" w:afterLines="50" w:line="360" w:lineRule="auto"/>
        <w:ind w:left="105" w:leftChars="50" w:firstLine="420"/>
        <w:contextualSpacing/>
        <w:rPr>
          <w:rFonts w:ascii="宋体" w:hAnsi="宋体"/>
          <w:sz w:val="24"/>
          <w:szCs w:val="24"/>
        </w:rPr>
      </w:pPr>
      <w:r>
        <w:rPr>
          <w:rFonts w:hint="eastAsia" w:ascii="宋体" w:hAnsi="宋体"/>
          <w:sz w:val="24"/>
          <w:szCs w:val="24"/>
          <w:lang w:val="en-US" w:eastAsia="zh-CN"/>
        </w:rPr>
        <w:t>承包</w:t>
      </w:r>
      <w:r>
        <w:rPr>
          <w:rFonts w:hint="eastAsia" w:ascii="宋体" w:hAnsi="宋体"/>
          <w:sz w:val="24"/>
          <w:szCs w:val="24"/>
        </w:rPr>
        <w:t>人应与发包人保持正常的业务交往，按照有关法律法规和程序开展业务活动。</w:t>
      </w:r>
    </w:p>
    <w:p>
      <w:pPr>
        <w:spacing w:beforeLines="50" w:afterLines="50" w:line="360" w:lineRule="auto"/>
        <w:ind w:left="105" w:leftChars="50" w:firstLine="480" w:firstLineChars="200"/>
        <w:contextualSpacing/>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承包</w:t>
      </w:r>
      <w:r>
        <w:rPr>
          <w:rFonts w:hint="eastAsia" w:ascii="宋体" w:hAnsi="宋体"/>
          <w:sz w:val="24"/>
          <w:szCs w:val="24"/>
        </w:rPr>
        <w:t>人不得以任何形式给予发包人人员回扣、赠送实物、现金、有价证券、礼券等有价物品或提供旅游等其他可能影响职务行为公正履行的活动（以下统称“财物”）。</w:t>
      </w:r>
    </w:p>
    <w:p>
      <w:pPr>
        <w:spacing w:beforeLines="50" w:afterLines="50" w:line="360" w:lineRule="auto"/>
        <w:ind w:left="105" w:leftChars="50" w:firstLine="480" w:firstLineChars="200"/>
        <w:contextualSpacing/>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承包</w:t>
      </w:r>
      <w:r>
        <w:rPr>
          <w:rFonts w:hint="eastAsia" w:ascii="宋体" w:hAnsi="宋体"/>
          <w:sz w:val="24"/>
          <w:szCs w:val="24"/>
        </w:rPr>
        <w:t>人有责任接受发包人对</w:t>
      </w:r>
      <w:r>
        <w:rPr>
          <w:rFonts w:hint="eastAsia" w:ascii="宋体" w:hAnsi="宋体"/>
          <w:sz w:val="24"/>
          <w:szCs w:val="24"/>
          <w:lang w:val="en-US" w:eastAsia="zh-CN"/>
        </w:rPr>
        <w:t>承包</w:t>
      </w:r>
      <w:r>
        <w:rPr>
          <w:rFonts w:hint="eastAsia" w:ascii="宋体" w:hAnsi="宋体"/>
          <w:sz w:val="24"/>
          <w:szCs w:val="24"/>
        </w:rPr>
        <w:t>人在合作期间廉政管理执行情况的监督，并对发包人相关调查工作主动配合。</w:t>
      </w:r>
    </w:p>
    <w:p>
      <w:pPr>
        <w:spacing w:beforeLines="50" w:afterLines="50" w:line="360" w:lineRule="auto"/>
        <w:ind w:left="105" w:leftChars="50" w:firstLine="480" w:firstLineChars="200"/>
        <w:contextualSpacing/>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承包</w:t>
      </w:r>
      <w:r>
        <w:rPr>
          <w:rFonts w:hint="eastAsia" w:ascii="宋体" w:hAnsi="宋体"/>
          <w:sz w:val="24"/>
          <w:szCs w:val="24"/>
        </w:rPr>
        <w:t>人有义务就发包人人员任何形式的索取或收受财物行为及时向发包人举报。如</w:t>
      </w:r>
      <w:r>
        <w:rPr>
          <w:rFonts w:hint="eastAsia" w:ascii="宋体" w:hAnsi="宋体"/>
          <w:sz w:val="24"/>
          <w:szCs w:val="24"/>
          <w:lang w:val="en-US" w:eastAsia="zh-CN"/>
        </w:rPr>
        <w:t>承包</w:t>
      </w:r>
      <w:r>
        <w:rPr>
          <w:rFonts w:hint="eastAsia" w:ascii="宋体" w:hAnsi="宋体"/>
          <w:sz w:val="24"/>
          <w:szCs w:val="24"/>
        </w:rPr>
        <w:t>人或其人员向发包人人员给予财物，或发包人人员向</w:t>
      </w:r>
      <w:r>
        <w:rPr>
          <w:rFonts w:hint="eastAsia" w:ascii="宋体" w:hAnsi="宋体"/>
          <w:sz w:val="24"/>
          <w:szCs w:val="24"/>
          <w:lang w:val="en-US" w:eastAsia="zh-CN"/>
        </w:rPr>
        <w:t>承包</w:t>
      </w:r>
      <w:r>
        <w:rPr>
          <w:rFonts w:hint="eastAsia" w:ascii="宋体" w:hAnsi="宋体"/>
          <w:sz w:val="24"/>
          <w:szCs w:val="24"/>
        </w:rPr>
        <w:t>人索取财物，</w:t>
      </w:r>
      <w:r>
        <w:rPr>
          <w:rFonts w:hint="eastAsia" w:ascii="宋体" w:hAnsi="宋体"/>
          <w:sz w:val="24"/>
          <w:szCs w:val="24"/>
          <w:lang w:val="en-US" w:eastAsia="zh-CN"/>
        </w:rPr>
        <w:t>承包</w:t>
      </w:r>
      <w:r>
        <w:rPr>
          <w:rFonts w:hint="eastAsia" w:ascii="宋体" w:hAnsi="宋体"/>
          <w:sz w:val="24"/>
          <w:szCs w:val="24"/>
        </w:rPr>
        <w:t>人满足其要求并且未向发包人举报的，一经查实（包括但不限于被发包人核实属实，或者被司法机关或第三方核实属实的），发包人将在内部通报；</w:t>
      </w:r>
      <w:r>
        <w:rPr>
          <w:rFonts w:hint="eastAsia" w:ascii="宋体" w:hAnsi="宋体"/>
          <w:sz w:val="24"/>
          <w:szCs w:val="24"/>
          <w:lang w:val="en-US" w:eastAsia="zh-CN"/>
        </w:rPr>
        <w:t>承包</w:t>
      </w:r>
      <w:r>
        <w:rPr>
          <w:rFonts w:hint="eastAsia" w:ascii="宋体" w:hAnsi="宋体"/>
          <w:sz w:val="24"/>
          <w:szCs w:val="24"/>
        </w:rPr>
        <w:t>人除应向发包人赔偿由此给发包人造成的损失外，</w:t>
      </w:r>
      <w:r>
        <w:rPr>
          <w:rFonts w:hint="eastAsia" w:ascii="宋体" w:hAnsi="宋体"/>
          <w:sz w:val="24"/>
          <w:szCs w:val="24"/>
          <w:lang w:val="en-US" w:eastAsia="zh-CN"/>
        </w:rPr>
        <w:t>承包</w:t>
      </w:r>
      <w:r>
        <w:rPr>
          <w:rFonts w:hint="eastAsia" w:ascii="宋体" w:hAnsi="宋体"/>
          <w:sz w:val="24"/>
          <w:szCs w:val="24"/>
        </w:rPr>
        <w:t>人还应向发包人支付相当于原合同总价的10%的违约金，并对</w:t>
      </w:r>
      <w:r>
        <w:rPr>
          <w:rFonts w:hint="eastAsia" w:ascii="宋体" w:hAnsi="宋体"/>
          <w:sz w:val="24"/>
          <w:szCs w:val="24"/>
          <w:lang w:val="en-US" w:eastAsia="zh-CN"/>
        </w:rPr>
        <w:t>承包</w:t>
      </w:r>
      <w:r>
        <w:rPr>
          <w:rFonts w:hint="eastAsia" w:ascii="宋体" w:hAnsi="宋体"/>
          <w:sz w:val="24"/>
          <w:szCs w:val="24"/>
        </w:rPr>
        <w:t>人知情不报人员进行相应处罚，被司法机关立案查处核实属实的，发包人有权解除原合同，如发包人解除原合同的，则</w:t>
      </w:r>
      <w:r>
        <w:rPr>
          <w:rFonts w:hint="eastAsia" w:ascii="宋体" w:hAnsi="宋体"/>
          <w:sz w:val="24"/>
          <w:szCs w:val="24"/>
          <w:lang w:val="en-US" w:eastAsia="zh-CN"/>
        </w:rPr>
        <w:t>承包</w:t>
      </w:r>
      <w:r>
        <w:rPr>
          <w:rFonts w:hint="eastAsia" w:ascii="宋体" w:hAnsi="宋体"/>
          <w:sz w:val="24"/>
          <w:szCs w:val="24"/>
        </w:rPr>
        <w:t>人应退还发包人所支付的所有款项并按原合同与本合同约定承担违约责任。</w:t>
      </w:r>
    </w:p>
    <w:p>
      <w:pPr>
        <w:spacing w:beforeLines="50" w:afterLines="50" w:line="360" w:lineRule="auto"/>
        <w:ind w:left="105" w:leftChars="50" w:firstLine="480" w:firstLineChars="200"/>
        <w:contextualSpacing/>
        <w:rPr>
          <w:sz w:val="24"/>
          <w:szCs w:val="24"/>
        </w:rPr>
      </w:pPr>
      <w:r>
        <w:rPr>
          <w:rFonts w:hint="eastAsia" w:ascii="宋体" w:hAnsi="宋体"/>
          <w:sz w:val="24"/>
          <w:szCs w:val="24"/>
        </w:rPr>
        <w:t>4．发包人接受</w:t>
      </w:r>
      <w:r>
        <w:rPr>
          <w:rFonts w:hint="eastAsia" w:ascii="宋体" w:hAnsi="宋体"/>
          <w:sz w:val="24"/>
          <w:szCs w:val="24"/>
          <w:lang w:val="en-US" w:eastAsia="zh-CN"/>
        </w:rPr>
        <w:t>承包</w:t>
      </w:r>
      <w:r>
        <w:rPr>
          <w:rFonts w:hint="eastAsia" w:ascii="宋体" w:hAnsi="宋体"/>
          <w:sz w:val="24"/>
          <w:szCs w:val="24"/>
        </w:rPr>
        <w:t>人实名或匿名举报，保证为举报者的信息保密。</w:t>
      </w:r>
    </w:p>
    <w:p>
      <w:pPr>
        <w:widowControl/>
        <w:numPr>
          <w:ilvl w:val="0"/>
          <w:numId w:val="6"/>
        </w:numPr>
        <w:spacing w:beforeLines="50" w:afterLines="50" w:line="360" w:lineRule="auto"/>
        <w:contextualSpacing/>
        <w:rPr>
          <w:rFonts w:ascii="宋体" w:hAnsi="宋体"/>
          <w:b/>
          <w:sz w:val="24"/>
          <w:szCs w:val="24"/>
        </w:rPr>
      </w:pPr>
      <w:r>
        <w:rPr>
          <w:rFonts w:hint="eastAsia" w:ascii="宋体" w:hAnsi="宋体"/>
          <w:b/>
          <w:sz w:val="24"/>
          <w:szCs w:val="24"/>
        </w:rPr>
        <w:t>其他</w:t>
      </w:r>
    </w:p>
    <w:p>
      <w:pPr>
        <w:spacing w:beforeLines="50" w:afterLines="50" w:line="360" w:lineRule="auto"/>
        <w:ind w:left="105" w:leftChars="50" w:firstLine="480" w:firstLineChars="200"/>
        <w:contextualSpacing/>
        <w:rPr>
          <w:rFonts w:ascii="宋体" w:hAnsi="宋体"/>
          <w:sz w:val="24"/>
          <w:szCs w:val="24"/>
        </w:rPr>
      </w:pPr>
      <w:r>
        <w:rPr>
          <w:rFonts w:hint="eastAsia" w:ascii="宋体" w:hAnsi="宋体"/>
          <w:sz w:val="24"/>
          <w:szCs w:val="24"/>
        </w:rPr>
        <w:t>本协议经双方签署后生效。</w:t>
      </w:r>
    </w:p>
    <w:p>
      <w:pPr>
        <w:spacing w:beforeLines="50" w:afterLines="50" w:line="360" w:lineRule="auto"/>
        <w:ind w:right="26"/>
        <w:contextualSpacing/>
        <w:rPr>
          <w:rFonts w:ascii="宋体" w:hAnsi="宋体"/>
          <w:sz w:val="24"/>
          <w:szCs w:val="24"/>
        </w:rPr>
      </w:pPr>
    </w:p>
    <w:p>
      <w:pPr>
        <w:spacing w:beforeLines="50" w:afterLines="50" w:line="360" w:lineRule="auto"/>
        <w:ind w:right="26" w:firstLine="360" w:firstLineChars="150"/>
        <w:contextualSpacing/>
        <w:rPr>
          <w:rFonts w:ascii="宋体"/>
          <w:sz w:val="24"/>
          <w:szCs w:val="24"/>
        </w:rPr>
      </w:pPr>
      <w:r>
        <w:rPr>
          <w:rFonts w:hint="eastAsia" w:ascii="宋体" w:hAnsi="宋体"/>
          <w:sz w:val="24"/>
          <w:szCs w:val="24"/>
        </w:rPr>
        <w:t>发包人（公章）：</w:t>
      </w:r>
      <w:r>
        <w:rPr>
          <w:rFonts w:hint="eastAsia" w:ascii="宋体"/>
          <w:sz w:val="24"/>
          <w:szCs w:val="24"/>
        </w:rPr>
        <w:tab/>
      </w:r>
      <w:r>
        <w:rPr>
          <w:rFonts w:hint="eastAsia" w:ascii="宋体"/>
          <w:sz w:val="24"/>
          <w:szCs w:val="24"/>
        </w:rPr>
        <w:tab/>
      </w:r>
      <w:r>
        <w:rPr>
          <w:rFonts w:hint="eastAsia" w:ascii="宋体"/>
          <w:sz w:val="24"/>
          <w:szCs w:val="24"/>
        </w:rPr>
        <w:tab/>
      </w:r>
      <w:r>
        <w:rPr>
          <w:rFonts w:hint="eastAsia" w:ascii="宋体"/>
          <w:sz w:val="24"/>
          <w:szCs w:val="24"/>
        </w:rPr>
        <w:tab/>
      </w:r>
      <w:r>
        <w:rPr>
          <w:rFonts w:hint="eastAsia" w:ascii="宋体"/>
          <w:sz w:val="24"/>
          <w:szCs w:val="24"/>
        </w:rPr>
        <w:tab/>
      </w:r>
      <w:r>
        <w:rPr>
          <w:rFonts w:hint="eastAsia" w:ascii="宋体" w:hAnsi="宋体"/>
          <w:sz w:val="24"/>
          <w:szCs w:val="24"/>
        </w:rPr>
        <w:t xml:space="preserve">        </w:t>
      </w:r>
      <w:r>
        <w:rPr>
          <w:rFonts w:hint="eastAsia" w:ascii="宋体" w:hAnsi="宋体"/>
          <w:sz w:val="24"/>
          <w:szCs w:val="24"/>
          <w:lang w:val="en-US" w:eastAsia="zh-CN"/>
        </w:rPr>
        <w:t>承包</w:t>
      </w:r>
      <w:r>
        <w:rPr>
          <w:rFonts w:hint="eastAsia" w:ascii="宋体" w:hAnsi="宋体"/>
          <w:sz w:val="24"/>
          <w:szCs w:val="24"/>
        </w:rPr>
        <w:t>人（公章）：</w:t>
      </w:r>
    </w:p>
    <w:p>
      <w:pPr>
        <w:spacing w:beforeLines="50" w:afterLines="50" w:line="360" w:lineRule="auto"/>
        <w:ind w:right="26" w:firstLine="960" w:firstLineChars="400"/>
        <w:contextualSpacing/>
        <w:rPr>
          <w:rFonts w:ascii="宋体" w:hAnsi="宋体"/>
          <w:sz w:val="24"/>
          <w:szCs w:val="24"/>
        </w:rPr>
      </w:pPr>
    </w:p>
    <w:p>
      <w:pPr>
        <w:spacing w:beforeLines="50" w:afterLines="50" w:line="360" w:lineRule="auto"/>
        <w:ind w:right="26" w:firstLine="360" w:firstLineChars="150"/>
        <w:contextualSpacing/>
        <w:rPr>
          <w:rFonts w:ascii="宋体"/>
          <w:sz w:val="24"/>
          <w:szCs w:val="24"/>
        </w:rPr>
      </w:pPr>
      <w:r>
        <w:rPr>
          <w:rFonts w:hint="eastAsia" w:ascii="宋体" w:hAnsi="宋体"/>
          <w:sz w:val="24"/>
          <w:szCs w:val="24"/>
        </w:rPr>
        <w:t>法定代表人（授权代表）：</w:t>
      </w:r>
      <w:r>
        <w:rPr>
          <w:rFonts w:hint="eastAsia" w:ascii="宋体"/>
          <w:sz w:val="24"/>
          <w:szCs w:val="24"/>
        </w:rPr>
        <w:tab/>
      </w:r>
      <w:r>
        <w:rPr>
          <w:rFonts w:hint="eastAsia" w:ascii="宋体"/>
          <w:sz w:val="24"/>
          <w:szCs w:val="24"/>
        </w:rPr>
        <w:tab/>
      </w:r>
      <w:r>
        <w:rPr>
          <w:rFonts w:hint="eastAsia" w:ascii="宋体"/>
          <w:sz w:val="24"/>
          <w:szCs w:val="24"/>
        </w:rPr>
        <w:tab/>
      </w:r>
      <w:r>
        <w:rPr>
          <w:rFonts w:hint="eastAsia" w:ascii="宋体"/>
          <w:sz w:val="24"/>
          <w:szCs w:val="24"/>
        </w:rPr>
        <w:tab/>
      </w:r>
      <w:r>
        <w:rPr>
          <w:rFonts w:hint="eastAsia" w:ascii="宋体"/>
          <w:sz w:val="24"/>
          <w:szCs w:val="24"/>
        </w:rPr>
        <w:t xml:space="preserve">     </w:t>
      </w:r>
      <w:r>
        <w:rPr>
          <w:rFonts w:hint="eastAsia" w:ascii="宋体" w:hAnsi="宋体"/>
          <w:sz w:val="24"/>
          <w:szCs w:val="24"/>
        </w:rPr>
        <w:t>法定代表人（授权代表）：</w:t>
      </w:r>
    </w:p>
    <w:p>
      <w:pPr>
        <w:spacing w:beforeLines="50" w:afterLines="50" w:line="360" w:lineRule="auto"/>
        <w:ind w:right="26" w:firstLine="960" w:firstLineChars="400"/>
        <w:contextualSpacing/>
        <w:rPr>
          <w:rFonts w:ascii="宋体" w:hAnsi="宋体"/>
          <w:sz w:val="24"/>
          <w:szCs w:val="24"/>
        </w:rPr>
      </w:pPr>
    </w:p>
    <w:p>
      <w:pPr>
        <w:spacing w:beforeLines="50" w:afterLines="50" w:line="360" w:lineRule="auto"/>
        <w:ind w:right="26" w:firstLine="360" w:firstLineChars="150"/>
        <w:contextualSpacing/>
        <w:rPr>
          <w:sz w:val="24"/>
          <w:szCs w:val="24"/>
        </w:rPr>
      </w:pPr>
      <w:r>
        <w:rPr>
          <w:rFonts w:hint="eastAsia" w:ascii="宋体" w:hAnsi="宋体"/>
          <w:sz w:val="24"/>
          <w:szCs w:val="24"/>
        </w:rPr>
        <w:t>签订日期：   年   月   日</w:t>
      </w:r>
      <w:r>
        <w:rPr>
          <w:sz w:val="24"/>
          <w:szCs w:val="24"/>
        </w:rPr>
        <w:tab/>
      </w:r>
    </w:p>
    <w:p/>
    <w:p>
      <w:pPr>
        <w:pStyle w:val="43"/>
      </w:pPr>
    </w:p>
    <w:p/>
    <w:p>
      <w:pPr>
        <w:pStyle w:val="43"/>
      </w:pPr>
    </w:p>
    <w:p/>
    <w:p>
      <w:pPr>
        <w:pStyle w:val="43"/>
      </w:pPr>
    </w:p>
    <w:p/>
    <w:p>
      <w:pPr>
        <w:pStyle w:val="43"/>
      </w:pPr>
    </w:p>
    <w:p/>
    <w:p>
      <w:pPr>
        <w:pStyle w:val="43"/>
      </w:pPr>
    </w:p>
    <w:p/>
    <w:p>
      <w:pPr>
        <w:pStyle w:val="43"/>
      </w:pPr>
    </w:p>
    <w:p/>
    <w:p>
      <w:pPr>
        <w:pStyle w:val="43"/>
      </w:pPr>
    </w:p>
    <w:p/>
    <w:p>
      <w:pPr>
        <w:pStyle w:val="43"/>
      </w:pPr>
    </w:p>
    <w:p/>
    <w:p>
      <w:pPr>
        <w:pStyle w:val="43"/>
      </w:pPr>
    </w:p>
    <w:p/>
    <w:p>
      <w:pPr>
        <w:pStyle w:val="43"/>
      </w:pPr>
    </w:p>
    <w:p/>
    <w:p>
      <w:pPr>
        <w:pStyle w:val="43"/>
      </w:pPr>
    </w:p>
    <w:p/>
    <w:p/>
    <w:p/>
    <w:p/>
    <w:p/>
    <w:p/>
    <w:p/>
    <w:p/>
    <w:p/>
    <w:p/>
    <w:p/>
    <w:p>
      <w:pPr>
        <w:rPr>
          <w:b/>
          <w:bCs/>
          <w:sz w:val="28"/>
          <w:szCs w:val="28"/>
        </w:rPr>
      </w:pPr>
      <w:r>
        <w:rPr>
          <w:rFonts w:hint="eastAsia"/>
          <w:b/>
          <w:bCs/>
          <w:sz w:val="28"/>
          <w:szCs w:val="28"/>
        </w:rPr>
        <w:t>附件</w:t>
      </w:r>
      <w:r>
        <w:rPr>
          <w:rFonts w:hint="eastAsia"/>
          <w:b/>
          <w:bCs/>
          <w:sz w:val="28"/>
          <w:szCs w:val="28"/>
          <w:lang w:val="en-US" w:eastAsia="zh-CN"/>
        </w:rPr>
        <w:t>4</w:t>
      </w:r>
      <w:r>
        <w:rPr>
          <w:rFonts w:hint="eastAsia"/>
          <w:b/>
          <w:bCs/>
          <w:sz w:val="28"/>
          <w:szCs w:val="28"/>
        </w:rPr>
        <w:t xml:space="preserve">：告知书              </w:t>
      </w:r>
    </w:p>
    <w:p>
      <w:pPr>
        <w:pStyle w:val="28"/>
        <w:spacing w:line="520" w:lineRule="exact"/>
        <w:ind w:firstLine="1281" w:firstLineChars="400"/>
        <w:rPr>
          <w:rStyle w:val="149"/>
          <w:rFonts w:hAnsi="宋体" w:cs="宋体"/>
          <w:b/>
          <w:bCs/>
          <w:sz w:val="32"/>
          <w:szCs w:val="32"/>
        </w:rPr>
      </w:pPr>
    </w:p>
    <w:p>
      <w:pPr>
        <w:pStyle w:val="28"/>
        <w:spacing w:line="520" w:lineRule="exact"/>
        <w:ind w:firstLine="1281" w:firstLineChars="400"/>
        <w:rPr>
          <w:rStyle w:val="150"/>
          <w:rFonts w:hAnsi="宋体" w:cs="宋体"/>
          <w:sz w:val="24"/>
          <w:szCs w:val="24"/>
        </w:rPr>
      </w:pPr>
      <w:r>
        <w:rPr>
          <w:rStyle w:val="149"/>
          <w:rFonts w:hint="eastAsia" w:hAnsi="宋体" w:cs="宋体"/>
          <w:b/>
          <w:bCs/>
          <w:sz w:val="32"/>
          <w:szCs w:val="32"/>
        </w:rPr>
        <w:t>龙岗区进一步规范政商交往行为告知书</w:t>
      </w:r>
      <w:r>
        <w:rPr>
          <w:rFonts w:hint="eastAsia" w:hAnsi="宋体" w:cs="宋体"/>
          <w:color w:val="000000"/>
          <w:sz w:val="24"/>
          <w:szCs w:val="24"/>
        </w:rPr>
        <w:br w:type="textWrapping"/>
      </w:r>
      <w:r>
        <w:rPr>
          <w:rFonts w:hint="eastAsia" w:hAnsi="宋体" w:cs="宋体"/>
          <w:color w:val="000000"/>
          <w:sz w:val="24"/>
          <w:szCs w:val="24"/>
        </w:rPr>
        <w:t xml:space="preserve">    </w:t>
      </w:r>
      <w:r>
        <w:rPr>
          <w:rStyle w:val="150"/>
          <w:rFonts w:hint="eastAsia" w:hAnsi="宋体" w:cs="宋体"/>
          <w:sz w:val="24"/>
          <w:szCs w:val="24"/>
        </w:rPr>
        <w:t>为深入构建</w:t>
      </w:r>
      <w:r>
        <w:rPr>
          <w:rStyle w:val="150"/>
          <w:rFonts w:hint="eastAsia" w:hAnsi="宋体" w:eastAsia="仿宋_GB2312" w:cs="宋体"/>
          <w:sz w:val="24"/>
          <w:szCs w:val="24"/>
          <w:lang w:eastAsia="zh-CN"/>
        </w:rPr>
        <w:t>“</w:t>
      </w:r>
      <w:r>
        <w:rPr>
          <w:rStyle w:val="150"/>
          <w:rFonts w:hint="eastAsia" w:hAnsi="宋体" w:cs="宋体"/>
          <w:sz w:val="24"/>
          <w:szCs w:val="24"/>
        </w:rPr>
        <w:t>亲</w:t>
      </w:r>
      <w:r>
        <w:rPr>
          <w:rStyle w:val="150"/>
          <w:rFonts w:hint="eastAsia" w:hAnsi="宋体" w:eastAsia="仿宋_GB2312" w:cs="宋体"/>
          <w:sz w:val="24"/>
          <w:szCs w:val="24"/>
          <w:lang w:eastAsia="zh-CN"/>
        </w:rPr>
        <w:t>”“</w:t>
      </w:r>
      <w:r>
        <w:rPr>
          <w:rStyle w:val="150"/>
          <w:rFonts w:hint="eastAsia" w:hAnsi="宋体" w:cs="宋体"/>
          <w:sz w:val="24"/>
          <w:szCs w:val="24"/>
        </w:rPr>
        <w:t>清</w:t>
      </w:r>
      <w:r>
        <w:rPr>
          <w:rStyle w:val="150"/>
          <w:rFonts w:hint="eastAsia" w:hAnsi="宋体" w:eastAsia="仿宋_GB2312" w:cs="宋体"/>
          <w:sz w:val="24"/>
          <w:szCs w:val="24"/>
          <w:lang w:eastAsia="zh-CN"/>
        </w:rPr>
        <w:t>”</w:t>
      </w:r>
      <w:r>
        <w:rPr>
          <w:rStyle w:val="150"/>
          <w:rFonts w:hint="eastAsia" w:hAnsi="宋体" w:cs="宋体"/>
          <w:sz w:val="24"/>
          <w:szCs w:val="24"/>
        </w:rPr>
        <w:t>新型政商关系，努力打造尊商、亲商、助商、安商良好营商环境，龙岗区委区政府制定了《龙岗区公职人员政商交往“十个不准” 》 ，严明公职人员在政商交往中的纪律要求。请参与龙岗建设的广大企业及其从业人员，严格监督我区公职人员落实“十个不准”，并在与我区公职人员交往中切实做到“十个不得”。</w:t>
      </w:r>
      <w:r>
        <w:rPr>
          <w:rStyle w:val="150"/>
          <w:rFonts w:hint="eastAsia" w:hAnsi="宋体" w:cs="宋体"/>
          <w:sz w:val="24"/>
          <w:szCs w:val="24"/>
        </w:rPr>
        <w:br w:type="textWrapping"/>
      </w:r>
      <w:r>
        <w:rPr>
          <w:rStyle w:val="150"/>
          <w:rFonts w:hint="eastAsia" w:hAnsi="宋体" w:cs="宋体"/>
          <w:sz w:val="24"/>
          <w:szCs w:val="24"/>
        </w:rPr>
        <w:t xml:space="preserve">    一、 不得向公职人员赠送礼品、礼金、消费卡等财物。</w:t>
      </w:r>
    </w:p>
    <w:p>
      <w:pPr>
        <w:pStyle w:val="28"/>
        <w:numPr>
          <w:ilvl w:val="0"/>
          <w:numId w:val="7"/>
        </w:numPr>
        <w:spacing w:line="520" w:lineRule="exact"/>
        <w:ind w:firstLine="480" w:firstLineChars="200"/>
        <w:rPr>
          <w:rStyle w:val="150"/>
          <w:rFonts w:hAnsi="宋体" w:cs="宋体"/>
          <w:sz w:val="24"/>
          <w:szCs w:val="24"/>
        </w:rPr>
      </w:pPr>
      <w:r>
        <w:rPr>
          <w:rStyle w:val="150"/>
          <w:rFonts w:hint="eastAsia" w:hAnsi="宋体" w:cs="宋体"/>
          <w:sz w:val="24"/>
          <w:szCs w:val="24"/>
        </w:rPr>
        <w:t>不得违规向公职人员提供宴请、旅游、娱乐等安排。</w:t>
      </w:r>
    </w:p>
    <w:p>
      <w:pPr>
        <w:pStyle w:val="28"/>
        <w:numPr>
          <w:ilvl w:val="0"/>
          <w:numId w:val="7"/>
        </w:numPr>
        <w:spacing w:line="520" w:lineRule="exact"/>
        <w:ind w:firstLine="480" w:firstLineChars="200"/>
        <w:rPr>
          <w:rStyle w:val="150"/>
          <w:rFonts w:hAnsi="宋体" w:cs="宋体"/>
          <w:sz w:val="24"/>
          <w:szCs w:val="24"/>
        </w:rPr>
      </w:pPr>
      <w:r>
        <w:rPr>
          <w:rStyle w:val="150"/>
          <w:rFonts w:hint="eastAsia" w:hAnsi="宋体" w:cs="宋体"/>
          <w:sz w:val="24"/>
          <w:szCs w:val="24"/>
        </w:rPr>
        <w:t>不得通过打麻将等形式向公职人员输送利益。</w:t>
      </w:r>
      <w:r>
        <w:rPr>
          <w:rStyle w:val="150"/>
          <w:rFonts w:hint="eastAsia" w:hAnsi="宋体" w:cs="宋体"/>
          <w:sz w:val="24"/>
          <w:szCs w:val="24"/>
        </w:rPr>
        <w:br w:type="textWrapping"/>
      </w:r>
      <w:r>
        <w:rPr>
          <w:rStyle w:val="150"/>
          <w:rFonts w:hint="eastAsia" w:hAnsi="宋体" w:cs="宋体"/>
          <w:sz w:val="24"/>
          <w:szCs w:val="24"/>
        </w:rPr>
        <w:t xml:space="preserve">    四、 不得为公职人员报销应由其个人支付的费用。</w:t>
      </w:r>
      <w:r>
        <w:rPr>
          <w:rStyle w:val="150"/>
          <w:rFonts w:hint="eastAsia" w:hAnsi="宋体" w:cs="宋体"/>
          <w:sz w:val="24"/>
          <w:szCs w:val="24"/>
        </w:rPr>
        <w:br w:type="textWrapping"/>
      </w:r>
      <w:r>
        <w:rPr>
          <w:rStyle w:val="150"/>
          <w:rFonts w:hint="eastAsia" w:hAnsi="宋体" w:cs="宋体"/>
          <w:sz w:val="24"/>
          <w:szCs w:val="24"/>
        </w:rPr>
        <w:t xml:space="preserve">    五、 不得违规向公职人员及其亲友借贷款。</w:t>
      </w:r>
      <w:r>
        <w:rPr>
          <w:rStyle w:val="150"/>
          <w:rFonts w:hint="eastAsia" w:hAnsi="宋体" w:cs="宋体"/>
          <w:sz w:val="24"/>
          <w:szCs w:val="24"/>
        </w:rPr>
        <w:br w:type="textWrapping"/>
      </w:r>
      <w:r>
        <w:rPr>
          <w:rStyle w:val="150"/>
          <w:rFonts w:hint="eastAsia" w:hAnsi="宋体" w:cs="宋体"/>
          <w:sz w:val="24"/>
          <w:szCs w:val="24"/>
        </w:rPr>
        <w:t xml:space="preserve">    六、 不得违规将车辆、住房等借给公职人员使用。</w:t>
      </w:r>
      <w:r>
        <w:rPr>
          <w:rStyle w:val="150"/>
          <w:rFonts w:hint="eastAsia" w:hAnsi="宋体" w:cs="宋体"/>
          <w:sz w:val="24"/>
          <w:szCs w:val="24"/>
        </w:rPr>
        <w:br w:type="textWrapping"/>
      </w:r>
      <w:r>
        <w:rPr>
          <w:rStyle w:val="150"/>
          <w:rFonts w:hint="eastAsia" w:hAnsi="宋体" w:cs="宋体"/>
          <w:sz w:val="24"/>
          <w:szCs w:val="24"/>
        </w:rPr>
        <w:t xml:space="preserve">    七、 不得在招投标中与公职人员搞暗箱操作、围标串标。</w:t>
      </w:r>
      <w:r>
        <w:rPr>
          <w:rStyle w:val="150"/>
          <w:rFonts w:hint="eastAsia" w:hAnsi="宋体" w:cs="宋体"/>
          <w:sz w:val="24"/>
          <w:szCs w:val="24"/>
        </w:rPr>
        <w:br w:type="textWrapping"/>
      </w:r>
      <w:r>
        <w:rPr>
          <w:rStyle w:val="150"/>
          <w:rFonts w:hint="eastAsia" w:hAnsi="宋体" w:cs="宋体"/>
          <w:sz w:val="24"/>
          <w:szCs w:val="24"/>
        </w:rPr>
        <w:t xml:space="preserve">    八、 不得为利益相关人和公职人员牵线搭桥或者代为传递信息、传递财物。</w:t>
      </w:r>
      <w:r>
        <w:rPr>
          <w:rStyle w:val="150"/>
          <w:rFonts w:hint="eastAsia" w:hAnsi="宋体" w:cs="宋体"/>
          <w:sz w:val="24"/>
          <w:szCs w:val="24"/>
        </w:rPr>
        <w:br w:type="textWrapping"/>
      </w:r>
      <w:r>
        <w:rPr>
          <w:rStyle w:val="150"/>
          <w:rFonts w:hint="eastAsia" w:hAnsi="宋体" w:cs="宋体"/>
          <w:sz w:val="24"/>
          <w:szCs w:val="24"/>
        </w:rPr>
        <w:t xml:space="preserve">    九、 不得让公职人员在企业违规兼职取酬。</w:t>
      </w:r>
      <w:r>
        <w:rPr>
          <w:rStyle w:val="150"/>
          <w:rFonts w:hint="eastAsia" w:hAnsi="宋体" w:cs="宋体"/>
          <w:sz w:val="24"/>
          <w:szCs w:val="24"/>
        </w:rPr>
        <w:br w:type="textWrapping"/>
      </w:r>
      <w:r>
        <w:rPr>
          <w:rStyle w:val="150"/>
          <w:rFonts w:hint="eastAsia" w:hAnsi="宋体" w:cs="宋体"/>
          <w:sz w:val="24"/>
          <w:szCs w:val="24"/>
        </w:rPr>
        <w:t xml:space="preserve">    十、 不得为公职人员亲友违规承揽业务提供便利。</w:t>
      </w:r>
    </w:p>
    <w:p>
      <w:pPr>
        <w:pStyle w:val="28"/>
        <w:spacing w:line="520" w:lineRule="exact"/>
        <w:ind w:firstLine="480" w:firstLineChars="200"/>
        <w:jc w:val="left"/>
        <w:rPr>
          <w:rStyle w:val="150"/>
          <w:rFonts w:hAnsi="宋体" w:cs="宋体"/>
          <w:sz w:val="24"/>
          <w:szCs w:val="24"/>
        </w:rPr>
      </w:pPr>
      <w:r>
        <w:rPr>
          <w:rStyle w:val="150"/>
          <w:rFonts w:hint="eastAsia" w:hAnsi="宋体" w:cs="宋体"/>
          <w:sz w:val="24"/>
          <w:szCs w:val="24"/>
        </w:rPr>
        <w:t>上述“十个不得”，请您严格遵守。同时，在政商交往中，如有发现我区公职人员存在违反“十个不准” 的问题，请及时通过网络举报平台或者12388 举报电话等方式，向纪检监察机关反映举报，我们将一律严格保密、一律优先处置、一律严肃查处。</w:t>
      </w:r>
      <w:r>
        <w:rPr>
          <w:rStyle w:val="150"/>
          <w:rFonts w:hint="eastAsia" w:hAnsi="宋体" w:cs="宋体"/>
          <w:sz w:val="24"/>
          <w:szCs w:val="24"/>
        </w:rPr>
        <w:br w:type="textWrapping"/>
      </w:r>
      <w:r>
        <w:rPr>
          <w:rStyle w:val="150"/>
          <w:rFonts w:hint="eastAsia" w:hAnsi="宋体" w:cs="宋体"/>
          <w:sz w:val="24"/>
          <w:szCs w:val="24"/>
        </w:rPr>
        <w:t xml:space="preserve">    </w:t>
      </w:r>
    </w:p>
    <w:p>
      <w:pPr>
        <w:pStyle w:val="28"/>
        <w:spacing w:line="520" w:lineRule="exact"/>
        <w:ind w:firstLine="480" w:firstLineChars="200"/>
        <w:jc w:val="left"/>
        <w:rPr>
          <w:rStyle w:val="150"/>
          <w:rFonts w:hAnsi="宋体" w:cs="宋体"/>
          <w:sz w:val="24"/>
          <w:szCs w:val="24"/>
        </w:rPr>
      </w:pPr>
      <w:r>
        <w:rPr>
          <w:rStyle w:val="150"/>
          <w:rFonts w:hint="eastAsia" w:hAnsi="宋体" w:cs="宋体"/>
          <w:sz w:val="24"/>
          <w:szCs w:val="24"/>
        </w:rPr>
        <w:t>本人已知晓上述告知内容， 并愿意遵照执行（签名） ：</w:t>
      </w:r>
      <w:r>
        <w:rPr>
          <w:rStyle w:val="150"/>
          <w:rFonts w:hint="eastAsia" w:hAnsi="宋体" w:cs="宋体"/>
          <w:sz w:val="24"/>
          <w:szCs w:val="24"/>
        </w:rPr>
        <w:br w:type="textWrapping"/>
      </w:r>
      <w:r>
        <w:rPr>
          <w:rStyle w:val="150"/>
          <w:rFonts w:hint="eastAsia" w:hAnsi="宋体" w:cs="宋体"/>
          <w:sz w:val="24"/>
          <w:szCs w:val="24"/>
        </w:rPr>
        <w:t xml:space="preserve">                                          </w:t>
      </w:r>
    </w:p>
    <w:p>
      <w:pPr>
        <w:pStyle w:val="28"/>
        <w:spacing w:line="520" w:lineRule="exact"/>
        <w:ind w:firstLine="5280" w:firstLineChars="2200"/>
        <w:jc w:val="left"/>
      </w:pPr>
      <w:r>
        <w:rPr>
          <w:rStyle w:val="150"/>
          <w:rFonts w:hint="eastAsia" w:hAnsi="宋体" w:cs="宋体"/>
          <w:sz w:val="24"/>
          <w:szCs w:val="24"/>
        </w:rPr>
        <w:t xml:space="preserve">      年    月   日</w:t>
      </w:r>
    </w:p>
    <w:p/>
    <w:p/>
    <w:p/>
    <w:p/>
    <w:p/>
    <w:p>
      <w:pPr>
        <w:jc w:val="center"/>
        <w:rPr>
          <w:b/>
          <w:sz w:val="36"/>
          <w:szCs w:val="36"/>
        </w:rPr>
      </w:pPr>
      <w:r>
        <w:rPr>
          <w:rFonts w:hint="eastAsia"/>
          <w:b/>
          <w:sz w:val="36"/>
          <w:szCs w:val="36"/>
        </w:rPr>
        <w:t>第四章  投标文件格式</w:t>
      </w:r>
      <w:bookmarkEnd w:id="13"/>
    </w:p>
    <w:p/>
    <w:p>
      <w:pPr>
        <w:spacing w:afterLines="100" w:line="360" w:lineRule="auto"/>
        <w:jc w:val="center"/>
        <w:rPr>
          <w:rFonts w:ascii="宋体" w:hAnsi="宋体"/>
          <w:b/>
          <w:sz w:val="48"/>
          <w:szCs w:val="48"/>
        </w:rPr>
      </w:pPr>
      <w:r>
        <w:rPr>
          <w:rFonts w:ascii="宋体" w:hAnsi="宋体"/>
          <w:szCs w:val="21"/>
        </w:rPr>
        <w:br w:type="page"/>
      </w:r>
    </w:p>
    <w:p>
      <w:pPr>
        <w:pStyle w:val="28"/>
        <w:rPr>
          <w:rFonts w:hint="eastAsia"/>
        </w:rPr>
      </w:pPr>
    </w:p>
    <w:p>
      <w:pPr>
        <w:spacing w:beforeLines="50" w:afterLines="100" w:line="360" w:lineRule="auto"/>
        <w:jc w:val="center"/>
        <w:rPr>
          <w:rFonts w:hint="eastAsia" w:ascii="宋体" w:hAnsi="宋体"/>
          <w:b/>
          <w:sz w:val="44"/>
          <w:szCs w:val="44"/>
          <w:highlight w:val="none"/>
          <w:u w:val="none"/>
        </w:rPr>
      </w:pPr>
      <w:r>
        <w:rPr>
          <w:rFonts w:hint="eastAsia" w:ascii="宋体" w:hAnsi="宋体"/>
          <w:b/>
          <w:sz w:val="44"/>
          <w:szCs w:val="44"/>
          <w:highlight w:val="none"/>
          <w:u w:val="none"/>
          <w:lang w:eastAsia="zh-CN"/>
        </w:rPr>
        <w:t>深圳工业软件园配套道路及排洪渠迁改</w:t>
      </w:r>
      <w:r>
        <w:rPr>
          <w:rFonts w:hint="eastAsia" w:ascii="宋体" w:hAnsi="宋体"/>
          <w:b/>
          <w:sz w:val="44"/>
          <w:szCs w:val="44"/>
          <w:highlight w:val="none"/>
          <w:u w:val="none"/>
        </w:rPr>
        <w:t>工程</w:t>
      </w:r>
    </w:p>
    <w:p>
      <w:pPr>
        <w:spacing w:beforeLines="50" w:afterLines="100" w:line="360" w:lineRule="auto"/>
        <w:jc w:val="center"/>
        <w:rPr>
          <w:rFonts w:hint="default" w:ascii="宋体" w:hAnsi="宋体" w:eastAsia="宋体" w:cs="Times New Roman"/>
          <w:b/>
          <w:sz w:val="44"/>
          <w:szCs w:val="44"/>
          <w:lang w:val="en-US" w:eastAsia="zh-CN"/>
        </w:rPr>
      </w:pPr>
      <w:r>
        <w:rPr>
          <w:rFonts w:hint="eastAsia" w:ascii="宋体" w:hAnsi="宋体" w:cs="Times New Roman"/>
          <w:b/>
          <w:sz w:val="44"/>
          <w:szCs w:val="44"/>
          <w:lang w:val="en-US" w:eastAsia="zh-CN"/>
        </w:rPr>
        <w:t>勘察</w:t>
      </w:r>
    </w:p>
    <w:p>
      <w:pPr>
        <w:pStyle w:val="2"/>
        <w:rPr>
          <w:rFonts w:hint="eastAsia" w:ascii="宋体" w:hAnsi="宋体" w:eastAsia="宋体" w:cs="Times New Roman"/>
          <w:b/>
          <w:sz w:val="44"/>
          <w:szCs w:val="44"/>
        </w:rPr>
      </w:pPr>
    </w:p>
    <w:p>
      <w:pPr>
        <w:rPr>
          <w:rFonts w:hint="eastAsia"/>
        </w:rPr>
      </w:pPr>
    </w:p>
    <w:p>
      <w:pPr>
        <w:spacing w:beforeLines="50" w:afterLines="100" w:line="360" w:lineRule="auto"/>
        <w:jc w:val="center"/>
        <w:rPr>
          <w:rFonts w:ascii="宋体" w:hAnsi="宋体"/>
          <w:b/>
          <w:sz w:val="44"/>
          <w:szCs w:val="44"/>
        </w:rPr>
      </w:pPr>
      <w:r>
        <w:rPr>
          <w:rFonts w:hint="eastAsia" w:ascii="宋体" w:hAnsi="宋体"/>
          <w:b/>
          <w:sz w:val="44"/>
          <w:szCs w:val="44"/>
        </w:rPr>
        <w:t>投标文件</w:t>
      </w:r>
    </w:p>
    <w:p>
      <w:pPr>
        <w:spacing w:line="360" w:lineRule="auto"/>
        <w:jc w:val="center"/>
        <w:rPr>
          <w:rFonts w:ascii="宋体" w:hAnsi="宋体"/>
          <w:b/>
          <w:sz w:val="52"/>
          <w:szCs w:val="5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ind w:firstLine="840" w:firstLineChars="300"/>
        <w:rPr>
          <w:rFonts w:ascii="宋体" w:hAnsi="宋体"/>
          <w:sz w:val="28"/>
          <w:szCs w:val="28"/>
        </w:rPr>
      </w:pPr>
      <w:r>
        <w:rPr>
          <w:rFonts w:hint="eastAsia" w:ascii="宋体" w:hAnsi="宋体"/>
          <w:sz w:val="28"/>
          <w:szCs w:val="28"/>
        </w:rPr>
        <w:t>投   标   人：</w:t>
      </w:r>
      <w:r>
        <w:rPr>
          <w:rFonts w:hint="eastAsia" w:ascii="宋体" w:hAnsi="宋体"/>
          <w:sz w:val="28"/>
          <w:szCs w:val="28"/>
          <w:u w:val="single"/>
        </w:rPr>
        <w:t xml:space="preserve">                             </w:t>
      </w:r>
      <w:r>
        <w:rPr>
          <w:rFonts w:hint="eastAsia" w:ascii="宋体" w:hAnsi="宋体"/>
          <w:sz w:val="28"/>
          <w:szCs w:val="28"/>
        </w:rPr>
        <w:t>（全称）（盖章）</w:t>
      </w:r>
    </w:p>
    <w:p>
      <w:pPr>
        <w:spacing w:line="360" w:lineRule="auto"/>
        <w:ind w:firstLine="840" w:firstLineChars="300"/>
        <w:rPr>
          <w:rFonts w:ascii="宋体" w:hAnsi="宋体"/>
          <w:sz w:val="28"/>
          <w:szCs w:val="28"/>
        </w:rPr>
      </w:pPr>
    </w:p>
    <w:p>
      <w:pPr>
        <w:spacing w:line="360" w:lineRule="auto"/>
        <w:ind w:firstLine="840" w:firstLineChars="300"/>
        <w:rPr>
          <w:rFonts w:ascii="宋体" w:hAnsi="宋体"/>
          <w:sz w:val="28"/>
          <w:szCs w:val="28"/>
        </w:rPr>
      </w:pPr>
      <w:r>
        <w:rPr>
          <w:rFonts w:hint="eastAsia" w:ascii="宋体" w:hAnsi="宋体"/>
          <w:sz w:val="28"/>
          <w:szCs w:val="28"/>
        </w:rPr>
        <w:t>法定代表人或授权代理人：</w:t>
      </w:r>
      <w:r>
        <w:rPr>
          <w:rFonts w:hint="eastAsia" w:ascii="宋体" w:hAnsi="宋体"/>
          <w:sz w:val="28"/>
          <w:szCs w:val="28"/>
          <w:u w:val="single"/>
        </w:rPr>
        <w:t xml:space="preserve">                       </w:t>
      </w:r>
      <w:r>
        <w:rPr>
          <w:rFonts w:hint="eastAsia" w:ascii="宋体" w:hAnsi="宋体"/>
          <w:sz w:val="28"/>
          <w:szCs w:val="28"/>
        </w:rPr>
        <w:t>（签字）</w:t>
      </w:r>
    </w:p>
    <w:p>
      <w:pPr>
        <w:spacing w:line="360" w:lineRule="auto"/>
        <w:ind w:firstLine="840" w:firstLineChars="300"/>
        <w:rPr>
          <w:rFonts w:ascii="宋体" w:hAnsi="宋体"/>
          <w:sz w:val="28"/>
          <w:szCs w:val="28"/>
        </w:rPr>
      </w:pPr>
    </w:p>
    <w:p>
      <w:pPr>
        <w:spacing w:line="360" w:lineRule="auto"/>
        <w:ind w:firstLine="840" w:firstLineChars="30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rPr>
          <w:rFonts w:hint="eastAsia" w:ascii="宋体" w:hAnsi="宋体"/>
          <w:sz w:val="28"/>
          <w:szCs w:val="28"/>
        </w:rPr>
      </w:pPr>
      <w:r>
        <w:rPr>
          <w:rFonts w:hint="eastAsia" w:ascii="宋体" w:hAnsi="宋体"/>
          <w:sz w:val="28"/>
          <w:szCs w:val="28"/>
        </w:rPr>
        <w:br w:type="page"/>
      </w:r>
    </w:p>
    <w:p>
      <w:pPr>
        <w:pStyle w:val="28"/>
        <w:spacing w:line="360" w:lineRule="auto"/>
        <w:jc w:val="center"/>
        <w:rPr>
          <w:rFonts w:hAnsi="宋体"/>
          <w:sz w:val="36"/>
          <w:szCs w:val="36"/>
        </w:rPr>
      </w:pPr>
      <w:bookmarkStart w:id="16" w:name="_Toc306716065"/>
      <w:bookmarkStart w:id="17" w:name="_Toc306716063"/>
      <w:bookmarkStart w:id="18" w:name="_Toc509669700"/>
      <w:r>
        <w:rPr>
          <w:rFonts w:hint="eastAsia" w:hAnsi="宋体"/>
          <w:sz w:val="36"/>
          <w:szCs w:val="36"/>
        </w:rPr>
        <w:t>投标承诺函</w:t>
      </w:r>
    </w:p>
    <w:p>
      <w:pPr>
        <w:spacing w:line="540" w:lineRule="exact"/>
        <w:ind w:right="960"/>
        <w:rPr>
          <w:rFonts w:hint="eastAsia" w:hAnsi="宋体" w:eastAsia="宋体"/>
          <w:bCs/>
          <w:sz w:val="24"/>
          <w:szCs w:val="24"/>
          <w:u w:val="single"/>
          <w:lang w:eastAsia="zh-CN"/>
        </w:rPr>
      </w:pPr>
      <w:r>
        <w:rPr>
          <w:rFonts w:hint="eastAsia" w:hAnsi="宋体"/>
          <w:bCs/>
          <w:sz w:val="24"/>
          <w:szCs w:val="24"/>
        </w:rPr>
        <w:t>致招标人:</w:t>
      </w:r>
      <w:r>
        <w:rPr>
          <w:rFonts w:hint="eastAsia" w:hAnsi="宋体"/>
          <w:sz w:val="24"/>
          <w:szCs w:val="24"/>
          <w:u w:val="single"/>
        </w:rPr>
        <w:t xml:space="preserve"> </w:t>
      </w:r>
      <w:r>
        <w:rPr>
          <w:rFonts w:hint="eastAsia" w:ascii="Calibri" w:hAnsi="宋体" w:eastAsia="宋体"/>
          <w:b w:val="0"/>
          <w:bCs/>
          <w:color w:val="auto"/>
          <w:sz w:val="24"/>
          <w:szCs w:val="24"/>
          <w:highlight w:val="none"/>
          <w:u w:val="single"/>
        </w:rPr>
        <w:t>深圳市龙岗区城投高新技术产业投资开发有限公司</w:t>
      </w:r>
    </w:p>
    <w:p>
      <w:pPr>
        <w:pStyle w:val="28"/>
        <w:spacing w:line="360" w:lineRule="auto"/>
        <w:ind w:firstLine="480" w:firstLineChars="200"/>
        <w:rPr>
          <w:rFonts w:hAnsi="宋体"/>
          <w:bCs/>
          <w:sz w:val="24"/>
          <w:szCs w:val="24"/>
        </w:rPr>
      </w:pPr>
      <w:r>
        <w:rPr>
          <w:rFonts w:hint="eastAsia" w:hAnsi="宋体"/>
          <w:bCs/>
          <w:sz w:val="24"/>
          <w:szCs w:val="24"/>
        </w:rPr>
        <w:t>为了确保本工程</w:t>
      </w:r>
      <w:r>
        <w:rPr>
          <w:rFonts w:hint="eastAsia" w:hAnsi="宋体"/>
          <w:bCs/>
          <w:sz w:val="24"/>
          <w:szCs w:val="24"/>
          <w:lang w:val="en-US" w:eastAsia="zh-CN"/>
        </w:rPr>
        <w:t>勘察相关</w:t>
      </w:r>
      <w:r>
        <w:rPr>
          <w:rFonts w:hint="eastAsia" w:hAnsi="宋体"/>
          <w:bCs/>
          <w:sz w:val="24"/>
          <w:szCs w:val="24"/>
        </w:rPr>
        <w:t>工作顺利进行，我方将严格执行建设工程招标投标管理的法律法规，并完全接受</w:t>
      </w:r>
      <w:r>
        <w:rPr>
          <w:rFonts w:hint="eastAsia" w:hAnsi="宋体"/>
          <w:bCs/>
          <w:sz w:val="24"/>
          <w:szCs w:val="24"/>
          <w:u w:val="single"/>
          <w:lang w:val="en-US" w:eastAsia="zh-CN"/>
        </w:rPr>
        <w:t xml:space="preserve"> 深圳工业软件园配套道路及排洪渠迁改</w:t>
      </w:r>
      <w:r>
        <w:rPr>
          <w:rFonts w:hint="eastAsia" w:ascii="Calibri" w:hAnsi="宋体"/>
          <w:bCs/>
          <w:sz w:val="24"/>
          <w:szCs w:val="24"/>
          <w:highlight w:val="none"/>
          <w:u w:val="single"/>
        </w:rPr>
        <w:t>工程</w:t>
      </w:r>
      <w:r>
        <w:rPr>
          <w:rFonts w:hint="eastAsia" w:ascii="Calibri" w:hAnsi="宋体" w:cs="Times New Roman"/>
          <w:b w:val="0"/>
          <w:bCs/>
          <w:sz w:val="24"/>
          <w:szCs w:val="24"/>
          <w:highlight w:val="none"/>
          <w:u w:val="single"/>
          <w:lang w:val="en-US" w:eastAsia="zh-CN"/>
        </w:rPr>
        <w:t xml:space="preserve">勘察 </w:t>
      </w:r>
      <w:r>
        <w:rPr>
          <w:rFonts w:hint="eastAsia" w:ascii="Calibri" w:hAnsi="宋体"/>
          <w:bCs/>
          <w:sz w:val="24"/>
          <w:szCs w:val="24"/>
          <w:highlight w:val="none"/>
          <w:u w:val="none"/>
        </w:rPr>
        <w:t>的</w:t>
      </w:r>
      <w:r>
        <w:rPr>
          <w:rFonts w:hint="eastAsia" w:hAnsi="宋体"/>
          <w:bCs/>
          <w:sz w:val="24"/>
          <w:szCs w:val="24"/>
        </w:rPr>
        <w:t>招标文件所有内容，为此作出如下承诺：</w:t>
      </w:r>
    </w:p>
    <w:p>
      <w:pPr>
        <w:pStyle w:val="28"/>
        <w:spacing w:line="360" w:lineRule="auto"/>
        <w:ind w:firstLine="480" w:firstLineChars="200"/>
        <w:rPr>
          <w:rFonts w:hAnsi="宋体"/>
          <w:sz w:val="24"/>
          <w:szCs w:val="24"/>
        </w:rPr>
      </w:pPr>
      <w:r>
        <w:rPr>
          <w:rFonts w:hint="eastAsia" w:hAnsi="宋体"/>
          <w:bCs/>
          <w:sz w:val="24"/>
          <w:szCs w:val="24"/>
        </w:rPr>
        <w:t>1、根</w:t>
      </w:r>
      <w:r>
        <w:rPr>
          <w:rFonts w:hint="eastAsia" w:hAnsi="宋体"/>
          <w:sz w:val="24"/>
          <w:szCs w:val="24"/>
        </w:rPr>
        <w:t>据企业自身情况，理性报价，不会以低于成本的报价竞标</w:t>
      </w:r>
      <w:r>
        <w:rPr>
          <w:rFonts w:hint="eastAsia" w:hAnsi="宋体"/>
          <w:sz w:val="24"/>
          <w:szCs w:val="24"/>
          <w:lang w:eastAsia="zh-CN"/>
        </w:rPr>
        <w:t>。</w:t>
      </w:r>
      <w:r>
        <w:rPr>
          <w:rFonts w:hint="eastAsia" w:hAnsi="宋体"/>
          <w:sz w:val="24"/>
          <w:szCs w:val="24"/>
          <w:lang w:val="en-US" w:eastAsia="zh-CN"/>
        </w:rPr>
        <w:t>所报下浮率为</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lang w:val="en-US" w:eastAsia="zh-CN"/>
        </w:rPr>
        <w:t>%</w:t>
      </w:r>
      <w:r>
        <w:rPr>
          <w:rFonts w:hint="eastAsia" w:hAnsi="宋体"/>
          <w:sz w:val="24"/>
          <w:szCs w:val="24"/>
          <w:lang w:eastAsia="zh-CN"/>
        </w:rPr>
        <w:t>，</w:t>
      </w:r>
      <w:r>
        <w:rPr>
          <w:rFonts w:hint="eastAsia" w:hAnsi="宋体"/>
          <w:sz w:val="24"/>
          <w:szCs w:val="24"/>
          <w:lang w:val="en-US" w:eastAsia="zh-CN"/>
        </w:rPr>
        <w:t>报价金额</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u w:val="none"/>
          <w:lang w:val="en-US" w:eastAsia="zh-CN"/>
        </w:rPr>
        <w:t>元。</w:t>
      </w:r>
      <w:r>
        <w:rPr>
          <w:rFonts w:hint="eastAsia" w:hAnsi="宋体"/>
          <w:sz w:val="24"/>
          <w:szCs w:val="24"/>
        </w:rPr>
        <w:t>按招标文件要求承包本项目</w:t>
      </w:r>
      <w:r>
        <w:rPr>
          <w:rFonts w:hint="eastAsia" w:hAnsi="宋体"/>
          <w:sz w:val="24"/>
          <w:szCs w:val="24"/>
          <w:lang w:val="en-US" w:eastAsia="zh-CN"/>
        </w:rPr>
        <w:t xml:space="preserve"> </w:t>
      </w:r>
      <w:r>
        <w:rPr>
          <w:rFonts w:hint="eastAsia" w:ascii="Calibri" w:hAnsi="宋体" w:cs="Times New Roman"/>
          <w:b/>
          <w:bCs w:val="0"/>
          <w:kern w:val="2"/>
          <w:sz w:val="24"/>
          <w:szCs w:val="24"/>
          <w:u w:val="single"/>
          <w:lang w:val="en-US" w:eastAsia="zh-CN" w:bidi="ar-SA"/>
        </w:rPr>
        <w:t>工程勘察</w:t>
      </w:r>
      <w:r>
        <w:rPr>
          <w:rFonts w:hint="eastAsia" w:ascii="Calibri" w:hAnsi="宋体" w:eastAsia="宋体" w:cs="Times New Roman"/>
          <w:b/>
          <w:sz w:val="24"/>
          <w:szCs w:val="24"/>
          <w:highlight w:val="none"/>
          <w:u w:val="single"/>
          <w:lang w:val="en-US" w:eastAsia="zh-CN"/>
        </w:rPr>
        <w:t>及地质灾害危险性评估工作</w:t>
      </w:r>
      <w:r>
        <w:rPr>
          <w:rFonts w:hint="eastAsia" w:ascii="Calibri" w:hAnsi="宋体" w:cs="Times New Roman"/>
          <w:b/>
          <w:sz w:val="24"/>
          <w:szCs w:val="24"/>
          <w:u w:val="single"/>
          <w:lang w:val="en-US" w:eastAsia="zh-CN"/>
        </w:rPr>
        <w:t xml:space="preserve"> </w:t>
      </w:r>
      <w:r>
        <w:rPr>
          <w:rFonts w:hint="eastAsia" w:hAnsi="宋体"/>
          <w:sz w:val="24"/>
          <w:szCs w:val="24"/>
        </w:rPr>
        <w:t>。否则，我方愿意承担任何风险。（投标人填写）</w:t>
      </w:r>
    </w:p>
    <w:p>
      <w:pPr>
        <w:spacing w:line="360" w:lineRule="auto"/>
        <w:ind w:firstLine="480" w:firstLineChars="200"/>
        <w:rPr>
          <w:rFonts w:ascii="宋体" w:hAnsi="宋体"/>
          <w:sz w:val="24"/>
          <w:szCs w:val="24"/>
        </w:rPr>
      </w:pPr>
      <w:r>
        <w:rPr>
          <w:rFonts w:hint="eastAsia" w:ascii="宋体" w:hAnsi="宋体"/>
          <w:bCs/>
          <w:sz w:val="24"/>
          <w:szCs w:val="24"/>
        </w:rPr>
        <w:t>2、</w:t>
      </w:r>
      <w:r>
        <w:rPr>
          <w:rFonts w:hint="eastAsia" w:ascii="宋体" w:hAnsi="宋体"/>
          <w:sz w:val="24"/>
          <w:szCs w:val="24"/>
        </w:rPr>
        <w:t>我方同意所递交的投标文件在投标须知规定的投标有效期内有效，在此期间内我方的投标有可能中标，我方将受此约束。如果在投标有效期内撤回投标或放弃中标资格，给贵方造成的损失，贵方有权要求我方进行赔偿。</w:t>
      </w:r>
    </w:p>
    <w:p>
      <w:pPr>
        <w:pStyle w:val="28"/>
        <w:spacing w:line="360" w:lineRule="auto"/>
        <w:ind w:firstLine="480" w:firstLineChars="200"/>
        <w:rPr>
          <w:rFonts w:hAnsi="宋体"/>
          <w:bCs/>
          <w:sz w:val="24"/>
          <w:szCs w:val="24"/>
        </w:rPr>
      </w:pPr>
      <w:r>
        <w:rPr>
          <w:rFonts w:hint="eastAsia" w:hAnsi="宋体"/>
          <w:sz w:val="24"/>
          <w:szCs w:val="24"/>
        </w:rPr>
        <w:t>3、我方完全理解和接受招标文件的规定，并承诺一旦我方的投标出现该条列举的严重违规或涉嫌串通投标的情形而被评标委员会废标的，将自觉接受贵方暂停或者取消今后我方参加贵方其他任何项目投标资格的处理。</w:t>
      </w:r>
    </w:p>
    <w:p>
      <w:pPr>
        <w:spacing w:line="360" w:lineRule="auto"/>
        <w:ind w:firstLine="480" w:firstLineChars="200"/>
        <w:rPr>
          <w:rFonts w:ascii="宋体" w:hAnsi="宋体" w:cs="Courier New"/>
          <w:bCs/>
          <w:sz w:val="24"/>
          <w:szCs w:val="24"/>
        </w:rPr>
      </w:pPr>
      <w:r>
        <w:rPr>
          <w:rFonts w:hint="eastAsia" w:ascii="宋体" w:hAnsi="宋体" w:cs="Courier New"/>
          <w:bCs/>
          <w:sz w:val="24"/>
          <w:szCs w:val="24"/>
        </w:rPr>
        <w:t>4、一旦我方中标，将保证在收到委托函后</w:t>
      </w:r>
      <w:r>
        <w:rPr>
          <w:rFonts w:hint="eastAsia" w:ascii="宋体" w:hAnsi="宋体"/>
          <w:bCs/>
          <w:sz w:val="24"/>
          <w:szCs w:val="24"/>
          <w:u w:val="single"/>
        </w:rPr>
        <w:t xml:space="preserve"> </w:t>
      </w:r>
      <w:r>
        <w:rPr>
          <w:rFonts w:hint="eastAsia" w:ascii="宋体" w:hAnsi="宋体"/>
          <w:bCs/>
          <w:sz w:val="24"/>
          <w:szCs w:val="24"/>
          <w:u w:val="single"/>
          <w:lang w:val="en-US" w:eastAsia="zh-CN"/>
        </w:rPr>
        <w:t>30</w:t>
      </w:r>
      <w:r>
        <w:rPr>
          <w:rFonts w:hint="eastAsia" w:ascii="宋体" w:hAnsi="宋体"/>
          <w:bCs/>
          <w:sz w:val="24"/>
          <w:szCs w:val="24"/>
          <w:u w:val="single"/>
        </w:rPr>
        <w:t xml:space="preserve"> </w:t>
      </w:r>
      <w:r>
        <w:rPr>
          <w:rFonts w:hint="eastAsia" w:ascii="宋体" w:hAnsi="宋体" w:cs="Courier New"/>
          <w:bCs/>
          <w:sz w:val="24"/>
          <w:szCs w:val="24"/>
        </w:rPr>
        <w:t>日内，与贵方按招标文件、委托函中的内容签</w:t>
      </w:r>
      <w:r>
        <w:rPr>
          <w:rFonts w:hint="eastAsia" w:ascii="宋体" w:hAnsi="宋体" w:cs="Courier New"/>
          <w:bCs/>
          <w:sz w:val="24"/>
          <w:szCs w:val="24"/>
          <w:lang w:val="en-US" w:eastAsia="zh-CN"/>
        </w:rPr>
        <w:t>订</w:t>
      </w:r>
      <w:r>
        <w:rPr>
          <w:rFonts w:hint="eastAsia" w:ascii="宋体" w:hAnsi="宋体" w:cs="Courier New"/>
          <w:bCs/>
          <w:sz w:val="24"/>
          <w:szCs w:val="24"/>
        </w:rPr>
        <w:t>合同文件，否则，视为我方自愿放弃中标资格。</w:t>
      </w:r>
    </w:p>
    <w:p>
      <w:pPr>
        <w:spacing w:line="360" w:lineRule="auto"/>
        <w:ind w:firstLine="480" w:firstLineChars="200"/>
        <w:rPr>
          <w:rFonts w:ascii="宋体" w:hAnsi="宋体" w:cs="Courier New"/>
          <w:bCs/>
          <w:sz w:val="24"/>
          <w:szCs w:val="24"/>
        </w:rPr>
      </w:pPr>
      <w:r>
        <w:rPr>
          <w:rFonts w:hint="eastAsia" w:ascii="宋体" w:hAnsi="宋体"/>
          <w:sz w:val="24"/>
          <w:szCs w:val="24"/>
        </w:rPr>
        <w:t>5、除非另外达成协议并生效，贵方的委托函和本投标文件将成为约束双方的合同文件的组成部分。</w:t>
      </w:r>
    </w:p>
    <w:p>
      <w:pPr>
        <w:adjustRightInd w:val="0"/>
        <w:snapToGrid w:val="0"/>
        <w:spacing w:line="560" w:lineRule="exact"/>
        <w:ind w:firstLine="480" w:firstLineChars="200"/>
        <w:rPr>
          <w:rFonts w:ascii="宋体" w:hAnsi="宋体"/>
          <w:bCs/>
          <w:sz w:val="24"/>
          <w:szCs w:val="24"/>
        </w:rPr>
      </w:pPr>
      <w:r>
        <w:rPr>
          <w:rFonts w:hint="eastAsia" w:ascii="宋体" w:hAnsi="宋体"/>
          <w:bCs/>
          <w:sz w:val="24"/>
          <w:szCs w:val="24"/>
        </w:rPr>
        <w:t>6、按规定完成本项目</w:t>
      </w:r>
      <w:r>
        <w:rPr>
          <w:rFonts w:hint="eastAsia" w:ascii="宋体" w:hAnsi="宋体"/>
          <w:bCs/>
          <w:sz w:val="24"/>
          <w:szCs w:val="24"/>
          <w:lang w:val="en-US" w:eastAsia="zh-CN"/>
        </w:rPr>
        <w:t>工程勘察</w:t>
      </w:r>
      <w:r>
        <w:rPr>
          <w:rFonts w:hint="eastAsia" w:ascii="宋体" w:hAnsi="宋体"/>
          <w:bCs/>
          <w:sz w:val="24"/>
          <w:szCs w:val="24"/>
        </w:rPr>
        <w:t>工作，质量达到合格标准的要求，质量目标为合格。</w:t>
      </w:r>
    </w:p>
    <w:p>
      <w:pPr>
        <w:pStyle w:val="28"/>
        <w:spacing w:line="360" w:lineRule="auto"/>
        <w:ind w:firstLine="480" w:firstLineChars="200"/>
        <w:rPr>
          <w:rFonts w:hAnsi="宋体"/>
          <w:bCs/>
          <w:sz w:val="24"/>
          <w:szCs w:val="24"/>
        </w:rPr>
      </w:pPr>
      <w:r>
        <w:rPr>
          <w:rFonts w:hint="eastAsia" w:hAnsi="宋体"/>
          <w:bCs/>
          <w:sz w:val="24"/>
          <w:szCs w:val="24"/>
        </w:rPr>
        <w:t>7、如果违反本承诺书中任何条款，我方愿意接受：</w:t>
      </w:r>
    </w:p>
    <w:p>
      <w:pPr>
        <w:pStyle w:val="28"/>
        <w:spacing w:line="360" w:lineRule="auto"/>
        <w:ind w:firstLine="480" w:firstLineChars="200"/>
        <w:rPr>
          <w:rFonts w:hAnsi="宋体"/>
          <w:bCs/>
          <w:sz w:val="24"/>
          <w:szCs w:val="24"/>
        </w:rPr>
      </w:pPr>
      <w:r>
        <w:rPr>
          <w:rFonts w:hint="eastAsia" w:hAnsi="宋体"/>
          <w:bCs/>
          <w:sz w:val="24"/>
          <w:szCs w:val="24"/>
        </w:rPr>
        <w:t>（1）视作我方单方面违约，并按照合同规定向贵方支付违约金或解除合同；</w:t>
      </w:r>
    </w:p>
    <w:p>
      <w:pPr>
        <w:pStyle w:val="28"/>
        <w:spacing w:line="360" w:lineRule="auto"/>
        <w:ind w:firstLine="480" w:firstLineChars="200"/>
        <w:rPr>
          <w:rFonts w:hAnsi="宋体"/>
          <w:bCs/>
          <w:sz w:val="24"/>
          <w:szCs w:val="24"/>
        </w:rPr>
      </w:pPr>
      <w:r>
        <w:rPr>
          <w:rFonts w:hint="eastAsia" w:hAnsi="宋体"/>
          <w:bCs/>
          <w:sz w:val="24"/>
          <w:szCs w:val="24"/>
        </w:rPr>
        <w:t>（2）履约评价评定为合格及以下；</w:t>
      </w:r>
    </w:p>
    <w:p>
      <w:pPr>
        <w:pStyle w:val="28"/>
        <w:spacing w:line="360" w:lineRule="auto"/>
        <w:ind w:firstLine="480" w:firstLineChars="200"/>
        <w:rPr>
          <w:rFonts w:hAnsi="宋体"/>
          <w:bCs/>
          <w:sz w:val="24"/>
          <w:szCs w:val="24"/>
        </w:rPr>
      </w:pPr>
      <w:r>
        <w:rPr>
          <w:rFonts w:hint="eastAsia" w:hAnsi="宋体"/>
          <w:bCs/>
          <w:sz w:val="24"/>
          <w:szCs w:val="24"/>
        </w:rPr>
        <w:t>（3）招标人今后可拒绝我方参与投标；</w:t>
      </w:r>
    </w:p>
    <w:p>
      <w:pPr>
        <w:pStyle w:val="28"/>
        <w:spacing w:line="360" w:lineRule="auto"/>
        <w:ind w:firstLine="480" w:firstLineChars="200"/>
        <w:rPr>
          <w:rFonts w:hAnsi="宋体"/>
          <w:bCs/>
          <w:sz w:val="24"/>
          <w:szCs w:val="24"/>
        </w:rPr>
      </w:pPr>
      <w:r>
        <w:rPr>
          <w:rFonts w:hint="eastAsia" w:hAnsi="宋体"/>
          <w:bCs/>
          <w:sz w:val="24"/>
          <w:szCs w:val="24"/>
        </w:rPr>
        <w:t>（4）建设行政主管部门或相关主管部门的不良行为记录、行政处罚。</w:t>
      </w:r>
    </w:p>
    <w:p>
      <w:pPr>
        <w:spacing w:line="360" w:lineRule="auto"/>
        <w:rPr>
          <w:rFonts w:ascii="宋体" w:hAnsi="宋体"/>
          <w:sz w:val="24"/>
        </w:rPr>
      </w:pPr>
      <w:r>
        <w:rPr>
          <w:rFonts w:hint="eastAsia" w:ascii="宋体" w:hAnsi="宋体"/>
          <w:sz w:val="24"/>
        </w:rPr>
        <w:t>投标人（单位公章）：</w:t>
      </w:r>
    </w:p>
    <w:p>
      <w:pPr>
        <w:spacing w:line="360" w:lineRule="auto"/>
        <w:rPr>
          <w:rFonts w:ascii="宋体" w:hAnsi="宋体"/>
          <w:sz w:val="24"/>
        </w:rPr>
      </w:pPr>
      <w:r>
        <w:rPr>
          <w:rFonts w:hint="eastAsia" w:ascii="宋体" w:hAnsi="宋体"/>
          <w:sz w:val="24"/>
        </w:rPr>
        <w:t>单位地址：</w:t>
      </w:r>
    </w:p>
    <w:p>
      <w:pPr>
        <w:spacing w:line="360" w:lineRule="auto"/>
        <w:rPr>
          <w:rFonts w:hint="eastAsia" w:hAnsi="宋体"/>
          <w:bCs/>
          <w:sz w:val="24"/>
        </w:rPr>
      </w:pPr>
      <w:r>
        <w:rPr>
          <w:rFonts w:hint="eastAsia" w:ascii="宋体" w:hAnsi="宋体"/>
          <w:sz w:val="24"/>
        </w:rPr>
        <w:t xml:space="preserve">邮政编码：电话： 传真：                                  </w:t>
      </w:r>
      <w:r>
        <w:rPr>
          <w:rFonts w:hint="eastAsia" w:hAnsi="宋体"/>
          <w:bCs/>
          <w:sz w:val="24"/>
        </w:rPr>
        <w:t>年   月   日</w:t>
      </w:r>
    </w:p>
    <w:bookmarkEnd w:id="16"/>
    <w:bookmarkEnd w:id="17"/>
    <w:bookmarkEnd w:id="18"/>
    <w:p>
      <w:pPr>
        <w:spacing w:line="240" w:lineRule="auto"/>
        <w:rPr>
          <w:sz w:val="44"/>
          <w:szCs w:val="44"/>
        </w:rPr>
      </w:pPr>
    </w:p>
    <w:sectPr>
      <w:pgSz w:w="11906" w:h="16838"/>
      <w:pgMar w:top="1276" w:right="1351" w:bottom="1135" w:left="141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FZHei-B01S">
    <w:altName w:val="微软雅黑"/>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金桥简粗宋">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FZXBSJW--GB1-0">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1"/>
                            <w:jc w:val="center"/>
                          </w:pPr>
                          <w:r>
                            <w:fldChar w:fldCharType="begin"/>
                          </w:r>
                          <w:r>
                            <w:instrText xml:space="preserve"> PAGE   \* MERGEFORMAT </w:instrText>
                          </w:r>
                          <w:r>
                            <w:fldChar w:fldCharType="separate"/>
                          </w:r>
                          <w:r>
                            <w:rPr>
                              <w:lang w:val="zh-CN"/>
                            </w:rPr>
                            <w:t>29</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151"/>
                      <w:jc w:val="center"/>
                    </w:pPr>
                    <w:r>
                      <w:fldChar w:fldCharType="begin"/>
                    </w:r>
                    <w:r>
                      <w:instrText xml:space="preserve"> PAGE   \* MERGEFORMAT </w:instrText>
                    </w:r>
                    <w:r>
                      <w:fldChar w:fldCharType="separate"/>
                    </w:r>
                    <w:r>
                      <w:rPr>
                        <w:lang w:val="zh-CN"/>
                      </w:rPr>
                      <w:t>29</w:t>
                    </w:r>
                    <w:r>
                      <w:rPr>
                        <w:lang w:val="zh-CN"/>
                      </w:rPr>
                      <w:fldChar w:fldCharType="end"/>
                    </w:r>
                  </w:p>
                </w:txbxContent>
              </v:textbox>
            </v:shape>
          </w:pict>
        </mc:Fallback>
      </mc:AlternateContent>
    </w:r>
  </w:p>
  <w:p>
    <w:pPr>
      <w:pStyle w:val="15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jc w:val="center"/>
                          </w:pPr>
                          <w:r>
                            <w:fldChar w:fldCharType="begin"/>
                          </w:r>
                          <w:r>
                            <w:instrText xml:space="preserve"> PAGE   \* MERGEFORMAT </w:instrText>
                          </w:r>
                          <w:r>
                            <w:fldChar w:fldCharType="separate"/>
                          </w:r>
                          <w:r>
                            <w:rPr>
                              <w:lang w:val="zh-CN"/>
                            </w:rPr>
                            <w:t>37</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4"/>
                      <w:jc w:val="center"/>
                    </w:pPr>
                    <w:r>
                      <w:fldChar w:fldCharType="begin"/>
                    </w:r>
                    <w:r>
                      <w:instrText xml:space="preserve"> PAGE   \* MERGEFORMAT </w:instrText>
                    </w:r>
                    <w:r>
                      <w:fldChar w:fldCharType="separate"/>
                    </w:r>
                    <w:r>
                      <w:rPr>
                        <w:lang w:val="zh-CN"/>
                      </w:rPr>
                      <w:t>37</w:t>
                    </w:r>
                    <w:r>
                      <w:rPr>
                        <w:lang w:val="zh-CN"/>
                      </w:rPr>
                      <w:fldChar w:fldCharType="end"/>
                    </w:r>
                  </w:p>
                </w:txbxContent>
              </v:textbox>
            </v:shape>
          </w:pict>
        </mc:Fallback>
      </mc:AlternateContent>
    </w:r>
  </w:p>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3BD60"/>
    <w:multiLevelType w:val="singleLevel"/>
    <w:tmpl w:val="BE43BD60"/>
    <w:lvl w:ilvl="0" w:tentative="0">
      <w:start w:val="2"/>
      <w:numFmt w:val="chineseCounting"/>
      <w:suff w:val="space"/>
      <w:lvlText w:val="第%1部分"/>
      <w:lvlJc w:val="left"/>
      <w:rPr>
        <w:rFonts w:hint="eastAsia"/>
      </w:rPr>
    </w:lvl>
  </w:abstractNum>
  <w:abstractNum w:abstractNumId="1">
    <w:nsid w:val="EAE01E8C"/>
    <w:multiLevelType w:val="singleLevel"/>
    <w:tmpl w:val="EAE01E8C"/>
    <w:lvl w:ilvl="0" w:tentative="0">
      <w:start w:val="2"/>
      <w:numFmt w:val="chineseCounting"/>
      <w:suff w:val="space"/>
      <w:lvlText w:val="%1、"/>
      <w:lvlJc w:val="left"/>
      <w:rPr>
        <w:rFonts w:hint="eastAsia"/>
      </w:rPr>
    </w:lvl>
  </w:abstractNum>
  <w:abstractNum w:abstractNumId="2">
    <w:nsid w:val="09F3727D"/>
    <w:multiLevelType w:val="multilevel"/>
    <w:tmpl w:val="09F3727D"/>
    <w:lvl w:ilvl="0" w:tentative="0">
      <w:start w:val="1"/>
      <w:numFmt w:val="decimal"/>
      <w:pStyle w:val="106"/>
      <w:lvlText w:val="%1.0"/>
      <w:lvlJc w:val="left"/>
      <w:pPr>
        <w:tabs>
          <w:tab w:val="left" w:pos="578"/>
        </w:tabs>
        <w:ind w:left="578" w:hanging="578"/>
      </w:pPr>
      <w:rPr>
        <w:rFonts w:hint="default" w:ascii="Arial" w:hAnsi="Arial"/>
        <w:b/>
        <w:i w:val="0"/>
        <w:color w:val="auto"/>
        <w:sz w:val="32"/>
      </w:rPr>
    </w:lvl>
    <w:lvl w:ilvl="1" w:tentative="0">
      <w:start w:val="1"/>
      <w:numFmt w:val="decimal"/>
      <w:pStyle w:val="109"/>
      <w:lvlText w:val="%1.%2"/>
      <w:lvlJc w:val="left"/>
      <w:pPr>
        <w:tabs>
          <w:tab w:val="left" w:pos="5963"/>
        </w:tabs>
        <w:ind w:left="5963" w:hanging="576"/>
      </w:pPr>
      <w:rPr>
        <w:rFonts w:hint="default" w:ascii="Arial" w:hAnsi="Arial"/>
        <w:b/>
        <w:i w:val="0"/>
        <w:sz w:val="28"/>
      </w:rPr>
    </w:lvl>
    <w:lvl w:ilvl="2" w:tentative="0">
      <w:start w:val="1"/>
      <w:numFmt w:val="decimal"/>
      <w:lvlText w:val="%1.%2.%3"/>
      <w:lvlJc w:val="left"/>
      <w:pPr>
        <w:tabs>
          <w:tab w:val="left" w:pos="720"/>
        </w:tabs>
        <w:ind w:left="720" w:hanging="720"/>
      </w:pPr>
      <w:rPr>
        <w:rFonts w:hint="default" w:ascii="Arial" w:hAnsi="Arial"/>
        <w:b/>
        <w:i w:val="0"/>
        <w:color w:val="auto"/>
        <w:sz w:val="24"/>
      </w:rPr>
    </w:lvl>
    <w:lvl w:ilvl="3" w:tentative="0">
      <w:start w:val="1"/>
      <w:numFmt w:val="decimal"/>
      <w:pStyle w:val="105"/>
      <w:lvlText w:val="%1.%2.%3.%4"/>
      <w:lvlJc w:val="left"/>
      <w:pPr>
        <w:tabs>
          <w:tab w:val="left" w:pos="864"/>
        </w:tabs>
        <w:ind w:left="864" w:hanging="864"/>
      </w:pPr>
      <w:rPr>
        <w:rFonts w:hint="default" w:ascii="Arial" w:hAnsi="Arial"/>
        <w:b/>
        <w:i w:val="0"/>
        <w:color w:val="auto"/>
        <w:sz w:val="20"/>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3">
    <w:nsid w:val="1A141E91"/>
    <w:multiLevelType w:val="multilevel"/>
    <w:tmpl w:val="1A141E91"/>
    <w:lvl w:ilvl="0" w:tentative="0">
      <w:start w:val="1"/>
      <w:numFmt w:val="upperRoman"/>
      <w:pStyle w:val="3"/>
      <w:lvlText w:val="第 %1 条"/>
      <w:lvlJc w:val="left"/>
      <w:pPr>
        <w:tabs>
          <w:tab w:val="left" w:pos="2640"/>
        </w:tabs>
        <w:ind w:left="1560" w:firstLine="0"/>
      </w:pPr>
    </w:lvl>
    <w:lvl w:ilvl="1" w:tentative="0">
      <w:start w:val="1"/>
      <w:numFmt w:val="decimalZero"/>
      <w:pStyle w:val="4"/>
      <w:isLgl/>
      <w:lvlText w:val="节 %1.%2"/>
      <w:lvlJc w:val="left"/>
      <w:pPr>
        <w:tabs>
          <w:tab w:val="left" w:pos="2280"/>
        </w:tabs>
        <w:ind w:left="1560" w:firstLine="0"/>
      </w:pPr>
    </w:lvl>
    <w:lvl w:ilvl="2" w:tentative="0">
      <w:start w:val="1"/>
      <w:numFmt w:val="lowerLetter"/>
      <w:pStyle w:val="5"/>
      <w:lvlText w:val="(%3)"/>
      <w:lvlJc w:val="left"/>
      <w:pPr>
        <w:tabs>
          <w:tab w:val="left" w:pos="2280"/>
        </w:tabs>
        <w:ind w:left="2280" w:hanging="432"/>
      </w:pPr>
    </w:lvl>
    <w:lvl w:ilvl="3" w:tentative="0">
      <w:start w:val="1"/>
      <w:numFmt w:val="lowerRoman"/>
      <w:pStyle w:val="6"/>
      <w:lvlText w:val="(%4)"/>
      <w:lvlJc w:val="right"/>
      <w:pPr>
        <w:tabs>
          <w:tab w:val="left" w:pos="2424"/>
        </w:tabs>
        <w:ind w:left="2424" w:hanging="144"/>
      </w:pPr>
    </w:lvl>
    <w:lvl w:ilvl="4" w:tentative="0">
      <w:start w:val="1"/>
      <w:numFmt w:val="decimal"/>
      <w:lvlText w:val="%5)"/>
      <w:lvlJc w:val="left"/>
      <w:pPr>
        <w:tabs>
          <w:tab w:val="left" w:pos="2568"/>
        </w:tabs>
        <w:ind w:left="2568" w:hanging="432"/>
      </w:pPr>
    </w:lvl>
    <w:lvl w:ilvl="5" w:tentative="0">
      <w:start w:val="1"/>
      <w:numFmt w:val="lowerLetter"/>
      <w:lvlText w:val="%6)"/>
      <w:lvlJc w:val="left"/>
      <w:pPr>
        <w:tabs>
          <w:tab w:val="left" w:pos="2712"/>
        </w:tabs>
        <w:ind w:left="2712" w:hanging="432"/>
      </w:pPr>
    </w:lvl>
    <w:lvl w:ilvl="6" w:tentative="0">
      <w:start w:val="1"/>
      <w:numFmt w:val="lowerRoman"/>
      <w:pStyle w:val="9"/>
      <w:lvlText w:val="%7)"/>
      <w:lvlJc w:val="right"/>
      <w:pPr>
        <w:tabs>
          <w:tab w:val="left" w:pos="2856"/>
        </w:tabs>
        <w:ind w:left="2856" w:hanging="288"/>
      </w:pPr>
    </w:lvl>
    <w:lvl w:ilvl="7" w:tentative="0">
      <w:start w:val="1"/>
      <w:numFmt w:val="lowerLetter"/>
      <w:lvlText w:val="%8."/>
      <w:lvlJc w:val="left"/>
      <w:pPr>
        <w:tabs>
          <w:tab w:val="left" w:pos="3000"/>
        </w:tabs>
        <w:ind w:left="3000" w:hanging="432"/>
      </w:pPr>
    </w:lvl>
    <w:lvl w:ilvl="8" w:tentative="0">
      <w:start w:val="1"/>
      <w:numFmt w:val="lowerRoman"/>
      <w:lvlText w:val="%9."/>
      <w:lvlJc w:val="right"/>
      <w:pPr>
        <w:tabs>
          <w:tab w:val="left" w:pos="3144"/>
        </w:tabs>
        <w:ind w:left="3144" w:hanging="144"/>
      </w:pPr>
    </w:lvl>
  </w:abstractNum>
  <w:abstractNum w:abstractNumId="4">
    <w:nsid w:val="51B0D601"/>
    <w:multiLevelType w:val="singleLevel"/>
    <w:tmpl w:val="51B0D601"/>
    <w:lvl w:ilvl="0" w:tentative="0">
      <w:start w:val="2"/>
      <w:numFmt w:val="decimal"/>
      <w:lvlText w:val="%1."/>
      <w:lvlJc w:val="left"/>
      <w:pPr>
        <w:tabs>
          <w:tab w:val="left" w:pos="312"/>
        </w:tabs>
      </w:pPr>
    </w:lvl>
  </w:abstractNum>
  <w:abstractNum w:abstractNumId="5">
    <w:nsid w:val="53D83D60"/>
    <w:multiLevelType w:val="multilevel"/>
    <w:tmpl w:val="53D83D60"/>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99F1C8B"/>
    <w:multiLevelType w:val="multilevel"/>
    <w:tmpl w:val="799F1C8B"/>
    <w:lvl w:ilvl="0" w:tentative="0">
      <w:start w:val="1"/>
      <w:numFmt w:val="japaneseCounting"/>
      <w:lvlText w:val="%1、"/>
      <w:lvlJc w:val="left"/>
      <w:pPr>
        <w:ind w:left="1110" w:hanging="51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戴刚勇1">
    <w15:presenceInfo w15:providerId="None" w15:userId="戴刚勇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YWUxMDgxODE0ZTk4NTJhOTVkYmEwNThkNjQzYjcifQ=="/>
  </w:docVars>
  <w:rsids>
    <w:rsidRoot w:val="000A20B7"/>
    <w:rsid w:val="00002361"/>
    <w:rsid w:val="00003FDE"/>
    <w:rsid w:val="000058B3"/>
    <w:rsid w:val="00005F9C"/>
    <w:rsid w:val="000072D0"/>
    <w:rsid w:val="000075BA"/>
    <w:rsid w:val="00013307"/>
    <w:rsid w:val="00014608"/>
    <w:rsid w:val="00014DD6"/>
    <w:rsid w:val="00014E9B"/>
    <w:rsid w:val="00015C8C"/>
    <w:rsid w:val="00015F26"/>
    <w:rsid w:val="00016125"/>
    <w:rsid w:val="000170E2"/>
    <w:rsid w:val="0001798A"/>
    <w:rsid w:val="00020C18"/>
    <w:rsid w:val="00022CAD"/>
    <w:rsid w:val="00023839"/>
    <w:rsid w:val="00023AF1"/>
    <w:rsid w:val="00025081"/>
    <w:rsid w:val="00027ED8"/>
    <w:rsid w:val="000305AC"/>
    <w:rsid w:val="00031012"/>
    <w:rsid w:val="00031597"/>
    <w:rsid w:val="00031F28"/>
    <w:rsid w:val="000320D7"/>
    <w:rsid w:val="00032115"/>
    <w:rsid w:val="000337B4"/>
    <w:rsid w:val="00033E2F"/>
    <w:rsid w:val="00034568"/>
    <w:rsid w:val="000346FF"/>
    <w:rsid w:val="0003550E"/>
    <w:rsid w:val="0003678E"/>
    <w:rsid w:val="00036790"/>
    <w:rsid w:val="00036A0C"/>
    <w:rsid w:val="00036FD1"/>
    <w:rsid w:val="00040044"/>
    <w:rsid w:val="00040246"/>
    <w:rsid w:val="00040E54"/>
    <w:rsid w:val="0004235C"/>
    <w:rsid w:val="0004278F"/>
    <w:rsid w:val="00042E82"/>
    <w:rsid w:val="00044F96"/>
    <w:rsid w:val="00047623"/>
    <w:rsid w:val="00051414"/>
    <w:rsid w:val="00051415"/>
    <w:rsid w:val="000517A9"/>
    <w:rsid w:val="00051F31"/>
    <w:rsid w:val="00052E8F"/>
    <w:rsid w:val="00053553"/>
    <w:rsid w:val="0005391F"/>
    <w:rsid w:val="00054D3D"/>
    <w:rsid w:val="00055206"/>
    <w:rsid w:val="0005556A"/>
    <w:rsid w:val="000556C4"/>
    <w:rsid w:val="000563FC"/>
    <w:rsid w:val="00061187"/>
    <w:rsid w:val="00061EA4"/>
    <w:rsid w:val="00063817"/>
    <w:rsid w:val="00066D50"/>
    <w:rsid w:val="00070B9B"/>
    <w:rsid w:val="00071424"/>
    <w:rsid w:val="00072042"/>
    <w:rsid w:val="0007276F"/>
    <w:rsid w:val="00074B95"/>
    <w:rsid w:val="000751F4"/>
    <w:rsid w:val="000817C9"/>
    <w:rsid w:val="0008285B"/>
    <w:rsid w:val="00082A2A"/>
    <w:rsid w:val="000830D6"/>
    <w:rsid w:val="00083332"/>
    <w:rsid w:val="00084ADF"/>
    <w:rsid w:val="00085ACC"/>
    <w:rsid w:val="00086BEC"/>
    <w:rsid w:val="000939A2"/>
    <w:rsid w:val="00093FDD"/>
    <w:rsid w:val="000945B0"/>
    <w:rsid w:val="00095E13"/>
    <w:rsid w:val="00097098"/>
    <w:rsid w:val="000978FB"/>
    <w:rsid w:val="00097EF2"/>
    <w:rsid w:val="000A1B8C"/>
    <w:rsid w:val="000A20B7"/>
    <w:rsid w:val="000A2245"/>
    <w:rsid w:val="000A31B3"/>
    <w:rsid w:val="000A5FCC"/>
    <w:rsid w:val="000B3351"/>
    <w:rsid w:val="000B3AC4"/>
    <w:rsid w:val="000B41E7"/>
    <w:rsid w:val="000B4EF5"/>
    <w:rsid w:val="000B5BB9"/>
    <w:rsid w:val="000B6118"/>
    <w:rsid w:val="000B6355"/>
    <w:rsid w:val="000B7D33"/>
    <w:rsid w:val="000C138C"/>
    <w:rsid w:val="000C1E4B"/>
    <w:rsid w:val="000C1ECB"/>
    <w:rsid w:val="000C20D4"/>
    <w:rsid w:val="000C2766"/>
    <w:rsid w:val="000C37C8"/>
    <w:rsid w:val="000C385A"/>
    <w:rsid w:val="000C3FC0"/>
    <w:rsid w:val="000C5269"/>
    <w:rsid w:val="000D25DD"/>
    <w:rsid w:val="000D3842"/>
    <w:rsid w:val="000D39B4"/>
    <w:rsid w:val="000D4809"/>
    <w:rsid w:val="000D4C95"/>
    <w:rsid w:val="000E0A7E"/>
    <w:rsid w:val="000E0E75"/>
    <w:rsid w:val="000E17AE"/>
    <w:rsid w:val="000E195C"/>
    <w:rsid w:val="000E1ABB"/>
    <w:rsid w:val="000E2E2F"/>
    <w:rsid w:val="000E3961"/>
    <w:rsid w:val="000E4734"/>
    <w:rsid w:val="000E5391"/>
    <w:rsid w:val="000E6E4F"/>
    <w:rsid w:val="000F0453"/>
    <w:rsid w:val="000F1C7C"/>
    <w:rsid w:val="000F281B"/>
    <w:rsid w:val="000F2E59"/>
    <w:rsid w:val="000F3587"/>
    <w:rsid w:val="000F4E4C"/>
    <w:rsid w:val="000F5434"/>
    <w:rsid w:val="000F6D65"/>
    <w:rsid w:val="00100CCD"/>
    <w:rsid w:val="001010C1"/>
    <w:rsid w:val="001018FD"/>
    <w:rsid w:val="001019BE"/>
    <w:rsid w:val="001023CD"/>
    <w:rsid w:val="00102696"/>
    <w:rsid w:val="00102B74"/>
    <w:rsid w:val="00105570"/>
    <w:rsid w:val="00106880"/>
    <w:rsid w:val="001078AF"/>
    <w:rsid w:val="00107D93"/>
    <w:rsid w:val="001105A4"/>
    <w:rsid w:val="0011178F"/>
    <w:rsid w:val="00111AFA"/>
    <w:rsid w:val="00112641"/>
    <w:rsid w:val="00112D11"/>
    <w:rsid w:val="00112E29"/>
    <w:rsid w:val="0011344F"/>
    <w:rsid w:val="0011454B"/>
    <w:rsid w:val="001159D7"/>
    <w:rsid w:val="00115AB9"/>
    <w:rsid w:val="00115EB6"/>
    <w:rsid w:val="00116E3C"/>
    <w:rsid w:val="0012052B"/>
    <w:rsid w:val="00120F22"/>
    <w:rsid w:val="00121FCF"/>
    <w:rsid w:val="0012295D"/>
    <w:rsid w:val="0012396B"/>
    <w:rsid w:val="00124ACD"/>
    <w:rsid w:val="001265E4"/>
    <w:rsid w:val="00127512"/>
    <w:rsid w:val="0012760A"/>
    <w:rsid w:val="00127F97"/>
    <w:rsid w:val="001301F5"/>
    <w:rsid w:val="00130795"/>
    <w:rsid w:val="00130953"/>
    <w:rsid w:val="00130E06"/>
    <w:rsid w:val="00131181"/>
    <w:rsid w:val="0013157C"/>
    <w:rsid w:val="0013160C"/>
    <w:rsid w:val="00131AC3"/>
    <w:rsid w:val="00131B05"/>
    <w:rsid w:val="00132585"/>
    <w:rsid w:val="00132ED2"/>
    <w:rsid w:val="001340D7"/>
    <w:rsid w:val="00134278"/>
    <w:rsid w:val="0013504C"/>
    <w:rsid w:val="0013531E"/>
    <w:rsid w:val="001353E8"/>
    <w:rsid w:val="001363AF"/>
    <w:rsid w:val="00136A64"/>
    <w:rsid w:val="00136B9D"/>
    <w:rsid w:val="00137822"/>
    <w:rsid w:val="00141157"/>
    <w:rsid w:val="00144B4C"/>
    <w:rsid w:val="00145C4C"/>
    <w:rsid w:val="001463F2"/>
    <w:rsid w:val="001505EC"/>
    <w:rsid w:val="00153C3C"/>
    <w:rsid w:val="001542E5"/>
    <w:rsid w:val="001577D1"/>
    <w:rsid w:val="00161AAA"/>
    <w:rsid w:val="00162B7C"/>
    <w:rsid w:val="001632CB"/>
    <w:rsid w:val="00163C4E"/>
    <w:rsid w:val="0016410A"/>
    <w:rsid w:val="001644F1"/>
    <w:rsid w:val="001654BE"/>
    <w:rsid w:val="00165E6C"/>
    <w:rsid w:val="00167AB0"/>
    <w:rsid w:val="00170F9C"/>
    <w:rsid w:val="001711DA"/>
    <w:rsid w:val="001720D5"/>
    <w:rsid w:val="001735B4"/>
    <w:rsid w:val="00175ED7"/>
    <w:rsid w:val="00177830"/>
    <w:rsid w:val="0018182D"/>
    <w:rsid w:val="00182889"/>
    <w:rsid w:val="0018428B"/>
    <w:rsid w:val="00184D4D"/>
    <w:rsid w:val="001850CF"/>
    <w:rsid w:val="00185677"/>
    <w:rsid w:val="00185FEB"/>
    <w:rsid w:val="00187E88"/>
    <w:rsid w:val="00191208"/>
    <w:rsid w:val="00191704"/>
    <w:rsid w:val="00192DB5"/>
    <w:rsid w:val="00194F16"/>
    <w:rsid w:val="00195173"/>
    <w:rsid w:val="00195F76"/>
    <w:rsid w:val="001A147A"/>
    <w:rsid w:val="001A29BB"/>
    <w:rsid w:val="001A53DC"/>
    <w:rsid w:val="001A732F"/>
    <w:rsid w:val="001B13EE"/>
    <w:rsid w:val="001B13F7"/>
    <w:rsid w:val="001B4C7E"/>
    <w:rsid w:val="001B6623"/>
    <w:rsid w:val="001C12EC"/>
    <w:rsid w:val="001C3153"/>
    <w:rsid w:val="001C4190"/>
    <w:rsid w:val="001C464A"/>
    <w:rsid w:val="001C47AD"/>
    <w:rsid w:val="001C4852"/>
    <w:rsid w:val="001C641E"/>
    <w:rsid w:val="001C65C5"/>
    <w:rsid w:val="001C6699"/>
    <w:rsid w:val="001C77B8"/>
    <w:rsid w:val="001D103A"/>
    <w:rsid w:val="001D2C8C"/>
    <w:rsid w:val="001D404C"/>
    <w:rsid w:val="001D427F"/>
    <w:rsid w:val="001D5DA7"/>
    <w:rsid w:val="001D650C"/>
    <w:rsid w:val="001E1AD9"/>
    <w:rsid w:val="001E1C2C"/>
    <w:rsid w:val="001E1EC0"/>
    <w:rsid w:val="001E239B"/>
    <w:rsid w:val="001E2608"/>
    <w:rsid w:val="001E280C"/>
    <w:rsid w:val="001E2C24"/>
    <w:rsid w:val="001E45AD"/>
    <w:rsid w:val="001E4EC5"/>
    <w:rsid w:val="001E5E2A"/>
    <w:rsid w:val="001E6740"/>
    <w:rsid w:val="001E6748"/>
    <w:rsid w:val="001E68DC"/>
    <w:rsid w:val="001F28C6"/>
    <w:rsid w:val="001F356C"/>
    <w:rsid w:val="001F4087"/>
    <w:rsid w:val="001F43BB"/>
    <w:rsid w:val="001F5BE2"/>
    <w:rsid w:val="001F6E25"/>
    <w:rsid w:val="001F7FF3"/>
    <w:rsid w:val="00200600"/>
    <w:rsid w:val="00200F9B"/>
    <w:rsid w:val="0020330D"/>
    <w:rsid w:val="00203A29"/>
    <w:rsid w:val="00205002"/>
    <w:rsid w:val="00207DF0"/>
    <w:rsid w:val="0021033B"/>
    <w:rsid w:val="00210627"/>
    <w:rsid w:val="002116DB"/>
    <w:rsid w:val="00211C86"/>
    <w:rsid w:val="002120DC"/>
    <w:rsid w:val="002121B4"/>
    <w:rsid w:val="00212870"/>
    <w:rsid w:val="00213236"/>
    <w:rsid w:val="00213659"/>
    <w:rsid w:val="00213E78"/>
    <w:rsid w:val="00213E88"/>
    <w:rsid w:val="00216EB9"/>
    <w:rsid w:val="00216F5B"/>
    <w:rsid w:val="002215DA"/>
    <w:rsid w:val="00221867"/>
    <w:rsid w:val="0022255E"/>
    <w:rsid w:val="00222806"/>
    <w:rsid w:val="00222B33"/>
    <w:rsid w:val="00222EB9"/>
    <w:rsid w:val="002239A8"/>
    <w:rsid w:val="00225D73"/>
    <w:rsid w:val="00225E40"/>
    <w:rsid w:val="00226F4C"/>
    <w:rsid w:val="0022721E"/>
    <w:rsid w:val="002275F8"/>
    <w:rsid w:val="002306D7"/>
    <w:rsid w:val="00231CCD"/>
    <w:rsid w:val="002340BB"/>
    <w:rsid w:val="00234B73"/>
    <w:rsid w:val="00235937"/>
    <w:rsid w:val="0023626C"/>
    <w:rsid w:val="0023661B"/>
    <w:rsid w:val="002370E1"/>
    <w:rsid w:val="00237B15"/>
    <w:rsid w:val="002409E5"/>
    <w:rsid w:val="00240FD3"/>
    <w:rsid w:val="002412D1"/>
    <w:rsid w:val="00241ACA"/>
    <w:rsid w:val="00241DD4"/>
    <w:rsid w:val="00242031"/>
    <w:rsid w:val="00244B1A"/>
    <w:rsid w:val="00244D31"/>
    <w:rsid w:val="00244EAD"/>
    <w:rsid w:val="00246236"/>
    <w:rsid w:val="00246633"/>
    <w:rsid w:val="0024729C"/>
    <w:rsid w:val="0025236C"/>
    <w:rsid w:val="002523A9"/>
    <w:rsid w:val="00253162"/>
    <w:rsid w:val="0025467F"/>
    <w:rsid w:val="00254D4B"/>
    <w:rsid w:val="0025548D"/>
    <w:rsid w:val="002567DA"/>
    <w:rsid w:val="00257AF7"/>
    <w:rsid w:val="00257E9A"/>
    <w:rsid w:val="002600BB"/>
    <w:rsid w:val="00260655"/>
    <w:rsid w:val="0026258C"/>
    <w:rsid w:val="002636ED"/>
    <w:rsid w:val="00263DA2"/>
    <w:rsid w:val="00264417"/>
    <w:rsid w:val="00264448"/>
    <w:rsid w:val="00264823"/>
    <w:rsid w:val="002661D6"/>
    <w:rsid w:val="00270F6D"/>
    <w:rsid w:val="00273CB4"/>
    <w:rsid w:val="00274A5E"/>
    <w:rsid w:val="00275BDD"/>
    <w:rsid w:val="00276B61"/>
    <w:rsid w:val="002772D3"/>
    <w:rsid w:val="00277848"/>
    <w:rsid w:val="00280347"/>
    <w:rsid w:val="00280D35"/>
    <w:rsid w:val="00281E83"/>
    <w:rsid w:val="00282089"/>
    <w:rsid w:val="00282385"/>
    <w:rsid w:val="00282551"/>
    <w:rsid w:val="002828A5"/>
    <w:rsid w:val="002834E3"/>
    <w:rsid w:val="0028454F"/>
    <w:rsid w:val="00284709"/>
    <w:rsid w:val="002848F6"/>
    <w:rsid w:val="00284BAE"/>
    <w:rsid w:val="00284E33"/>
    <w:rsid w:val="00285D85"/>
    <w:rsid w:val="00286A50"/>
    <w:rsid w:val="00286E14"/>
    <w:rsid w:val="00286E58"/>
    <w:rsid w:val="002871D4"/>
    <w:rsid w:val="00290797"/>
    <w:rsid w:val="00290EA4"/>
    <w:rsid w:val="00290FBB"/>
    <w:rsid w:val="0029149E"/>
    <w:rsid w:val="0029309F"/>
    <w:rsid w:val="00293D27"/>
    <w:rsid w:val="00293E65"/>
    <w:rsid w:val="00294F05"/>
    <w:rsid w:val="00295EDA"/>
    <w:rsid w:val="002A0238"/>
    <w:rsid w:val="002A23B2"/>
    <w:rsid w:val="002A44FC"/>
    <w:rsid w:val="002A460F"/>
    <w:rsid w:val="002A49E1"/>
    <w:rsid w:val="002B1364"/>
    <w:rsid w:val="002B13C2"/>
    <w:rsid w:val="002B19CF"/>
    <w:rsid w:val="002B1A73"/>
    <w:rsid w:val="002B24F2"/>
    <w:rsid w:val="002B260C"/>
    <w:rsid w:val="002B39B2"/>
    <w:rsid w:val="002B42D7"/>
    <w:rsid w:val="002B593D"/>
    <w:rsid w:val="002B6550"/>
    <w:rsid w:val="002C0764"/>
    <w:rsid w:val="002C0EFF"/>
    <w:rsid w:val="002C2BC9"/>
    <w:rsid w:val="002D121F"/>
    <w:rsid w:val="002D16C2"/>
    <w:rsid w:val="002D2EE1"/>
    <w:rsid w:val="002D3F69"/>
    <w:rsid w:val="002D470B"/>
    <w:rsid w:val="002D58CD"/>
    <w:rsid w:val="002D6A41"/>
    <w:rsid w:val="002D764A"/>
    <w:rsid w:val="002E0CA5"/>
    <w:rsid w:val="002E134C"/>
    <w:rsid w:val="002E1664"/>
    <w:rsid w:val="002E17BD"/>
    <w:rsid w:val="002E1A4A"/>
    <w:rsid w:val="002E4E07"/>
    <w:rsid w:val="002E529F"/>
    <w:rsid w:val="002E53AC"/>
    <w:rsid w:val="002E5EB5"/>
    <w:rsid w:val="002E62B0"/>
    <w:rsid w:val="002E74F9"/>
    <w:rsid w:val="002E7618"/>
    <w:rsid w:val="002F11AE"/>
    <w:rsid w:val="002F2FC3"/>
    <w:rsid w:val="002F3442"/>
    <w:rsid w:val="002F5ABB"/>
    <w:rsid w:val="002F70B0"/>
    <w:rsid w:val="002F730E"/>
    <w:rsid w:val="0030251C"/>
    <w:rsid w:val="0030292A"/>
    <w:rsid w:val="003035CE"/>
    <w:rsid w:val="003036DD"/>
    <w:rsid w:val="00303E2D"/>
    <w:rsid w:val="00305224"/>
    <w:rsid w:val="00305598"/>
    <w:rsid w:val="0030578B"/>
    <w:rsid w:val="00305C4C"/>
    <w:rsid w:val="00305D8F"/>
    <w:rsid w:val="00306166"/>
    <w:rsid w:val="00306185"/>
    <w:rsid w:val="00306246"/>
    <w:rsid w:val="00306D9A"/>
    <w:rsid w:val="00310137"/>
    <w:rsid w:val="00311DB8"/>
    <w:rsid w:val="00312974"/>
    <w:rsid w:val="0031317F"/>
    <w:rsid w:val="00313CEA"/>
    <w:rsid w:val="00314632"/>
    <w:rsid w:val="00314B2C"/>
    <w:rsid w:val="00315252"/>
    <w:rsid w:val="00317E60"/>
    <w:rsid w:val="00317EA6"/>
    <w:rsid w:val="00321078"/>
    <w:rsid w:val="003233A8"/>
    <w:rsid w:val="003248BC"/>
    <w:rsid w:val="00325A4F"/>
    <w:rsid w:val="003262F2"/>
    <w:rsid w:val="00326606"/>
    <w:rsid w:val="00331945"/>
    <w:rsid w:val="00331E67"/>
    <w:rsid w:val="00332271"/>
    <w:rsid w:val="0033398B"/>
    <w:rsid w:val="00333C42"/>
    <w:rsid w:val="003400A6"/>
    <w:rsid w:val="00342AC4"/>
    <w:rsid w:val="003439C5"/>
    <w:rsid w:val="00344699"/>
    <w:rsid w:val="003448E7"/>
    <w:rsid w:val="00344DA4"/>
    <w:rsid w:val="00345B14"/>
    <w:rsid w:val="0034611F"/>
    <w:rsid w:val="00350E22"/>
    <w:rsid w:val="00352360"/>
    <w:rsid w:val="003529EA"/>
    <w:rsid w:val="003534C2"/>
    <w:rsid w:val="0035504F"/>
    <w:rsid w:val="003550CB"/>
    <w:rsid w:val="00355C15"/>
    <w:rsid w:val="003568B3"/>
    <w:rsid w:val="00356A18"/>
    <w:rsid w:val="00357E54"/>
    <w:rsid w:val="00362471"/>
    <w:rsid w:val="003661DB"/>
    <w:rsid w:val="00367CA8"/>
    <w:rsid w:val="003702EC"/>
    <w:rsid w:val="0037056E"/>
    <w:rsid w:val="00371DC1"/>
    <w:rsid w:val="00371FBA"/>
    <w:rsid w:val="00372562"/>
    <w:rsid w:val="003728CF"/>
    <w:rsid w:val="00373696"/>
    <w:rsid w:val="00373D36"/>
    <w:rsid w:val="00373FF6"/>
    <w:rsid w:val="0037511C"/>
    <w:rsid w:val="00375E34"/>
    <w:rsid w:val="00376A7E"/>
    <w:rsid w:val="003771BF"/>
    <w:rsid w:val="0037720F"/>
    <w:rsid w:val="00377666"/>
    <w:rsid w:val="003807BA"/>
    <w:rsid w:val="00381270"/>
    <w:rsid w:val="00381C39"/>
    <w:rsid w:val="003823CC"/>
    <w:rsid w:val="0038363B"/>
    <w:rsid w:val="00383F61"/>
    <w:rsid w:val="00384399"/>
    <w:rsid w:val="00384DF4"/>
    <w:rsid w:val="00387BDE"/>
    <w:rsid w:val="00387FF3"/>
    <w:rsid w:val="00390D1D"/>
    <w:rsid w:val="003914F1"/>
    <w:rsid w:val="00391A02"/>
    <w:rsid w:val="00393CC4"/>
    <w:rsid w:val="003952BA"/>
    <w:rsid w:val="00395596"/>
    <w:rsid w:val="003A053E"/>
    <w:rsid w:val="003A1828"/>
    <w:rsid w:val="003A2DB6"/>
    <w:rsid w:val="003A3DBB"/>
    <w:rsid w:val="003A5DF5"/>
    <w:rsid w:val="003A6F82"/>
    <w:rsid w:val="003B0EE6"/>
    <w:rsid w:val="003B14F2"/>
    <w:rsid w:val="003B18C5"/>
    <w:rsid w:val="003B1BE2"/>
    <w:rsid w:val="003B228B"/>
    <w:rsid w:val="003B375A"/>
    <w:rsid w:val="003B4E28"/>
    <w:rsid w:val="003B4F8B"/>
    <w:rsid w:val="003B77AF"/>
    <w:rsid w:val="003C01DC"/>
    <w:rsid w:val="003C2A88"/>
    <w:rsid w:val="003C2ED9"/>
    <w:rsid w:val="003C35A0"/>
    <w:rsid w:val="003C458F"/>
    <w:rsid w:val="003C4F1A"/>
    <w:rsid w:val="003C5AD6"/>
    <w:rsid w:val="003C6D26"/>
    <w:rsid w:val="003C7629"/>
    <w:rsid w:val="003D05D9"/>
    <w:rsid w:val="003D09EF"/>
    <w:rsid w:val="003D0FB2"/>
    <w:rsid w:val="003D13D3"/>
    <w:rsid w:val="003D1503"/>
    <w:rsid w:val="003D181E"/>
    <w:rsid w:val="003D279C"/>
    <w:rsid w:val="003D3145"/>
    <w:rsid w:val="003D3BCF"/>
    <w:rsid w:val="003D3BDB"/>
    <w:rsid w:val="003D3E28"/>
    <w:rsid w:val="003D3F45"/>
    <w:rsid w:val="003D3F58"/>
    <w:rsid w:val="003D5EDF"/>
    <w:rsid w:val="003D6AD5"/>
    <w:rsid w:val="003D7522"/>
    <w:rsid w:val="003D756D"/>
    <w:rsid w:val="003E03AA"/>
    <w:rsid w:val="003E0D0E"/>
    <w:rsid w:val="003E217E"/>
    <w:rsid w:val="003E4649"/>
    <w:rsid w:val="003E4B73"/>
    <w:rsid w:val="003E51FA"/>
    <w:rsid w:val="003E5386"/>
    <w:rsid w:val="003E6C50"/>
    <w:rsid w:val="003E7430"/>
    <w:rsid w:val="003E795E"/>
    <w:rsid w:val="003F02ED"/>
    <w:rsid w:val="003F0B53"/>
    <w:rsid w:val="003F1045"/>
    <w:rsid w:val="003F1AD6"/>
    <w:rsid w:val="003F1E24"/>
    <w:rsid w:val="003F217C"/>
    <w:rsid w:val="003F2219"/>
    <w:rsid w:val="003F435D"/>
    <w:rsid w:val="003F4E9D"/>
    <w:rsid w:val="003F55A3"/>
    <w:rsid w:val="003F5F49"/>
    <w:rsid w:val="003F65B2"/>
    <w:rsid w:val="00400FB7"/>
    <w:rsid w:val="004012BB"/>
    <w:rsid w:val="004015A5"/>
    <w:rsid w:val="00401973"/>
    <w:rsid w:val="00402922"/>
    <w:rsid w:val="00402B84"/>
    <w:rsid w:val="00404E19"/>
    <w:rsid w:val="004056BB"/>
    <w:rsid w:val="004079A8"/>
    <w:rsid w:val="00412449"/>
    <w:rsid w:val="0041346A"/>
    <w:rsid w:val="004166B7"/>
    <w:rsid w:val="004166F9"/>
    <w:rsid w:val="004172E3"/>
    <w:rsid w:val="0042199E"/>
    <w:rsid w:val="00421F46"/>
    <w:rsid w:val="004220DF"/>
    <w:rsid w:val="00422394"/>
    <w:rsid w:val="00424012"/>
    <w:rsid w:val="00424F10"/>
    <w:rsid w:val="00426357"/>
    <w:rsid w:val="004265E6"/>
    <w:rsid w:val="00427691"/>
    <w:rsid w:val="00427FE1"/>
    <w:rsid w:val="004304FF"/>
    <w:rsid w:val="00431145"/>
    <w:rsid w:val="0043156C"/>
    <w:rsid w:val="00432F0C"/>
    <w:rsid w:val="00433596"/>
    <w:rsid w:val="0043416D"/>
    <w:rsid w:val="00434C63"/>
    <w:rsid w:val="0043572B"/>
    <w:rsid w:val="00436A85"/>
    <w:rsid w:val="00436B19"/>
    <w:rsid w:val="00437D6D"/>
    <w:rsid w:val="004425E3"/>
    <w:rsid w:val="00444523"/>
    <w:rsid w:val="00445E15"/>
    <w:rsid w:val="00446AFE"/>
    <w:rsid w:val="004472EB"/>
    <w:rsid w:val="004472F0"/>
    <w:rsid w:val="00450DDF"/>
    <w:rsid w:val="004513C6"/>
    <w:rsid w:val="004515BF"/>
    <w:rsid w:val="00452412"/>
    <w:rsid w:val="004531FC"/>
    <w:rsid w:val="00453A28"/>
    <w:rsid w:val="004546F4"/>
    <w:rsid w:val="004558D2"/>
    <w:rsid w:val="004558E0"/>
    <w:rsid w:val="00456187"/>
    <w:rsid w:val="00457239"/>
    <w:rsid w:val="00463A35"/>
    <w:rsid w:val="00467936"/>
    <w:rsid w:val="004679E0"/>
    <w:rsid w:val="00470AFB"/>
    <w:rsid w:val="00470BB4"/>
    <w:rsid w:val="00470D1D"/>
    <w:rsid w:val="004713CE"/>
    <w:rsid w:val="00473296"/>
    <w:rsid w:val="004733D2"/>
    <w:rsid w:val="004734A8"/>
    <w:rsid w:val="0047431B"/>
    <w:rsid w:val="00474CD6"/>
    <w:rsid w:val="00477C27"/>
    <w:rsid w:val="00480114"/>
    <w:rsid w:val="00480D20"/>
    <w:rsid w:val="00482FB9"/>
    <w:rsid w:val="00484F1F"/>
    <w:rsid w:val="00485354"/>
    <w:rsid w:val="0048563E"/>
    <w:rsid w:val="00485F13"/>
    <w:rsid w:val="00487227"/>
    <w:rsid w:val="0048781C"/>
    <w:rsid w:val="0049306C"/>
    <w:rsid w:val="0049312B"/>
    <w:rsid w:val="00493598"/>
    <w:rsid w:val="0049515F"/>
    <w:rsid w:val="004951EE"/>
    <w:rsid w:val="00496EA7"/>
    <w:rsid w:val="0049712C"/>
    <w:rsid w:val="00497A39"/>
    <w:rsid w:val="004A34D3"/>
    <w:rsid w:val="004A34E1"/>
    <w:rsid w:val="004A4D33"/>
    <w:rsid w:val="004A6678"/>
    <w:rsid w:val="004A67F2"/>
    <w:rsid w:val="004A7061"/>
    <w:rsid w:val="004A787D"/>
    <w:rsid w:val="004A7A1F"/>
    <w:rsid w:val="004B1BD5"/>
    <w:rsid w:val="004B251A"/>
    <w:rsid w:val="004B44FE"/>
    <w:rsid w:val="004B4501"/>
    <w:rsid w:val="004B63F8"/>
    <w:rsid w:val="004B6A78"/>
    <w:rsid w:val="004C0472"/>
    <w:rsid w:val="004C12CD"/>
    <w:rsid w:val="004C1728"/>
    <w:rsid w:val="004C2030"/>
    <w:rsid w:val="004C209D"/>
    <w:rsid w:val="004C2931"/>
    <w:rsid w:val="004C3B13"/>
    <w:rsid w:val="004C7125"/>
    <w:rsid w:val="004C79C6"/>
    <w:rsid w:val="004C7FB5"/>
    <w:rsid w:val="004D055F"/>
    <w:rsid w:val="004D07EA"/>
    <w:rsid w:val="004D0C3E"/>
    <w:rsid w:val="004D2909"/>
    <w:rsid w:val="004D5D5B"/>
    <w:rsid w:val="004E04AB"/>
    <w:rsid w:val="004E09ED"/>
    <w:rsid w:val="004E1774"/>
    <w:rsid w:val="004E1BFD"/>
    <w:rsid w:val="004E2018"/>
    <w:rsid w:val="004E265F"/>
    <w:rsid w:val="004E2A99"/>
    <w:rsid w:val="004E3946"/>
    <w:rsid w:val="004E3EFE"/>
    <w:rsid w:val="004E5982"/>
    <w:rsid w:val="004E5D5F"/>
    <w:rsid w:val="004F1055"/>
    <w:rsid w:val="004F1298"/>
    <w:rsid w:val="004F20FF"/>
    <w:rsid w:val="004F248D"/>
    <w:rsid w:val="004F421E"/>
    <w:rsid w:val="004F4393"/>
    <w:rsid w:val="004F4B85"/>
    <w:rsid w:val="004F4F66"/>
    <w:rsid w:val="004F4F67"/>
    <w:rsid w:val="004F5D38"/>
    <w:rsid w:val="004F79BB"/>
    <w:rsid w:val="004F7B16"/>
    <w:rsid w:val="00500369"/>
    <w:rsid w:val="00500868"/>
    <w:rsid w:val="00500C61"/>
    <w:rsid w:val="00500CB3"/>
    <w:rsid w:val="005016A9"/>
    <w:rsid w:val="00502C59"/>
    <w:rsid w:val="0050428D"/>
    <w:rsid w:val="00504700"/>
    <w:rsid w:val="005048C8"/>
    <w:rsid w:val="005049C7"/>
    <w:rsid w:val="00505267"/>
    <w:rsid w:val="00505947"/>
    <w:rsid w:val="00510180"/>
    <w:rsid w:val="00510240"/>
    <w:rsid w:val="00510656"/>
    <w:rsid w:val="00510C4E"/>
    <w:rsid w:val="00511215"/>
    <w:rsid w:val="00512837"/>
    <w:rsid w:val="00513361"/>
    <w:rsid w:val="005142FD"/>
    <w:rsid w:val="00514D4C"/>
    <w:rsid w:val="00515982"/>
    <w:rsid w:val="005176AB"/>
    <w:rsid w:val="005178C7"/>
    <w:rsid w:val="00517D35"/>
    <w:rsid w:val="00520E9B"/>
    <w:rsid w:val="00522107"/>
    <w:rsid w:val="0052360C"/>
    <w:rsid w:val="00523ADA"/>
    <w:rsid w:val="00523CA6"/>
    <w:rsid w:val="005255FD"/>
    <w:rsid w:val="00525B96"/>
    <w:rsid w:val="00525F0A"/>
    <w:rsid w:val="005260AC"/>
    <w:rsid w:val="00526B79"/>
    <w:rsid w:val="0052734B"/>
    <w:rsid w:val="005308FD"/>
    <w:rsid w:val="00530ECD"/>
    <w:rsid w:val="00530FB4"/>
    <w:rsid w:val="00531F97"/>
    <w:rsid w:val="0053220E"/>
    <w:rsid w:val="00532EC5"/>
    <w:rsid w:val="0053389F"/>
    <w:rsid w:val="00533CE4"/>
    <w:rsid w:val="00535196"/>
    <w:rsid w:val="005362EE"/>
    <w:rsid w:val="00537A55"/>
    <w:rsid w:val="00541C09"/>
    <w:rsid w:val="00541D69"/>
    <w:rsid w:val="00542F62"/>
    <w:rsid w:val="005437C4"/>
    <w:rsid w:val="00544216"/>
    <w:rsid w:val="00544A0C"/>
    <w:rsid w:val="00546B35"/>
    <w:rsid w:val="00552F78"/>
    <w:rsid w:val="00554C45"/>
    <w:rsid w:val="00555846"/>
    <w:rsid w:val="00556148"/>
    <w:rsid w:val="005562DA"/>
    <w:rsid w:val="00556475"/>
    <w:rsid w:val="00557ABF"/>
    <w:rsid w:val="005613DA"/>
    <w:rsid w:val="00561A82"/>
    <w:rsid w:val="0056641D"/>
    <w:rsid w:val="0056768A"/>
    <w:rsid w:val="00567E6F"/>
    <w:rsid w:val="005712D9"/>
    <w:rsid w:val="005713E6"/>
    <w:rsid w:val="005718A0"/>
    <w:rsid w:val="005736B6"/>
    <w:rsid w:val="005747DC"/>
    <w:rsid w:val="00575CFB"/>
    <w:rsid w:val="005766B2"/>
    <w:rsid w:val="00577EA2"/>
    <w:rsid w:val="00580EE3"/>
    <w:rsid w:val="00581321"/>
    <w:rsid w:val="00581975"/>
    <w:rsid w:val="00582236"/>
    <w:rsid w:val="00582901"/>
    <w:rsid w:val="00584142"/>
    <w:rsid w:val="005861CF"/>
    <w:rsid w:val="005872FE"/>
    <w:rsid w:val="00591653"/>
    <w:rsid w:val="00595341"/>
    <w:rsid w:val="005966F8"/>
    <w:rsid w:val="00597632"/>
    <w:rsid w:val="00597D21"/>
    <w:rsid w:val="005A16BA"/>
    <w:rsid w:val="005A29E6"/>
    <w:rsid w:val="005A32C3"/>
    <w:rsid w:val="005A33CA"/>
    <w:rsid w:val="005A3BAA"/>
    <w:rsid w:val="005A3F49"/>
    <w:rsid w:val="005A4A26"/>
    <w:rsid w:val="005A63F6"/>
    <w:rsid w:val="005A7616"/>
    <w:rsid w:val="005B0700"/>
    <w:rsid w:val="005B1147"/>
    <w:rsid w:val="005B25FD"/>
    <w:rsid w:val="005B43B2"/>
    <w:rsid w:val="005B48EB"/>
    <w:rsid w:val="005B5400"/>
    <w:rsid w:val="005B5E90"/>
    <w:rsid w:val="005B6DF2"/>
    <w:rsid w:val="005C09A7"/>
    <w:rsid w:val="005C3139"/>
    <w:rsid w:val="005C33B9"/>
    <w:rsid w:val="005C3BC8"/>
    <w:rsid w:val="005C4FF3"/>
    <w:rsid w:val="005C5972"/>
    <w:rsid w:val="005C5D9B"/>
    <w:rsid w:val="005C79AA"/>
    <w:rsid w:val="005D1541"/>
    <w:rsid w:val="005D30E3"/>
    <w:rsid w:val="005D428F"/>
    <w:rsid w:val="005D54CD"/>
    <w:rsid w:val="005D5E1D"/>
    <w:rsid w:val="005D7FDA"/>
    <w:rsid w:val="005E1791"/>
    <w:rsid w:val="005E195C"/>
    <w:rsid w:val="005E2EF8"/>
    <w:rsid w:val="005E5B27"/>
    <w:rsid w:val="005E7474"/>
    <w:rsid w:val="005E7AE3"/>
    <w:rsid w:val="005F0C3E"/>
    <w:rsid w:val="005F13D5"/>
    <w:rsid w:val="005F17EE"/>
    <w:rsid w:val="005F2E77"/>
    <w:rsid w:val="005F4A97"/>
    <w:rsid w:val="005F56EB"/>
    <w:rsid w:val="005F6E95"/>
    <w:rsid w:val="005F7255"/>
    <w:rsid w:val="005F7867"/>
    <w:rsid w:val="005F7A0B"/>
    <w:rsid w:val="005F7B48"/>
    <w:rsid w:val="00600CEA"/>
    <w:rsid w:val="006011EF"/>
    <w:rsid w:val="0060209D"/>
    <w:rsid w:val="00602DDB"/>
    <w:rsid w:val="00604A20"/>
    <w:rsid w:val="00605465"/>
    <w:rsid w:val="006070A4"/>
    <w:rsid w:val="00607F42"/>
    <w:rsid w:val="00611B01"/>
    <w:rsid w:val="006129E1"/>
    <w:rsid w:val="00613D11"/>
    <w:rsid w:val="00614607"/>
    <w:rsid w:val="006146A5"/>
    <w:rsid w:val="0061644E"/>
    <w:rsid w:val="00621794"/>
    <w:rsid w:val="00622076"/>
    <w:rsid w:val="00622451"/>
    <w:rsid w:val="00622746"/>
    <w:rsid w:val="0062277F"/>
    <w:rsid w:val="00625D5E"/>
    <w:rsid w:val="00626019"/>
    <w:rsid w:val="00627669"/>
    <w:rsid w:val="006300BA"/>
    <w:rsid w:val="0063069C"/>
    <w:rsid w:val="006314B1"/>
    <w:rsid w:val="006318A1"/>
    <w:rsid w:val="00632462"/>
    <w:rsid w:val="00632C92"/>
    <w:rsid w:val="00633914"/>
    <w:rsid w:val="00633DAE"/>
    <w:rsid w:val="00635128"/>
    <w:rsid w:val="00637574"/>
    <w:rsid w:val="00640E28"/>
    <w:rsid w:val="00642DCD"/>
    <w:rsid w:val="006431F2"/>
    <w:rsid w:val="006437F5"/>
    <w:rsid w:val="00643BA8"/>
    <w:rsid w:val="00643D84"/>
    <w:rsid w:val="00644738"/>
    <w:rsid w:val="006464CE"/>
    <w:rsid w:val="006469A0"/>
    <w:rsid w:val="00646B8B"/>
    <w:rsid w:val="00650070"/>
    <w:rsid w:val="00650247"/>
    <w:rsid w:val="006502DA"/>
    <w:rsid w:val="00652CDA"/>
    <w:rsid w:val="00654664"/>
    <w:rsid w:val="0065649F"/>
    <w:rsid w:val="00656BC3"/>
    <w:rsid w:val="00661764"/>
    <w:rsid w:val="00661D41"/>
    <w:rsid w:val="00662E3E"/>
    <w:rsid w:val="0066398F"/>
    <w:rsid w:val="006661C2"/>
    <w:rsid w:val="0066673E"/>
    <w:rsid w:val="00670E90"/>
    <w:rsid w:val="00671278"/>
    <w:rsid w:val="00671503"/>
    <w:rsid w:val="00671B92"/>
    <w:rsid w:val="00671E99"/>
    <w:rsid w:val="006744C2"/>
    <w:rsid w:val="00674A17"/>
    <w:rsid w:val="006755FA"/>
    <w:rsid w:val="00675F1A"/>
    <w:rsid w:val="006767CD"/>
    <w:rsid w:val="00676A52"/>
    <w:rsid w:val="00676F37"/>
    <w:rsid w:val="0067743E"/>
    <w:rsid w:val="0068064E"/>
    <w:rsid w:val="00682CCA"/>
    <w:rsid w:val="0068384C"/>
    <w:rsid w:val="006841D9"/>
    <w:rsid w:val="00685B64"/>
    <w:rsid w:val="00686241"/>
    <w:rsid w:val="00686698"/>
    <w:rsid w:val="00686E56"/>
    <w:rsid w:val="00690593"/>
    <w:rsid w:val="00690768"/>
    <w:rsid w:val="00693D14"/>
    <w:rsid w:val="00694544"/>
    <w:rsid w:val="006949CD"/>
    <w:rsid w:val="00695150"/>
    <w:rsid w:val="00695661"/>
    <w:rsid w:val="006A12D0"/>
    <w:rsid w:val="006A2495"/>
    <w:rsid w:val="006A2602"/>
    <w:rsid w:val="006A3B34"/>
    <w:rsid w:val="006A40E5"/>
    <w:rsid w:val="006A4DFC"/>
    <w:rsid w:val="006A7534"/>
    <w:rsid w:val="006A7B7B"/>
    <w:rsid w:val="006B1E9A"/>
    <w:rsid w:val="006B3D12"/>
    <w:rsid w:val="006B431E"/>
    <w:rsid w:val="006B4559"/>
    <w:rsid w:val="006B78D3"/>
    <w:rsid w:val="006B7A4E"/>
    <w:rsid w:val="006C033B"/>
    <w:rsid w:val="006C1C0D"/>
    <w:rsid w:val="006C20FB"/>
    <w:rsid w:val="006C26B1"/>
    <w:rsid w:val="006C2D2A"/>
    <w:rsid w:val="006C3B92"/>
    <w:rsid w:val="006C58F2"/>
    <w:rsid w:val="006C6DD4"/>
    <w:rsid w:val="006C6F51"/>
    <w:rsid w:val="006D02AB"/>
    <w:rsid w:val="006D0911"/>
    <w:rsid w:val="006D172E"/>
    <w:rsid w:val="006D1B30"/>
    <w:rsid w:val="006D3E8B"/>
    <w:rsid w:val="006D4860"/>
    <w:rsid w:val="006D4DD5"/>
    <w:rsid w:val="006D6290"/>
    <w:rsid w:val="006D669F"/>
    <w:rsid w:val="006E0673"/>
    <w:rsid w:val="006E085D"/>
    <w:rsid w:val="006E100D"/>
    <w:rsid w:val="006E1B31"/>
    <w:rsid w:val="006E6A2E"/>
    <w:rsid w:val="006F0536"/>
    <w:rsid w:val="006F071A"/>
    <w:rsid w:val="006F180C"/>
    <w:rsid w:val="006F45D3"/>
    <w:rsid w:val="006F60A6"/>
    <w:rsid w:val="006F65D3"/>
    <w:rsid w:val="006F6688"/>
    <w:rsid w:val="006F729B"/>
    <w:rsid w:val="006F72B4"/>
    <w:rsid w:val="00700C14"/>
    <w:rsid w:val="00703DEA"/>
    <w:rsid w:val="0070436E"/>
    <w:rsid w:val="00705187"/>
    <w:rsid w:val="00707B72"/>
    <w:rsid w:val="00710881"/>
    <w:rsid w:val="0071149E"/>
    <w:rsid w:val="00713EDB"/>
    <w:rsid w:val="00713FA4"/>
    <w:rsid w:val="00714349"/>
    <w:rsid w:val="007152D1"/>
    <w:rsid w:val="0072143B"/>
    <w:rsid w:val="007215A0"/>
    <w:rsid w:val="007219AD"/>
    <w:rsid w:val="00721C87"/>
    <w:rsid w:val="00723DE2"/>
    <w:rsid w:val="0072506E"/>
    <w:rsid w:val="0072666C"/>
    <w:rsid w:val="00726FA0"/>
    <w:rsid w:val="00731740"/>
    <w:rsid w:val="00731E40"/>
    <w:rsid w:val="007330AF"/>
    <w:rsid w:val="00734580"/>
    <w:rsid w:val="00734869"/>
    <w:rsid w:val="00736967"/>
    <w:rsid w:val="00737ACA"/>
    <w:rsid w:val="00740B9E"/>
    <w:rsid w:val="007417DD"/>
    <w:rsid w:val="0074322D"/>
    <w:rsid w:val="00743FC7"/>
    <w:rsid w:val="00744752"/>
    <w:rsid w:val="0074526E"/>
    <w:rsid w:val="00746725"/>
    <w:rsid w:val="0074680D"/>
    <w:rsid w:val="0074757E"/>
    <w:rsid w:val="0075030E"/>
    <w:rsid w:val="00750684"/>
    <w:rsid w:val="00750B11"/>
    <w:rsid w:val="00750EE9"/>
    <w:rsid w:val="00752C36"/>
    <w:rsid w:val="00752FBC"/>
    <w:rsid w:val="00754843"/>
    <w:rsid w:val="00754E59"/>
    <w:rsid w:val="00756039"/>
    <w:rsid w:val="00757207"/>
    <w:rsid w:val="007608D4"/>
    <w:rsid w:val="0076117B"/>
    <w:rsid w:val="00761AD7"/>
    <w:rsid w:val="00761B10"/>
    <w:rsid w:val="00761C94"/>
    <w:rsid w:val="00761D3D"/>
    <w:rsid w:val="007623B4"/>
    <w:rsid w:val="00762579"/>
    <w:rsid w:val="00762CDF"/>
    <w:rsid w:val="00763686"/>
    <w:rsid w:val="007638F1"/>
    <w:rsid w:val="00765FFF"/>
    <w:rsid w:val="00766147"/>
    <w:rsid w:val="0076656B"/>
    <w:rsid w:val="0076787B"/>
    <w:rsid w:val="007706A6"/>
    <w:rsid w:val="00771F48"/>
    <w:rsid w:val="0077424F"/>
    <w:rsid w:val="00774A22"/>
    <w:rsid w:val="00774FDD"/>
    <w:rsid w:val="0077684E"/>
    <w:rsid w:val="007768E8"/>
    <w:rsid w:val="00777F46"/>
    <w:rsid w:val="0078068D"/>
    <w:rsid w:val="007813A8"/>
    <w:rsid w:val="00782470"/>
    <w:rsid w:val="00782B63"/>
    <w:rsid w:val="007835C0"/>
    <w:rsid w:val="00783AA0"/>
    <w:rsid w:val="007840E1"/>
    <w:rsid w:val="007850E9"/>
    <w:rsid w:val="00787122"/>
    <w:rsid w:val="00791F5F"/>
    <w:rsid w:val="00794557"/>
    <w:rsid w:val="007946F0"/>
    <w:rsid w:val="00794C4F"/>
    <w:rsid w:val="00795B49"/>
    <w:rsid w:val="00795CF5"/>
    <w:rsid w:val="00795D1B"/>
    <w:rsid w:val="007A00E8"/>
    <w:rsid w:val="007A041A"/>
    <w:rsid w:val="007A1806"/>
    <w:rsid w:val="007A205A"/>
    <w:rsid w:val="007A23C0"/>
    <w:rsid w:val="007A2424"/>
    <w:rsid w:val="007A32B4"/>
    <w:rsid w:val="007A3A8D"/>
    <w:rsid w:val="007A47D5"/>
    <w:rsid w:val="007A4F07"/>
    <w:rsid w:val="007A7749"/>
    <w:rsid w:val="007A7998"/>
    <w:rsid w:val="007A7BBA"/>
    <w:rsid w:val="007B1CBB"/>
    <w:rsid w:val="007B38AF"/>
    <w:rsid w:val="007B4438"/>
    <w:rsid w:val="007B59CD"/>
    <w:rsid w:val="007B5B56"/>
    <w:rsid w:val="007B5B79"/>
    <w:rsid w:val="007B5FE6"/>
    <w:rsid w:val="007B7641"/>
    <w:rsid w:val="007C066E"/>
    <w:rsid w:val="007C273A"/>
    <w:rsid w:val="007C3D81"/>
    <w:rsid w:val="007C44D4"/>
    <w:rsid w:val="007C4B69"/>
    <w:rsid w:val="007C4EA8"/>
    <w:rsid w:val="007C6BDF"/>
    <w:rsid w:val="007C6F55"/>
    <w:rsid w:val="007D0E6F"/>
    <w:rsid w:val="007D52E4"/>
    <w:rsid w:val="007D6BA0"/>
    <w:rsid w:val="007E1BBD"/>
    <w:rsid w:val="007E3933"/>
    <w:rsid w:val="007E4EA3"/>
    <w:rsid w:val="007E520B"/>
    <w:rsid w:val="007E56CE"/>
    <w:rsid w:val="007E6C9B"/>
    <w:rsid w:val="007E724F"/>
    <w:rsid w:val="007F00C8"/>
    <w:rsid w:val="007F024A"/>
    <w:rsid w:val="007F0AA5"/>
    <w:rsid w:val="007F20E8"/>
    <w:rsid w:val="007F35BE"/>
    <w:rsid w:val="007F375C"/>
    <w:rsid w:val="007F37C4"/>
    <w:rsid w:val="007F4306"/>
    <w:rsid w:val="007F68A2"/>
    <w:rsid w:val="007F725A"/>
    <w:rsid w:val="00802589"/>
    <w:rsid w:val="00802A67"/>
    <w:rsid w:val="00803433"/>
    <w:rsid w:val="008042F8"/>
    <w:rsid w:val="008054A2"/>
    <w:rsid w:val="008055B0"/>
    <w:rsid w:val="00806797"/>
    <w:rsid w:val="00806861"/>
    <w:rsid w:val="00807395"/>
    <w:rsid w:val="008122D0"/>
    <w:rsid w:val="00813512"/>
    <w:rsid w:val="0081360C"/>
    <w:rsid w:val="0081570E"/>
    <w:rsid w:val="00817626"/>
    <w:rsid w:val="008212A9"/>
    <w:rsid w:val="00822289"/>
    <w:rsid w:val="00822AC1"/>
    <w:rsid w:val="00823BB3"/>
    <w:rsid w:val="0082403C"/>
    <w:rsid w:val="0082490F"/>
    <w:rsid w:val="00827D86"/>
    <w:rsid w:val="008301A1"/>
    <w:rsid w:val="008346DA"/>
    <w:rsid w:val="00834DE6"/>
    <w:rsid w:val="00835D64"/>
    <w:rsid w:val="008367E5"/>
    <w:rsid w:val="0083742E"/>
    <w:rsid w:val="0083755C"/>
    <w:rsid w:val="00840DA0"/>
    <w:rsid w:val="0084240D"/>
    <w:rsid w:val="0084405D"/>
    <w:rsid w:val="00845487"/>
    <w:rsid w:val="00847539"/>
    <w:rsid w:val="008513F3"/>
    <w:rsid w:val="00851862"/>
    <w:rsid w:val="00852861"/>
    <w:rsid w:val="00854762"/>
    <w:rsid w:val="00857873"/>
    <w:rsid w:val="00860B03"/>
    <w:rsid w:val="0086353C"/>
    <w:rsid w:val="00863DDE"/>
    <w:rsid w:val="0086465C"/>
    <w:rsid w:val="008653A0"/>
    <w:rsid w:val="0086575A"/>
    <w:rsid w:val="008668AF"/>
    <w:rsid w:val="0086697D"/>
    <w:rsid w:val="008706D2"/>
    <w:rsid w:val="008733BD"/>
    <w:rsid w:val="0087705F"/>
    <w:rsid w:val="00877506"/>
    <w:rsid w:val="00877C4C"/>
    <w:rsid w:val="00880583"/>
    <w:rsid w:val="00880EA1"/>
    <w:rsid w:val="00881D78"/>
    <w:rsid w:val="0088239B"/>
    <w:rsid w:val="008826D8"/>
    <w:rsid w:val="00882E82"/>
    <w:rsid w:val="0088325C"/>
    <w:rsid w:val="008852EB"/>
    <w:rsid w:val="00886507"/>
    <w:rsid w:val="00886C8D"/>
    <w:rsid w:val="008909F2"/>
    <w:rsid w:val="0089593B"/>
    <w:rsid w:val="0089624D"/>
    <w:rsid w:val="00896E77"/>
    <w:rsid w:val="0089770D"/>
    <w:rsid w:val="008A0CF4"/>
    <w:rsid w:val="008A18E1"/>
    <w:rsid w:val="008A31F3"/>
    <w:rsid w:val="008A5479"/>
    <w:rsid w:val="008A5569"/>
    <w:rsid w:val="008A7246"/>
    <w:rsid w:val="008B0610"/>
    <w:rsid w:val="008B1210"/>
    <w:rsid w:val="008B1356"/>
    <w:rsid w:val="008B1767"/>
    <w:rsid w:val="008B2037"/>
    <w:rsid w:val="008B2492"/>
    <w:rsid w:val="008B264C"/>
    <w:rsid w:val="008B4AE8"/>
    <w:rsid w:val="008B5897"/>
    <w:rsid w:val="008B6078"/>
    <w:rsid w:val="008B6D35"/>
    <w:rsid w:val="008B79AF"/>
    <w:rsid w:val="008C09F7"/>
    <w:rsid w:val="008C19B3"/>
    <w:rsid w:val="008C2CFA"/>
    <w:rsid w:val="008C45C9"/>
    <w:rsid w:val="008C4871"/>
    <w:rsid w:val="008C4EB3"/>
    <w:rsid w:val="008C559A"/>
    <w:rsid w:val="008C5A80"/>
    <w:rsid w:val="008C5CAE"/>
    <w:rsid w:val="008D0DB8"/>
    <w:rsid w:val="008D1331"/>
    <w:rsid w:val="008D159B"/>
    <w:rsid w:val="008D1DAE"/>
    <w:rsid w:val="008D34B3"/>
    <w:rsid w:val="008D3B96"/>
    <w:rsid w:val="008D416B"/>
    <w:rsid w:val="008D5A8F"/>
    <w:rsid w:val="008D6044"/>
    <w:rsid w:val="008D6187"/>
    <w:rsid w:val="008D7457"/>
    <w:rsid w:val="008D7B7B"/>
    <w:rsid w:val="008E07D1"/>
    <w:rsid w:val="008E0B87"/>
    <w:rsid w:val="008E3AF5"/>
    <w:rsid w:val="008E462E"/>
    <w:rsid w:val="008E5FE3"/>
    <w:rsid w:val="008E67EB"/>
    <w:rsid w:val="008E7124"/>
    <w:rsid w:val="008F3201"/>
    <w:rsid w:val="008F4602"/>
    <w:rsid w:val="008F547B"/>
    <w:rsid w:val="008F5808"/>
    <w:rsid w:val="008F5B8F"/>
    <w:rsid w:val="008F65CA"/>
    <w:rsid w:val="008F6F15"/>
    <w:rsid w:val="008F790B"/>
    <w:rsid w:val="00900259"/>
    <w:rsid w:val="00900464"/>
    <w:rsid w:val="0090242E"/>
    <w:rsid w:val="009024B4"/>
    <w:rsid w:val="00902699"/>
    <w:rsid w:val="009034F3"/>
    <w:rsid w:val="0090515F"/>
    <w:rsid w:val="00910891"/>
    <w:rsid w:val="00911247"/>
    <w:rsid w:val="009123F6"/>
    <w:rsid w:val="009128CA"/>
    <w:rsid w:val="00912F8E"/>
    <w:rsid w:val="00913502"/>
    <w:rsid w:val="00913754"/>
    <w:rsid w:val="00916984"/>
    <w:rsid w:val="00917529"/>
    <w:rsid w:val="00920B9F"/>
    <w:rsid w:val="00920EA8"/>
    <w:rsid w:val="009219BD"/>
    <w:rsid w:val="00923735"/>
    <w:rsid w:val="00925738"/>
    <w:rsid w:val="00932025"/>
    <w:rsid w:val="00932524"/>
    <w:rsid w:val="0093324A"/>
    <w:rsid w:val="00934639"/>
    <w:rsid w:val="009353E0"/>
    <w:rsid w:val="00936B9C"/>
    <w:rsid w:val="0094014A"/>
    <w:rsid w:val="00941A21"/>
    <w:rsid w:val="00941E94"/>
    <w:rsid w:val="00942B4D"/>
    <w:rsid w:val="00943485"/>
    <w:rsid w:val="00943B70"/>
    <w:rsid w:val="009461E5"/>
    <w:rsid w:val="00946A5F"/>
    <w:rsid w:val="00947515"/>
    <w:rsid w:val="00947533"/>
    <w:rsid w:val="009505F2"/>
    <w:rsid w:val="009508F3"/>
    <w:rsid w:val="00950C3D"/>
    <w:rsid w:val="00951028"/>
    <w:rsid w:val="00951DF1"/>
    <w:rsid w:val="00951FBE"/>
    <w:rsid w:val="00954C88"/>
    <w:rsid w:val="00955049"/>
    <w:rsid w:val="00955052"/>
    <w:rsid w:val="0095614D"/>
    <w:rsid w:val="00956D82"/>
    <w:rsid w:val="009574C1"/>
    <w:rsid w:val="00960080"/>
    <w:rsid w:val="00960B4B"/>
    <w:rsid w:val="00960E83"/>
    <w:rsid w:val="00961033"/>
    <w:rsid w:val="009611A2"/>
    <w:rsid w:val="00962615"/>
    <w:rsid w:val="0096280A"/>
    <w:rsid w:val="00962B1E"/>
    <w:rsid w:val="00964DC3"/>
    <w:rsid w:val="00965FB7"/>
    <w:rsid w:val="00966A2D"/>
    <w:rsid w:val="00967386"/>
    <w:rsid w:val="009679E0"/>
    <w:rsid w:val="009703DD"/>
    <w:rsid w:val="00970584"/>
    <w:rsid w:val="009706FE"/>
    <w:rsid w:val="00972AEC"/>
    <w:rsid w:val="009739AE"/>
    <w:rsid w:val="00973E27"/>
    <w:rsid w:val="00976F87"/>
    <w:rsid w:val="0098181C"/>
    <w:rsid w:val="0098257F"/>
    <w:rsid w:val="00983046"/>
    <w:rsid w:val="00984F16"/>
    <w:rsid w:val="009867F2"/>
    <w:rsid w:val="00986D4C"/>
    <w:rsid w:val="009875EA"/>
    <w:rsid w:val="00991404"/>
    <w:rsid w:val="00993D51"/>
    <w:rsid w:val="00993FDD"/>
    <w:rsid w:val="009955EE"/>
    <w:rsid w:val="009958E9"/>
    <w:rsid w:val="0099646C"/>
    <w:rsid w:val="009A13D1"/>
    <w:rsid w:val="009A3343"/>
    <w:rsid w:val="009A348E"/>
    <w:rsid w:val="009A3786"/>
    <w:rsid w:val="009A5732"/>
    <w:rsid w:val="009A5A2D"/>
    <w:rsid w:val="009A5CF8"/>
    <w:rsid w:val="009A5EAC"/>
    <w:rsid w:val="009B03B9"/>
    <w:rsid w:val="009B095E"/>
    <w:rsid w:val="009B1381"/>
    <w:rsid w:val="009B13BA"/>
    <w:rsid w:val="009B26A9"/>
    <w:rsid w:val="009B2FFC"/>
    <w:rsid w:val="009B4AAB"/>
    <w:rsid w:val="009B6261"/>
    <w:rsid w:val="009C1474"/>
    <w:rsid w:val="009C275E"/>
    <w:rsid w:val="009C2F54"/>
    <w:rsid w:val="009C347B"/>
    <w:rsid w:val="009C3758"/>
    <w:rsid w:val="009C407A"/>
    <w:rsid w:val="009C62A9"/>
    <w:rsid w:val="009C7614"/>
    <w:rsid w:val="009C7862"/>
    <w:rsid w:val="009D0107"/>
    <w:rsid w:val="009D0485"/>
    <w:rsid w:val="009D0588"/>
    <w:rsid w:val="009D111B"/>
    <w:rsid w:val="009D11F2"/>
    <w:rsid w:val="009D17FD"/>
    <w:rsid w:val="009D25D4"/>
    <w:rsid w:val="009D3AB3"/>
    <w:rsid w:val="009D4CF4"/>
    <w:rsid w:val="009D5126"/>
    <w:rsid w:val="009D6CAC"/>
    <w:rsid w:val="009D74E1"/>
    <w:rsid w:val="009E00BC"/>
    <w:rsid w:val="009E08F2"/>
    <w:rsid w:val="009E10C9"/>
    <w:rsid w:val="009E1940"/>
    <w:rsid w:val="009E1E60"/>
    <w:rsid w:val="009E26A2"/>
    <w:rsid w:val="009E33AD"/>
    <w:rsid w:val="009E33F7"/>
    <w:rsid w:val="009E6833"/>
    <w:rsid w:val="009E71DE"/>
    <w:rsid w:val="009E7279"/>
    <w:rsid w:val="009E758C"/>
    <w:rsid w:val="009E7B8A"/>
    <w:rsid w:val="009E7CE9"/>
    <w:rsid w:val="009E7DFA"/>
    <w:rsid w:val="009F05BD"/>
    <w:rsid w:val="009F1544"/>
    <w:rsid w:val="009F2405"/>
    <w:rsid w:val="009F4541"/>
    <w:rsid w:val="009F7DCC"/>
    <w:rsid w:val="00A00BEF"/>
    <w:rsid w:val="00A026DB"/>
    <w:rsid w:val="00A03E87"/>
    <w:rsid w:val="00A04DB2"/>
    <w:rsid w:val="00A058FC"/>
    <w:rsid w:val="00A12E6C"/>
    <w:rsid w:val="00A15A89"/>
    <w:rsid w:val="00A20564"/>
    <w:rsid w:val="00A2196A"/>
    <w:rsid w:val="00A219E2"/>
    <w:rsid w:val="00A227E0"/>
    <w:rsid w:val="00A227F3"/>
    <w:rsid w:val="00A238A3"/>
    <w:rsid w:val="00A2588B"/>
    <w:rsid w:val="00A259B5"/>
    <w:rsid w:val="00A25EB0"/>
    <w:rsid w:val="00A27689"/>
    <w:rsid w:val="00A310B2"/>
    <w:rsid w:val="00A3375F"/>
    <w:rsid w:val="00A34A27"/>
    <w:rsid w:val="00A35B80"/>
    <w:rsid w:val="00A367C2"/>
    <w:rsid w:val="00A36A9E"/>
    <w:rsid w:val="00A403AA"/>
    <w:rsid w:val="00A40DED"/>
    <w:rsid w:val="00A41300"/>
    <w:rsid w:val="00A4162F"/>
    <w:rsid w:val="00A426F7"/>
    <w:rsid w:val="00A42735"/>
    <w:rsid w:val="00A45B01"/>
    <w:rsid w:val="00A46238"/>
    <w:rsid w:val="00A47257"/>
    <w:rsid w:val="00A472A3"/>
    <w:rsid w:val="00A50ACF"/>
    <w:rsid w:val="00A511CD"/>
    <w:rsid w:val="00A511E1"/>
    <w:rsid w:val="00A5240C"/>
    <w:rsid w:val="00A5263C"/>
    <w:rsid w:val="00A52823"/>
    <w:rsid w:val="00A52C03"/>
    <w:rsid w:val="00A5394F"/>
    <w:rsid w:val="00A55617"/>
    <w:rsid w:val="00A56160"/>
    <w:rsid w:val="00A561DF"/>
    <w:rsid w:val="00A57267"/>
    <w:rsid w:val="00A5777E"/>
    <w:rsid w:val="00A62891"/>
    <w:rsid w:val="00A62E35"/>
    <w:rsid w:val="00A63EDB"/>
    <w:rsid w:val="00A64DD9"/>
    <w:rsid w:val="00A65140"/>
    <w:rsid w:val="00A67079"/>
    <w:rsid w:val="00A674DF"/>
    <w:rsid w:val="00A677DC"/>
    <w:rsid w:val="00A67B42"/>
    <w:rsid w:val="00A67D5A"/>
    <w:rsid w:val="00A70E5B"/>
    <w:rsid w:val="00A7132A"/>
    <w:rsid w:val="00A71A95"/>
    <w:rsid w:val="00A721E6"/>
    <w:rsid w:val="00A72C9C"/>
    <w:rsid w:val="00A743A0"/>
    <w:rsid w:val="00A7538F"/>
    <w:rsid w:val="00A75CA8"/>
    <w:rsid w:val="00A76CE8"/>
    <w:rsid w:val="00A772BA"/>
    <w:rsid w:val="00A77501"/>
    <w:rsid w:val="00A7779B"/>
    <w:rsid w:val="00A77BC6"/>
    <w:rsid w:val="00A806C9"/>
    <w:rsid w:val="00A80721"/>
    <w:rsid w:val="00A80FBA"/>
    <w:rsid w:val="00A810E0"/>
    <w:rsid w:val="00A81F36"/>
    <w:rsid w:val="00A832B4"/>
    <w:rsid w:val="00A846DA"/>
    <w:rsid w:val="00A8602B"/>
    <w:rsid w:val="00A876B8"/>
    <w:rsid w:val="00A917FD"/>
    <w:rsid w:val="00A91B04"/>
    <w:rsid w:val="00A92E1D"/>
    <w:rsid w:val="00A94900"/>
    <w:rsid w:val="00A97379"/>
    <w:rsid w:val="00AA1D4B"/>
    <w:rsid w:val="00AA28C3"/>
    <w:rsid w:val="00AA2AFE"/>
    <w:rsid w:val="00AA4D65"/>
    <w:rsid w:val="00AA646E"/>
    <w:rsid w:val="00AA64F8"/>
    <w:rsid w:val="00AA77F4"/>
    <w:rsid w:val="00AA7B87"/>
    <w:rsid w:val="00AB0BD0"/>
    <w:rsid w:val="00AB2D4B"/>
    <w:rsid w:val="00AB5678"/>
    <w:rsid w:val="00AB6DF2"/>
    <w:rsid w:val="00AB78C6"/>
    <w:rsid w:val="00AC1624"/>
    <w:rsid w:val="00AC46DF"/>
    <w:rsid w:val="00AC6CFA"/>
    <w:rsid w:val="00AD14C7"/>
    <w:rsid w:val="00AD19CD"/>
    <w:rsid w:val="00AD2253"/>
    <w:rsid w:val="00AD2C6A"/>
    <w:rsid w:val="00AD3594"/>
    <w:rsid w:val="00AD4B85"/>
    <w:rsid w:val="00AD52F6"/>
    <w:rsid w:val="00AD543B"/>
    <w:rsid w:val="00AD5FE5"/>
    <w:rsid w:val="00AD6FB6"/>
    <w:rsid w:val="00AD7624"/>
    <w:rsid w:val="00AD7958"/>
    <w:rsid w:val="00AD7BCB"/>
    <w:rsid w:val="00AE2E3D"/>
    <w:rsid w:val="00AE33D7"/>
    <w:rsid w:val="00AE3560"/>
    <w:rsid w:val="00AE55F6"/>
    <w:rsid w:val="00AE61BB"/>
    <w:rsid w:val="00AF0543"/>
    <w:rsid w:val="00AF0708"/>
    <w:rsid w:val="00AF0ACD"/>
    <w:rsid w:val="00AF2651"/>
    <w:rsid w:val="00AF424D"/>
    <w:rsid w:val="00AF57D2"/>
    <w:rsid w:val="00AF696C"/>
    <w:rsid w:val="00B00589"/>
    <w:rsid w:val="00B011F6"/>
    <w:rsid w:val="00B01355"/>
    <w:rsid w:val="00B03337"/>
    <w:rsid w:val="00B03AA6"/>
    <w:rsid w:val="00B03D2F"/>
    <w:rsid w:val="00B03E34"/>
    <w:rsid w:val="00B04484"/>
    <w:rsid w:val="00B04985"/>
    <w:rsid w:val="00B053E8"/>
    <w:rsid w:val="00B05B1E"/>
    <w:rsid w:val="00B105A6"/>
    <w:rsid w:val="00B12042"/>
    <w:rsid w:val="00B1210E"/>
    <w:rsid w:val="00B14612"/>
    <w:rsid w:val="00B14881"/>
    <w:rsid w:val="00B155D0"/>
    <w:rsid w:val="00B15835"/>
    <w:rsid w:val="00B15960"/>
    <w:rsid w:val="00B208D3"/>
    <w:rsid w:val="00B20B13"/>
    <w:rsid w:val="00B20EFE"/>
    <w:rsid w:val="00B213EA"/>
    <w:rsid w:val="00B24636"/>
    <w:rsid w:val="00B27107"/>
    <w:rsid w:val="00B30F25"/>
    <w:rsid w:val="00B316C0"/>
    <w:rsid w:val="00B32646"/>
    <w:rsid w:val="00B34797"/>
    <w:rsid w:val="00B34B25"/>
    <w:rsid w:val="00B35A21"/>
    <w:rsid w:val="00B36769"/>
    <w:rsid w:val="00B36A69"/>
    <w:rsid w:val="00B40133"/>
    <w:rsid w:val="00B41351"/>
    <w:rsid w:val="00B41FAF"/>
    <w:rsid w:val="00B42254"/>
    <w:rsid w:val="00B450CA"/>
    <w:rsid w:val="00B452D8"/>
    <w:rsid w:val="00B45667"/>
    <w:rsid w:val="00B459F3"/>
    <w:rsid w:val="00B45B78"/>
    <w:rsid w:val="00B45F4B"/>
    <w:rsid w:val="00B46D10"/>
    <w:rsid w:val="00B50655"/>
    <w:rsid w:val="00B5096B"/>
    <w:rsid w:val="00B50AA1"/>
    <w:rsid w:val="00B515DB"/>
    <w:rsid w:val="00B51EC1"/>
    <w:rsid w:val="00B5231A"/>
    <w:rsid w:val="00B5549D"/>
    <w:rsid w:val="00B570AD"/>
    <w:rsid w:val="00B57130"/>
    <w:rsid w:val="00B57FE0"/>
    <w:rsid w:val="00B60ACA"/>
    <w:rsid w:val="00B60D27"/>
    <w:rsid w:val="00B62C72"/>
    <w:rsid w:val="00B62DE7"/>
    <w:rsid w:val="00B6429F"/>
    <w:rsid w:val="00B645B7"/>
    <w:rsid w:val="00B64E04"/>
    <w:rsid w:val="00B65CB7"/>
    <w:rsid w:val="00B67291"/>
    <w:rsid w:val="00B67714"/>
    <w:rsid w:val="00B7040C"/>
    <w:rsid w:val="00B70759"/>
    <w:rsid w:val="00B7165F"/>
    <w:rsid w:val="00B716C1"/>
    <w:rsid w:val="00B719F2"/>
    <w:rsid w:val="00B727B0"/>
    <w:rsid w:val="00B731C3"/>
    <w:rsid w:val="00B737AE"/>
    <w:rsid w:val="00B74E2C"/>
    <w:rsid w:val="00B75391"/>
    <w:rsid w:val="00B758EC"/>
    <w:rsid w:val="00B75EE9"/>
    <w:rsid w:val="00B760C1"/>
    <w:rsid w:val="00B76BD9"/>
    <w:rsid w:val="00B8071B"/>
    <w:rsid w:val="00B8226F"/>
    <w:rsid w:val="00B8279E"/>
    <w:rsid w:val="00B82A14"/>
    <w:rsid w:val="00B83BA7"/>
    <w:rsid w:val="00B86DF1"/>
    <w:rsid w:val="00B9150A"/>
    <w:rsid w:val="00B91BD6"/>
    <w:rsid w:val="00B92A04"/>
    <w:rsid w:val="00B9357D"/>
    <w:rsid w:val="00B93DDC"/>
    <w:rsid w:val="00B94544"/>
    <w:rsid w:val="00B95965"/>
    <w:rsid w:val="00BA0526"/>
    <w:rsid w:val="00BA05C1"/>
    <w:rsid w:val="00BA16E8"/>
    <w:rsid w:val="00BA230D"/>
    <w:rsid w:val="00BA2A7D"/>
    <w:rsid w:val="00BA3A54"/>
    <w:rsid w:val="00BA4A02"/>
    <w:rsid w:val="00BA569F"/>
    <w:rsid w:val="00BA5B39"/>
    <w:rsid w:val="00BB02CC"/>
    <w:rsid w:val="00BB0A17"/>
    <w:rsid w:val="00BB39EA"/>
    <w:rsid w:val="00BC1C39"/>
    <w:rsid w:val="00BC2B60"/>
    <w:rsid w:val="00BC2D77"/>
    <w:rsid w:val="00BC468B"/>
    <w:rsid w:val="00BC5286"/>
    <w:rsid w:val="00BC61BE"/>
    <w:rsid w:val="00BC64AF"/>
    <w:rsid w:val="00BC6C2B"/>
    <w:rsid w:val="00BC7D95"/>
    <w:rsid w:val="00BD367B"/>
    <w:rsid w:val="00BD36F4"/>
    <w:rsid w:val="00BD5E0F"/>
    <w:rsid w:val="00BD6218"/>
    <w:rsid w:val="00BD6A8E"/>
    <w:rsid w:val="00BD6C2F"/>
    <w:rsid w:val="00BE012D"/>
    <w:rsid w:val="00BE0EBE"/>
    <w:rsid w:val="00BE1246"/>
    <w:rsid w:val="00BE1875"/>
    <w:rsid w:val="00BE57EF"/>
    <w:rsid w:val="00BE59AB"/>
    <w:rsid w:val="00BE5AB4"/>
    <w:rsid w:val="00BE5D60"/>
    <w:rsid w:val="00BE604E"/>
    <w:rsid w:val="00BE61EC"/>
    <w:rsid w:val="00BE6342"/>
    <w:rsid w:val="00BE7017"/>
    <w:rsid w:val="00BE784E"/>
    <w:rsid w:val="00BE7DB8"/>
    <w:rsid w:val="00BF03A1"/>
    <w:rsid w:val="00BF0B8A"/>
    <w:rsid w:val="00BF1D18"/>
    <w:rsid w:val="00BF29D8"/>
    <w:rsid w:val="00BF2F3F"/>
    <w:rsid w:val="00BF3207"/>
    <w:rsid w:val="00BF33AD"/>
    <w:rsid w:val="00BF3509"/>
    <w:rsid w:val="00BF3561"/>
    <w:rsid w:val="00BF4841"/>
    <w:rsid w:val="00BF60D5"/>
    <w:rsid w:val="00C02D77"/>
    <w:rsid w:val="00C03F2C"/>
    <w:rsid w:val="00C042EC"/>
    <w:rsid w:val="00C05F8F"/>
    <w:rsid w:val="00C063C9"/>
    <w:rsid w:val="00C06DE6"/>
    <w:rsid w:val="00C06E6C"/>
    <w:rsid w:val="00C06F2D"/>
    <w:rsid w:val="00C0737A"/>
    <w:rsid w:val="00C07C2A"/>
    <w:rsid w:val="00C1067B"/>
    <w:rsid w:val="00C121D9"/>
    <w:rsid w:val="00C13320"/>
    <w:rsid w:val="00C1360A"/>
    <w:rsid w:val="00C14601"/>
    <w:rsid w:val="00C14A43"/>
    <w:rsid w:val="00C162CC"/>
    <w:rsid w:val="00C16809"/>
    <w:rsid w:val="00C2121C"/>
    <w:rsid w:val="00C2139E"/>
    <w:rsid w:val="00C225D1"/>
    <w:rsid w:val="00C22E27"/>
    <w:rsid w:val="00C23DA3"/>
    <w:rsid w:val="00C245F6"/>
    <w:rsid w:val="00C246A2"/>
    <w:rsid w:val="00C2595F"/>
    <w:rsid w:val="00C25FA4"/>
    <w:rsid w:val="00C26A64"/>
    <w:rsid w:val="00C2709D"/>
    <w:rsid w:val="00C30CC8"/>
    <w:rsid w:val="00C311FB"/>
    <w:rsid w:val="00C321E2"/>
    <w:rsid w:val="00C323D9"/>
    <w:rsid w:val="00C327F1"/>
    <w:rsid w:val="00C32E6C"/>
    <w:rsid w:val="00C3438A"/>
    <w:rsid w:val="00C35081"/>
    <w:rsid w:val="00C35385"/>
    <w:rsid w:val="00C3563A"/>
    <w:rsid w:val="00C35BC4"/>
    <w:rsid w:val="00C378CD"/>
    <w:rsid w:val="00C414E2"/>
    <w:rsid w:val="00C42CBF"/>
    <w:rsid w:val="00C432F5"/>
    <w:rsid w:val="00C43311"/>
    <w:rsid w:val="00C45232"/>
    <w:rsid w:val="00C47041"/>
    <w:rsid w:val="00C476A1"/>
    <w:rsid w:val="00C50C29"/>
    <w:rsid w:val="00C50C4D"/>
    <w:rsid w:val="00C5187B"/>
    <w:rsid w:val="00C52F0B"/>
    <w:rsid w:val="00C54030"/>
    <w:rsid w:val="00C54386"/>
    <w:rsid w:val="00C54E34"/>
    <w:rsid w:val="00C559DD"/>
    <w:rsid w:val="00C568DB"/>
    <w:rsid w:val="00C579FC"/>
    <w:rsid w:val="00C57C17"/>
    <w:rsid w:val="00C60B5E"/>
    <w:rsid w:val="00C66AB0"/>
    <w:rsid w:val="00C66DBE"/>
    <w:rsid w:val="00C72CC1"/>
    <w:rsid w:val="00C72E85"/>
    <w:rsid w:val="00C73360"/>
    <w:rsid w:val="00C73DD1"/>
    <w:rsid w:val="00C74499"/>
    <w:rsid w:val="00C758A1"/>
    <w:rsid w:val="00C76440"/>
    <w:rsid w:val="00C7674B"/>
    <w:rsid w:val="00C7688C"/>
    <w:rsid w:val="00C76ACB"/>
    <w:rsid w:val="00C7760B"/>
    <w:rsid w:val="00C80D81"/>
    <w:rsid w:val="00C80F2E"/>
    <w:rsid w:val="00C81490"/>
    <w:rsid w:val="00C82E6B"/>
    <w:rsid w:val="00C82FE2"/>
    <w:rsid w:val="00C8717F"/>
    <w:rsid w:val="00C87242"/>
    <w:rsid w:val="00C908F0"/>
    <w:rsid w:val="00C9150A"/>
    <w:rsid w:val="00C919BA"/>
    <w:rsid w:val="00C93B46"/>
    <w:rsid w:val="00C94816"/>
    <w:rsid w:val="00C95D67"/>
    <w:rsid w:val="00CA1338"/>
    <w:rsid w:val="00CA1B0D"/>
    <w:rsid w:val="00CA2B60"/>
    <w:rsid w:val="00CA3C85"/>
    <w:rsid w:val="00CA3EA3"/>
    <w:rsid w:val="00CA4E86"/>
    <w:rsid w:val="00CA528E"/>
    <w:rsid w:val="00CA535F"/>
    <w:rsid w:val="00CA66BD"/>
    <w:rsid w:val="00CA6A7D"/>
    <w:rsid w:val="00CA6A99"/>
    <w:rsid w:val="00CA6EF3"/>
    <w:rsid w:val="00CB1C10"/>
    <w:rsid w:val="00CB2040"/>
    <w:rsid w:val="00CB5036"/>
    <w:rsid w:val="00CB50EF"/>
    <w:rsid w:val="00CB53BC"/>
    <w:rsid w:val="00CB5C8C"/>
    <w:rsid w:val="00CB7532"/>
    <w:rsid w:val="00CB775F"/>
    <w:rsid w:val="00CB7BD9"/>
    <w:rsid w:val="00CC0B3B"/>
    <w:rsid w:val="00CC2E36"/>
    <w:rsid w:val="00CC52F7"/>
    <w:rsid w:val="00CC757B"/>
    <w:rsid w:val="00CC762A"/>
    <w:rsid w:val="00CD0675"/>
    <w:rsid w:val="00CD173E"/>
    <w:rsid w:val="00CD3D93"/>
    <w:rsid w:val="00CD4A6A"/>
    <w:rsid w:val="00CD563F"/>
    <w:rsid w:val="00CD7187"/>
    <w:rsid w:val="00CD7619"/>
    <w:rsid w:val="00CE0901"/>
    <w:rsid w:val="00CE1266"/>
    <w:rsid w:val="00CE14DB"/>
    <w:rsid w:val="00CE1BE2"/>
    <w:rsid w:val="00CE1C4A"/>
    <w:rsid w:val="00CE4DC2"/>
    <w:rsid w:val="00CE53B4"/>
    <w:rsid w:val="00CE714F"/>
    <w:rsid w:val="00CE76F0"/>
    <w:rsid w:val="00CE7841"/>
    <w:rsid w:val="00CF246B"/>
    <w:rsid w:val="00CF7850"/>
    <w:rsid w:val="00CF78D7"/>
    <w:rsid w:val="00D006DE"/>
    <w:rsid w:val="00D01285"/>
    <w:rsid w:val="00D01E99"/>
    <w:rsid w:val="00D037E7"/>
    <w:rsid w:val="00D03C43"/>
    <w:rsid w:val="00D05739"/>
    <w:rsid w:val="00D057F7"/>
    <w:rsid w:val="00D0643E"/>
    <w:rsid w:val="00D07F87"/>
    <w:rsid w:val="00D1005D"/>
    <w:rsid w:val="00D10938"/>
    <w:rsid w:val="00D10B31"/>
    <w:rsid w:val="00D11352"/>
    <w:rsid w:val="00D11677"/>
    <w:rsid w:val="00D11DB9"/>
    <w:rsid w:val="00D126EE"/>
    <w:rsid w:val="00D1389B"/>
    <w:rsid w:val="00D14048"/>
    <w:rsid w:val="00D1416D"/>
    <w:rsid w:val="00D14331"/>
    <w:rsid w:val="00D14814"/>
    <w:rsid w:val="00D14A0C"/>
    <w:rsid w:val="00D16ED6"/>
    <w:rsid w:val="00D173F0"/>
    <w:rsid w:val="00D1763D"/>
    <w:rsid w:val="00D17EE0"/>
    <w:rsid w:val="00D210FC"/>
    <w:rsid w:val="00D225AE"/>
    <w:rsid w:val="00D23265"/>
    <w:rsid w:val="00D24207"/>
    <w:rsid w:val="00D24ABA"/>
    <w:rsid w:val="00D25178"/>
    <w:rsid w:val="00D25C3A"/>
    <w:rsid w:val="00D2603C"/>
    <w:rsid w:val="00D2664D"/>
    <w:rsid w:val="00D271A2"/>
    <w:rsid w:val="00D272C5"/>
    <w:rsid w:val="00D27A96"/>
    <w:rsid w:val="00D308EE"/>
    <w:rsid w:val="00D315E8"/>
    <w:rsid w:val="00D32BCB"/>
    <w:rsid w:val="00D32C35"/>
    <w:rsid w:val="00D32F6E"/>
    <w:rsid w:val="00D33BE7"/>
    <w:rsid w:val="00D34CBF"/>
    <w:rsid w:val="00D36254"/>
    <w:rsid w:val="00D37FF7"/>
    <w:rsid w:val="00D4324A"/>
    <w:rsid w:val="00D43568"/>
    <w:rsid w:val="00D43BD9"/>
    <w:rsid w:val="00D44AB7"/>
    <w:rsid w:val="00D44C3E"/>
    <w:rsid w:val="00D4641E"/>
    <w:rsid w:val="00D52038"/>
    <w:rsid w:val="00D5220D"/>
    <w:rsid w:val="00D522D0"/>
    <w:rsid w:val="00D52CDE"/>
    <w:rsid w:val="00D53376"/>
    <w:rsid w:val="00D53800"/>
    <w:rsid w:val="00D541AD"/>
    <w:rsid w:val="00D55090"/>
    <w:rsid w:val="00D55612"/>
    <w:rsid w:val="00D55A54"/>
    <w:rsid w:val="00D5667B"/>
    <w:rsid w:val="00D56B71"/>
    <w:rsid w:val="00D578D3"/>
    <w:rsid w:val="00D57FB1"/>
    <w:rsid w:val="00D60DAC"/>
    <w:rsid w:val="00D6258F"/>
    <w:rsid w:val="00D62C0B"/>
    <w:rsid w:val="00D65885"/>
    <w:rsid w:val="00D658BC"/>
    <w:rsid w:val="00D65E91"/>
    <w:rsid w:val="00D673E5"/>
    <w:rsid w:val="00D67AB4"/>
    <w:rsid w:val="00D67E10"/>
    <w:rsid w:val="00D70496"/>
    <w:rsid w:val="00D70B11"/>
    <w:rsid w:val="00D73315"/>
    <w:rsid w:val="00D734E4"/>
    <w:rsid w:val="00D74995"/>
    <w:rsid w:val="00D7541F"/>
    <w:rsid w:val="00D76D8D"/>
    <w:rsid w:val="00D80E14"/>
    <w:rsid w:val="00D81732"/>
    <w:rsid w:val="00D83859"/>
    <w:rsid w:val="00D84571"/>
    <w:rsid w:val="00D86D5B"/>
    <w:rsid w:val="00D875CA"/>
    <w:rsid w:val="00D879F4"/>
    <w:rsid w:val="00D908B8"/>
    <w:rsid w:val="00D94B46"/>
    <w:rsid w:val="00D95896"/>
    <w:rsid w:val="00D95F88"/>
    <w:rsid w:val="00D960F0"/>
    <w:rsid w:val="00D96604"/>
    <w:rsid w:val="00D96F65"/>
    <w:rsid w:val="00D97510"/>
    <w:rsid w:val="00D97C12"/>
    <w:rsid w:val="00D97F97"/>
    <w:rsid w:val="00DA0C4A"/>
    <w:rsid w:val="00DA3B4B"/>
    <w:rsid w:val="00DA3E9B"/>
    <w:rsid w:val="00DA460D"/>
    <w:rsid w:val="00DA4E55"/>
    <w:rsid w:val="00DA6CD7"/>
    <w:rsid w:val="00DA7B5D"/>
    <w:rsid w:val="00DA7F6A"/>
    <w:rsid w:val="00DB0430"/>
    <w:rsid w:val="00DB06DA"/>
    <w:rsid w:val="00DB0905"/>
    <w:rsid w:val="00DB0E45"/>
    <w:rsid w:val="00DB1171"/>
    <w:rsid w:val="00DB21FF"/>
    <w:rsid w:val="00DB3682"/>
    <w:rsid w:val="00DB3D6F"/>
    <w:rsid w:val="00DB438A"/>
    <w:rsid w:val="00DB5162"/>
    <w:rsid w:val="00DB5432"/>
    <w:rsid w:val="00DB560E"/>
    <w:rsid w:val="00DB5726"/>
    <w:rsid w:val="00DB6ABF"/>
    <w:rsid w:val="00DB6D8A"/>
    <w:rsid w:val="00DB7379"/>
    <w:rsid w:val="00DB7550"/>
    <w:rsid w:val="00DB79B6"/>
    <w:rsid w:val="00DC111A"/>
    <w:rsid w:val="00DC18AD"/>
    <w:rsid w:val="00DC1DF7"/>
    <w:rsid w:val="00DC2651"/>
    <w:rsid w:val="00DC4131"/>
    <w:rsid w:val="00DC4BF4"/>
    <w:rsid w:val="00DC4FAE"/>
    <w:rsid w:val="00DC53D9"/>
    <w:rsid w:val="00DC5A7C"/>
    <w:rsid w:val="00DC5AFF"/>
    <w:rsid w:val="00DC77F3"/>
    <w:rsid w:val="00DD0042"/>
    <w:rsid w:val="00DD34FC"/>
    <w:rsid w:val="00DD3E15"/>
    <w:rsid w:val="00DD5D71"/>
    <w:rsid w:val="00DD5D79"/>
    <w:rsid w:val="00DD6FC3"/>
    <w:rsid w:val="00DD7052"/>
    <w:rsid w:val="00DD7F77"/>
    <w:rsid w:val="00DE1951"/>
    <w:rsid w:val="00DE1D50"/>
    <w:rsid w:val="00DE3D4B"/>
    <w:rsid w:val="00DE4167"/>
    <w:rsid w:val="00DE48B9"/>
    <w:rsid w:val="00DE57F9"/>
    <w:rsid w:val="00DE6101"/>
    <w:rsid w:val="00DE7A37"/>
    <w:rsid w:val="00DF12ED"/>
    <w:rsid w:val="00DF1883"/>
    <w:rsid w:val="00DF18D8"/>
    <w:rsid w:val="00DF5271"/>
    <w:rsid w:val="00DF63E7"/>
    <w:rsid w:val="00DF6911"/>
    <w:rsid w:val="00DF75B1"/>
    <w:rsid w:val="00E00E84"/>
    <w:rsid w:val="00E02D64"/>
    <w:rsid w:val="00E03520"/>
    <w:rsid w:val="00E03801"/>
    <w:rsid w:val="00E049CA"/>
    <w:rsid w:val="00E06729"/>
    <w:rsid w:val="00E118CD"/>
    <w:rsid w:val="00E1202D"/>
    <w:rsid w:val="00E127EB"/>
    <w:rsid w:val="00E134D0"/>
    <w:rsid w:val="00E13A5E"/>
    <w:rsid w:val="00E1539E"/>
    <w:rsid w:val="00E161CE"/>
    <w:rsid w:val="00E16CA3"/>
    <w:rsid w:val="00E17A49"/>
    <w:rsid w:val="00E20D47"/>
    <w:rsid w:val="00E211ED"/>
    <w:rsid w:val="00E217FF"/>
    <w:rsid w:val="00E229AD"/>
    <w:rsid w:val="00E24AC1"/>
    <w:rsid w:val="00E26819"/>
    <w:rsid w:val="00E27336"/>
    <w:rsid w:val="00E27DE7"/>
    <w:rsid w:val="00E30A7E"/>
    <w:rsid w:val="00E313A7"/>
    <w:rsid w:val="00E32A06"/>
    <w:rsid w:val="00E334C4"/>
    <w:rsid w:val="00E33A95"/>
    <w:rsid w:val="00E34B3A"/>
    <w:rsid w:val="00E34BB7"/>
    <w:rsid w:val="00E357A1"/>
    <w:rsid w:val="00E359B1"/>
    <w:rsid w:val="00E36F84"/>
    <w:rsid w:val="00E40164"/>
    <w:rsid w:val="00E42B32"/>
    <w:rsid w:val="00E43E4D"/>
    <w:rsid w:val="00E442D2"/>
    <w:rsid w:val="00E45041"/>
    <w:rsid w:val="00E4508C"/>
    <w:rsid w:val="00E451FD"/>
    <w:rsid w:val="00E477BC"/>
    <w:rsid w:val="00E5213B"/>
    <w:rsid w:val="00E52AE7"/>
    <w:rsid w:val="00E53D4D"/>
    <w:rsid w:val="00E54534"/>
    <w:rsid w:val="00E54CE4"/>
    <w:rsid w:val="00E57166"/>
    <w:rsid w:val="00E57736"/>
    <w:rsid w:val="00E61FB6"/>
    <w:rsid w:val="00E620C2"/>
    <w:rsid w:val="00E6250D"/>
    <w:rsid w:val="00E64122"/>
    <w:rsid w:val="00E6488B"/>
    <w:rsid w:val="00E64F2D"/>
    <w:rsid w:val="00E66978"/>
    <w:rsid w:val="00E672B4"/>
    <w:rsid w:val="00E67307"/>
    <w:rsid w:val="00E7085D"/>
    <w:rsid w:val="00E70BE1"/>
    <w:rsid w:val="00E70D3F"/>
    <w:rsid w:val="00E724F0"/>
    <w:rsid w:val="00E73010"/>
    <w:rsid w:val="00E765BC"/>
    <w:rsid w:val="00E76F3C"/>
    <w:rsid w:val="00E8030A"/>
    <w:rsid w:val="00E82529"/>
    <w:rsid w:val="00E86962"/>
    <w:rsid w:val="00E91B88"/>
    <w:rsid w:val="00E91D63"/>
    <w:rsid w:val="00E953B5"/>
    <w:rsid w:val="00EA1939"/>
    <w:rsid w:val="00EA2555"/>
    <w:rsid w:val="00EA3D79"/>
    <w:rsid w:val="00EA409A"/>
    <w:rsid w:val="00EA5842"/>
    <w:rsid w:val="00EA6FA2"/>
    <w:rsid w:val="00EA7E63"/>
    <w:rsid w:val="00EB036B"/>
    <w:rsid w:val="00EB10B1"/>
    <w:rsid w:val="00EB12E8"/>
    <w:rsid w:val="00EB21B3"/>
    <w:rsid w:val="00EB22B2"/>
    <w:rsid w:val="00EB23A0"/>
    <w:rsid w:val="00EB279D"/>
    <w:rsid w:val="00EB30EA"/>
    <w:rsid w:val="00EB4847"/>
    <w:rsid w:val="00EB4C5E"/>
    <w:rsid w:val="00EB5011"/>
    <w:rsid w:val="00EB5079"/>
    <w:rsid w:val="00EB5405"/>
    <w:rsid w:val="00EB6FC4"/>
    <w:rsid w:val="00EC025E"/>
    <w:rsid w:val="00EC0837"/>
    <w:rsid w:val="00EC0F78"/>
    <w:rsid w:val="00EC52C9"/>
    <w:rsid w:val="00EC6650"/>
    <w:rsid w:val="00EC6EBC"/>
    <w:rsid w:val="00EC7F19"/>
    <w:rsid w:val="00ED0489"/>
    <w:rsid w:val="00ED20DB"/>
    <w:rsid w:val="00ED226A"/>
    <w:rsid w:val="00ED232D"/>
    <w:rsid w:val="00ED306A"/>
    <w:rsid w:val="00ED4088"/>
    <w:rsid w:val="00ED5B3E"/>
    <w:rsid w:val="00ED625D"/>
    <w:rsid w:val="00ED6B00"/>
    <w:rsid w:val="00ED7734"/>
    <w:rsid w:val="00EE0174"/>
    <w:rsid w:val="00EE1872"/>
    <w:rsid w:val="00EE3BFA"/>
    <w:rsid w:val="00EE42CC"/>
    <w:rsid w:val="00EE44F9"/>
    <w:rsid w:val="00EF0EFA"/>
    <w:rsid w:val="00EF3936"/>
    <w:rsid w:val="00EF4912"/>
    <w:rsid w:val="00EF4CC0"/>
    <w:rsid w:val="00EF5B8F"/>
    <w:rsid w:val="00EF74F9"/>
    <w:rsid w:val="00F00197"/>
    <w:rsid w:val="00F00742"/>
    <w:rsid w:val="00F00A8D"/>
    <w:rsid w:val="00F00EE2"/>
    <w:rsid w:val="00F0153B"/>
    <w:rsid w:val="00F01A18"/>
    <w:rsid w:val="00F01C3F"/>
    <w:rsid w:val="00F02131"/>
    <w:rsid w:val="00F02620"/>
    <w:rsid w:val="00F067AF"/>
    <w:rsid w:val="00F0795A"/>
    <w:rsid w:val="00F10938"/>
    <w:rsid w:val="00F12029"/>
    <w:rsid w:val="00F12287"/>
    <w:rsid w:val="00F130E2"/>
    <w:rsid w:val="00F13DB1"/>
    <w:rsid w:val="00F1453E"/>
    <w:rsid w:val="00F15865"/>
    <w:rsid w:val="00F15F0D"/>
    <w:rsid w:val="00F15F75"/>
    <w:rsid w:val="00F16034"/>
    <w:rsid w:val="00F16702"/>
    <w:rsid w:val="00F16A50"/>
    <w:rsid w:val="00F16E15"/>
    <w:rsid w:val="00F17E4F"/>
    <w:rsid w:val="00F20CDF"/>
    <w:rsid w:val="00F21E99"/>
    <w:rsid w:val="00F21F74"/>
    <w:rsid w:val="00F22571"/>
    <w:rsid w:val="00F258E8"/>
    <w:rsid w:val="00F2609C"/>
    <w:rsid w:val="00F26FCB"/>
    <w:rsid w:val="00F27864"/>
    <w:rsid w:val="00F311E3"/>
    <w:rsid w:val="00F3132E"/>
    <w:rsid w:val="00F32BEE"/>
    <w:rsid w:val="00F33DC3"/>
    <w:rsid w:val="00F34754"/>
    <w:rsid w:val="00F3483C"/>
    <w:rsid w:val="00F363F8"/>
    <w:rsid w:val="00F36C38"/>
    <w:rsid w:val="00F37587"/>
    <w:rsid w:val="00F44424"/>
    <w:rsid w:val="00F44635"/>
    <w:rsid w:val="00F4671F"/>
    <w:rsid w:val="00F46A47"/>
    <w:rsid w:val="00F47FEF"/>
    <w:rsid w:val="00F51305"/>
    <w:rsid w:val="00F533E0"/>
    <w:rsid w:val="00F5386C"/>
    <w:rsid w:val="00F53DD2"/>
    <w:rsid w:val="00F544B7"/>
    <w:rsid w:val="00F638E6"/>
    <w:rsid w:val="00F63AA6"/>
    <w:rsid w:val="00F64E67"/>
    <w:rsid w:val="00F667D6"/>
    <w:rsid w:val="00F703F2"/>
    <w:rsid w:val="00F71D92"/>
    <w:rsid w:val="00F756AA"/>
    <w:rsid w:val="00F77891"/>
    <w:rsid w:val="00F80975"/>
    <w:rsid w:val="00F813F1"/>
    <w:rsid w:val="00F841A7"/>
    <w:rsid w:val="00F844B2"/>
    <w:rsid w:val="00F84C17"/>
    <w:rsid w:val="00F856FA"/>
    <w:rsid w:val="00F8705F"/>
    <w:rsid w:val="00F91391"/>
    <w:rsid w:val="00F9147E"/>
    <w:rsid w:val="00F93843"/>
    <w:rsid w:val="00F947C3"/>
    <w:rsid w:val="00F949B6"/>
    <w:rsid w:val="00F96306"/>
    <w:rsid w:val="00F964A8"/>
    <w:rsid w:val="00FA01AA"/>
    <w:rsid w:val="00FA0903"/>
    <w:rsid w:val="00FA3928"/>
    <w:rsid w:val="00FA57B7"/>
    <w:rsid w:val="00FA6190"/>
    <w:rsid w:val="00FA64D2"/>
    <w:rsid w:val="00FA6CEC"/>
    <w:rsid w:val="00FA7158"/>
    <w:rsid w:val="00FB1958"/>
    <w:rsid w:val="00FB2304"/>
    <w:rsid w:val="00FC0FB9"/>
    <w:rsid w:val="00FC11C6"/>
    <w:rsid w:val="00FC1CC0"/>
    <w:rsid w:val="00FC24B1"/>
    <w:rsid w:val="00FC2C40"/>
    <w:rsid w:val="00FC3D21"/>
    <w:rsid w:val="00FC5D35"/>
    <w:rsid w:val="00FC5D85"/>
    <w:rsid w:val="00FC6213"/>
    <w:rsid w:val="00FC7C60"/>
    <w:rsid w:val="00FD06B9"/>
    <w:rsid w:val="00FD108A"/>
    <w:rsid w:val="00FD145A"/>
    <w:rsid w:val="00FD25B7"/>
    <w:rsid w:val="00FD2E8C"/>
    <w:rsid w:val="00FD3B36"/>
    <w:rsid w:val="00FD3F5D"/>
    <w:rsid w:val="00FD47D9"/>
    <w:rsid w:val="00FD4EBD"/>
    <w:rsid w:val="00FD53F0"/>
    <w:rsid w:val="00FD6AEC"/>
    <w:rsid w:val="00FD6F7B"/>
    <w:rsid w:val="00FD7660"/>
    <w:rsid w:val="00FD7694"/>
    <w:rsid w:val="00FD7FEB"/>
    <w:rsid w:val="00FE04A2"/>
    <w:rsid w:val="00FE1D9D"/>
    <w:rsid w:val="00FE27E4"/>
    <w:rsid w:val="00FE3680"/>
    <w:rsid w:val="00FE5F08"/>
    <w:rsid w:val="00FE7209"/>
    <w:rsid w:val="00FF0416"/>
    <w:rsid w:val="00FF1933"/>
    <w:rsid w:val="00FF2304"/>
    <w:rsid w:val="00FF5297"/>
    <w:rsid w:val="0198186C"/>
    <w:rsid w:val="01AC5DF9"/>
    <w:rsid w:val="01DD41C2"/>
    <w:rsid w:val="01E345AE"/>
    <w:rsid w:val="02790092"/>
    <w:rsid w:val="02F42900"/>
    <w:rsid w:val="02FA1195"/>
    <w:rsid w:val="0302618A"/>
    <w:rsid w:val="044429C2"/>
    <w:rsid w:val="04695794"/>
    <w:rsid w:val="04810C52"/>
    <w:rsid w:val="04A05004"/>
    <w:rsid w:val="05056095"/>
    <w:rsid w:val="055B7332"/>
    <w:rsid w:val="056A3FE9"/>
    <w:rsid w:val="059F4FD1"/>
    <w:rsid w:val="05BE2B4E"/>
    <w:rsid w:val="05D070DB"/>
    <w:rsid w:val="061D0302"/>
    <w:rsid w:val="064F66A3"/>
    <w:rsid w:val="066F200F"/>
    <w:rsid w:val="067C7D80"/>
    <w:rsid w:val="06A00B12"/>
    <w:rsid w:val="06D7755B"/>
    <w:rsid w:val="06E6452A"/>
    <w:rsid w:val="07205F42"/>
    <w:rsid w:val="072D7269"/>
    <w:rsid w:val="074273A6"/>
    <w:rsid w:val="07B77118"/>
    <w:rsid w:val="08254790"/>
    <w:rsid w:val="089963F4"/>
    <w:rsid w:val="08F03474"/>
    <w:rsid w:val="09162A16"/>
    <w:rsid w:val="091A7535"/>
    <w:rsid w:val="091D497D"/>
    <w:rsid w:val="092E369A"/>
    <w:rsid w:val="09B14F92"/>
    <w:rsid w:val="09BF626E"/>
    <w:rsid w:val="0A50402E"/>
    <w:rsid w:val="0A897EA0"/>
    <w:rsid w:val="0AB86C5C"/>
    <w:rsid w:val="0AC34AEB"/>
    <w:rsid w:val="0AD96324"/>
    <w:rsid w:val="0AEF58AD"/>
    <w:rsid w:val="0AFE39F5"/>
    <w:rsid w:val="0AFE687F"/>
    <w:rsid w:val="0B294C31"/>
    <w:rsid w:val="0B7F7677"/>
    <w:rsid w:val="0BE307CB"/>
    <w:rsid w:val="0C1F073A"/>
    <w:rsid w:val="0C6101CD"/>
    <w:rsid w:val="0C7C38C4"/>
    <w:rsid w:val="0CC83B28"/>
    <w:rsid w:val="0CC87C49"/>
    <w:rsid w:val="0CCA3B52"/>
    <w:rsid w:val="0D344BBB"/>
    <w:rsid w:val="0DC437DB"/>
    <w:rsid w:val="0E1C4090"/>
    <w:rsid w:val="0E1C5AFD"/>
    <w:rsid w:val="0E3E5F3C"/>
    <w:rsid w:val="0E823F28"/>
    <w:rsid w:val="0E8D6C2C"/>
    <w:rsid w:val="0EBE69D9"/>
    <w:rsid w:val="0ECB20BE"/>
    <w:rsid w:val="0EEB113D"/>
    <w:rsid w:val="0F8B77D5"/>
    <w:rsid w:val="0FBE5D9F"/>
    <w:rsid w:val="0FD36B3B"/>
    <w:rsid w:val="0FD47E3C"/>
    <w:rsid w:val="1018216D"/>
    <w:rsid w:val="102173FB"/>
    <w:rsid w:val="10256C94"/>
    <w:rsid w:val="1028597F"/>
    <w:rsid w:val="1051696C"/>
    <w:rsid w:val="107728F9"/>
    <w:rsid w:val="107C0AD5"/>
    <w:rsid w:val="10AD1231"/>
    <w:rsid w:val="10B306BD"/>
    <w:rsid w:val="10FE73BE"/>
    <w:rsid w:val="111B4AA2"/>
    <w:rsid w:val="11497A7D"/>
    <w:rsid w:val="116D5365"/>
    <w:rsid w:val="121477AB"/>
    <w:rsid w:val="1220793F"/>
    <w:rsid w:val="1227630D"/>
    <w:rsid w:val="125D64CF"/>
    <w:rsid w:val="12B16A9E"/>
    <w:rsid w:val="13272F7A"/>
    <w:rsid w:val="13361405"/>
    <w:rsid w:val="137A2F78"/>
    <w:rsid w:val="13B9577F"/>
    <w:rsid w:val="1452749D"/>
    <w:rsid w:val="14922F3A"/>
    <w:rsid w:val="14FD2A2E"/>
    <w:rsid w:val="15081429"/>
    <w:rsid w:val="153D5CAE"/>
    <w:rsid w:val="158A718E"/>
    <w:rsid w:val="15EA5123"/>
    <w:rsid w:val="16313179"/>
    <w:rsid w:val="165923BB"/>
    <w:rsid w:val="16B56EA5"/>
    <w:rsid w:val="170610F8"/>
    <w:rsid w:val="17126E39"/>
    <w:rsid w:val="176A56C2"/>
    <w:rsid w:val="176D2C29"/>
    <w:rsid w:val="179C380B"/>
    <w:rsid w:val="17AB0959"/>
    <w:rsid w:val="17B648CC"/>
    <w:rsid w:val="17DE1291"/>
    <w:rsid w:val="18AB0FDA"/>
    <w:rsid w:val="18AD553C"/>
    <w:rsid w:val="197039DA"/>
    <w:rsid w:val="197772D6"/>
    <w:rsid w:val="19A67A64"/>
    <w:rsid w:val="19BF0C31"/>
    <w:rsid w:val="19E43962"/>
    <w:rsid w:val="1A6D597B"/>
    <w:rsid w:val="1ACC2467"/>
    <w:rsid w:val="1ACE4D14"/>
    <w:rsid w:val="1AD027EB"/>
    <w:rsid w:val="1B2C5E4B"/>
    <w:rsid w:val="1B4874D7"/>
    <w:rsid w:val="1C2844A0"/>
    <w:rsid w:val="1C525155"/>
    <w:rsid w:val="1C8E406A"/>
    <w:rsid w:val="1CF27B09"/>
    <w:rsid w:val="1CFF1026"/>
    <w:rsid w:val="1D9B7242"/>
    <w:rsid w:val="1DEA3522"/>
    <w:rsid w:val="1E053181"/>
    <w:rsid w:val="1E474BEE"/>
    <w:rsid w:val="1E7B2E90"/>
    <w:rsid w:val="1E835E6A"/>
    <w:rsid w:val="1EA705ED"/>
    <w:rsid w:val="1EB401AB"/>
    <w:rsid w:val="1EB67161"/>
    <w:rsid w:val="1F302C65"/>
    <w:rsid w:val="1F44792A"/>
    <w:rsid w:val="1F6670ED"/>
    <w:rsid w:val="1FE271D5"/>
    <w:rsid w:val="1FE501FD"/>
    <w:rsid w:val="1FEB5623"/>
    <w:rsid w:val="1FEF712E"/>
    <w:rsid w:val="20611216"/>
    <w:rsid w:val="20621FC3"/>
    <w:rsid w:val="20E35BE9"/>
    <w:rsid w:val="21156A1C"/>
    <w:rsid w:val="21310B1A"/>
    <w:rsid w:val="218A325D"/>
    <w:rsid w:val="22255D12"/>
    <w:rsid w:val="227605BB"/>
    <w:rsid w:val="22BD7457"/>
    <w:rsid w:val="22E36C68"/>
    <w:rsid w:val="23476928"/>
    <w:rsid w:val="23550037"/>
    <w:rsid w:val="235E3944"/>
    <w:rsid w:val="23B073D3"/>
    <w:rsid w:val="23DF5BCA"/>
    <w:rsid w:val="23E502C6"/>
    <w:rsid w:val="2422296D"/>
    <w:rsid w:val="2426102C"/>
    <w:rsid w:val="244E349E"/>
    <w:rsid w:val="24666EE4"/>
    <w:rsid w:val="24701946"/>
    <w:rsid w:val="24BA2272"/>
    <w:rsid w:val="25280AEE"/>
    <w:rsid w:val="25E42F4C"/>
    <w:rsid w:val="261074AD"/>
    <w:rsid w:val="261C46B1"/>
    <w:rsid w:val="267F4B9F"/>
    <w:rsid w:val="26F42E9C"/>
    <w:rsid w:val="27D87113"/>
    <w:rsid w:val="27E75A20"/>
    <w:rsid w:val="280D4269"/>
    <w:rsid w:val="282506AE"/>
    <w:rsid w:val="284B0B33"/>
    <w:rsid w:val="289D1723"/>
    <w:rsid w:val="2914325F"/>
    <w:rsid w:val="29613214"/>
    <w:rsid w:val="2A2B045D"/>
    <w:rsid w:val="2A2F63DF"/>
    <w:rsid w:val="2A536944"/>
    <w:rsid w:val="2A68129C"/>
    <w:rsid w:val="2A703001"/>
    <w:rsid w:val="2ACA0963"/>
    <w:rsid w:val="2ACE5E57"/>
    <w:rsid w:val="2AFE6487"/>
    <w:rsid w:val="2B277B63"/>
    <w:rsid w:val="2B670D75"/>
    <w:rsid w:val="2B874C1C"/>
    <w:rsid w:val="2C073CF8"/>
    <w:rsid w:val="2C1F3615"/>
    <w:rsid w:val="2C4F7C16"/>
    <w:rsid w:val="2C743B66"/>
    <w:rsid w:val="2CAC008E"/>
    <w:rsid w:val="2CE23E10"/>
    <w:rsid w:val="2D63682A"/>
    <w:rsid w:val="2D8F7C42"/>
    <w:rsid w:val="2DE2584A"/>
    <w:rsid w:val="2E49213C"/>
    <w:rsid w:val="2E67006F"/>
    <w:rsid w:val="2E694D3E"/>
    <w:rsid w:val="2E773C34"/>
    <w:rsid w:val="2E875C48"/>
    <w:rsid w:val="2E9824AB"/>
    <w:rsid w:val="2E9B4249"/>
    <w:rsid w:val="2E9D17EB"/>
    <w:rsid w:val="2EB56D76"/>
    <w:rsid w:val="2EB81304"/>
    <w:rsid w:val="2F2B230B"/>
    <w:rsid w:val="2F517B36"/>
    <w:rsid w:val="2F72633A"/>
    <w:rsid w:val="2F893355"/>
    <w:rsid w:val="2FC31341"/>
    <w:rsid w:val="2FD05083"/>
    <w:rsid w:val="305E03E8"/>
    <w:rsid w:val="3069595F"/>
    <w:rsid w:val="30843362"/>
    <w:rsid w:val="30C4049D"/>
    <w:rsid w:val="30CD07F3"/>
    <w:rsid w:val="30E365D5"/>
    <w:rsid w:val="30E766F3"/>
    <w:rsid w:val="313E08F3"/>
    <w:rsid w:val="31704514"/>
    <w:rsid w:val="31816DAF"/>
    <w:rsid w:val="31B1462B"/>
    <w:rsid w:val="31C95E5B"/>
    <w:rsid w:val="32290279"/>
    <w:rsid w:val="32527C83"/>
    <w:rsid w:val="32655415"/>
    <w:rsid w:val="3294292F"/>
    <w:rsid w:val="32F07D5C"/>
    <w:rsid w:val="33A06705"/>
    <w:rsid w:val="33D80D3F"/>
    <w:rsid w:val="33EE637D"/>
    <w:rsid w:val="344352E2"/>
    <w:rsid w:val="34624864"/>
    <w:rsid w:val="346D778B"/>
    <w:rsid w:val="34AE59AA"/>
    <w:rsid w:val="353A3B24"/>
    <w:rsid w:val="35746954"/>
    <w:rsid w:val="35B629C4"/>
    <w:rsid w:val="35F72828"/>
    <w:rsid w:val="360064F8"/>
    <w:rsid w:val="3633583B"/>
    <w:rsid w:val="363C359C"/>
    <w:rsid w:val="367B0D86"/>
    <w:rsid w:val="369B06A2"/>
    <w:rsid w:val="36AB2F9F"/>
    <w:rsid w:val="36B27BFF"/>
    <w:rsid w:val="36DE2E4C"/>
    <w:rsid w:val="36F11025"/>
    <w:rsid w:val="37C125AD"/>
    <w:rsid w:val="37CB0B6E"/>
    <w:rsid w:val="37FB2519"/>
    <w:rsid w:val="3860698D"/>
    <w:rsid w:val="386F51CA"/>
    <w:rsid w:val="390943B3"/>
    <w:rsid w:val="391D76E1"/>
    <w:rsid w:val="39C2411A"/>
    <w:rsid w:val="39F111DE"/>
    <w:rsid w:val="3A1D3D59"/>
    <w:rsid w:val="3AA71527"/>
    <w:rsid w:val="3B7E6C11"/>
    <w:rsid w:val="3BAA4A5F"/>
    <w:rsid w:val="3BCF3B6A"/>
    <w:rsid w:val="3C080FAE"/>
    <w:rsid w:val="3C541570"/>
    <w:rsid w:val="3C6E37E5"/>
    <w:rsid w:val="3C7922D7"/>
    <w:rsid w:val="3C9342B0"/>
    <w:rsid w:val="3CAD36D2"/>
    <w:rsid w:val="3CC81535"/>
    <w:rsid w:val="3CD26729"/>
    <w:rsid w:val="3CEA275C"/>
    <w:rsid w:val="3CEC25F5"/>
    <w:rsid w:val="3CF50FF2"/>
    <w:rsid w:val="3D052A2E"/>
    <w:rsid w:val="3D0659AA"/>
    <w:rsid w:val="3D602B13"/>
    <w:rsid w:val="3D8F09E6"/>
    <w:rsid w:val="3DB946E3"/>
    <w:rsid w:val="3E0755D2"/>
    <w:rsid w:val="3EA7555E"/>
    <w:rsid w:val="3EA826CA"/>
    <w:rsid w:val="3ECB3379"/>
    <w:rsid w:val="3EF35410"/>
    <w:rsid w:val="3EF64E80"/>
    <w:rsid w:val="3EF74D5D"/>
    <w:rsid w:val="3F6566F9"/>
    <w:rsid w:val="40095305"/>
    <w:rsid w:val="401869D9"/>
    <w:rsid w:val="4073545D"/>
    <w:rsid w:val="40EA2C99"/>
    <w:rsid w:val="411E4CFA"/>
    <w:rsid w:val="422C654A"/>
    <w:rsid w:val="42474BD5"/>
    <w:rsid w:val="42847BD2"/>
    <w:rsid w:val="428739CE"/>
    <w:rsid w:val="42BC3919"/>
    <w:rsid w:val="42F830BA"/>
    <w:rsid w:val="43001D3E"/>
    <w:rsid w:val="435D7C4C"/>
    <w:rsid w:val="4373669D"/>
    <w:rsid w:val="438927DA"/>
    <w:rsid w:val="43A10AE3"/>
    <w:rsid w:val="43A24D63"/>
    <w:rsid w:val="44C21E7F"/>
    <w:rsid w:val="44D409B2"/>
    <w:rsid w:val="4508749B"/>
    <w:rsid w:val="451A1619"/>
    <w:rsid w:val="4538652E"/>
    <w:rsid w:val="45446C5B"/>
    <w:rsid w:val="455A3BE0"/>
    <w:rsid w:val="4589522E"/>
    <w:rsid w:val="461D5993"/>
    <w:rsid w:val="463E3B5B"/>
    <w:rsid w:val="46A40348"/>
    <w:rsid w:val="46A42944"/>
    <w:rsid w:val="46F44C0D"/>
    <w:rsid w:val="47F10090"/>
    <w:rsid w:val="480A6EB1"/>
    <w:rsid w:val="491178F4"/>
    <w:rsid w:val="494D402D"/>
    <w:rsid w:val="49810EE2"/>
    <w:rsid w:val="4A340D7B"/>
    <w:rsid w:val="4A5F084F"/>
    <w:rsid w:val="4A754721"/>
    <w:rsid w:val="4A83134F"/>
    <w:rsid w:val="4AD621E9"/>
    <w:rsid w:val="4B04790D"/>
    <w:rsid w:val="4B1C5E3D"/>
    <w:rsid w:val="4B3D2633"/>
    <w:rsid w:val="4B513EF9"/>
    <w:rsid w:val="4B8D60C9"/>
    <w:rsid w:val="4C795D79"/>
    <w:rsid w:val="4CA06FAD"/>
    <w:rsid w:val="4CC01258"/>
    <w:rsid w:val="4D5F0096"/>
    <w:rsid w:val="4D692F51"/>
    <w:rsid w:val="4D823B9B"/>
    <w:rsid w:val="4DC21407"/>
    <w:rsid w:val="4E1D544D"/>
    <w:rsid w:val="4E7E543D"/>
    <w:rsid w:val="4E8F4E02"/>
    <w:rsid w:val="4E927C05"/>
    <w:rsid w:val="4EB3025E"/>
    <w:rsid w:val="4F174104"/>
    <w:rsid w:val="4F262EAE"/>
    <w:rsid w:val="4FAA5715"/>
    <w:rsid w:val="4FD03A76"/>
    <w:rsid w:val="4FDA6D84"/>
    <w:rsid w:val="4FDD4C36"/>
    <w:rsid w:val="50090FD4"/>
    <w:rsid w:val="503A0AC9"/>
    <w:rsid w:val="50AC1BAF"/>
    <w:rsid w:val="513F6058"/>
    <w:rsid w:val="514F1E89"/>
    <w:rsid w:val="5214061D"/>
    <w:rsid w:val="526F6D01"/>
    <w:rsid w:val="52BF6755"/>
    <w:rsid w:val="52C553E8"/>
    <w:rsid w:val="531269BE"/>
    <w:rsid w:val="53417BDE"/>
    <w:rsid w:val="535E1B1A"/>
    <w:rsid w:val="538E4E0E"/>
    <w:rsid w:val="53986FA1"/>
    <w:rsid w:val="539B3D11"/>
    <w:rsid w:val="53CE4D8C"/>
    <w:rsid w:val="53FE35C2"/>
    <w:rsid w:val="540168F4"/>
    <w:rsid w:val="548430A3"/>
    <w:rsid w:val="55056B34"/>
    <w:rsid w:val="55684A1A"/>
    <w:rsid w:val="559521BD"/>
    <w:rsid w:val="55AD43BA"/>
    <w:rsid w:val="55C81083"/>
    <w:rsid w:val="55CA6BD2"/>
    <w:rsid w:val="56231C41"/>
    <w:rsid w:val="564163D1"/>
    <w:rsid w:val="56AC2568"/>
    <w:rsid w:val="56C41358"/>
    <w:rsid w:val="5782519E"/>
    <w:rsid w:val="57A44EC0"/>
    <w:rsid w:val="57DC3357"/>
    <w:rsid w:val="582664D1"/>
    <w:rsid w:val="58310F9B"/>
    <w:rsid w:val="58311772"/>
    <w:rsid w:val="583A6878"/>
    <w:rsid w:val="58754A86"/>
    <w:rsid w:val="58795B3D"/>
    <w:rsid w:val="587B2CDE"/>
    <w:rsid w:val="588A63B0"/>
    <w:rsid w:val="58E54DF2"/>
    <w:rsid w:val="593475CA"/>
    <w:rsid w:val="59BE55DC"/>
    <w:rsid w:val="59EC5D9C"/>
    <w:rsid w:val="5A1A7162"/>
    <w:rsid w:val="5A2F0903"/>
    <w:rsid w:val="5A3508BF"/>
    <w:rsid w:val="5A753690"/>
    <w:rsid w:val="5AC35526"/>
    <w:rsid w:val="5AD230A1"/>
    <w:rsid w:val="5AE75489"/>
    <w:rsid w:val="5B0E4680"/>
    <w:rsid w:val="5B543D4B"/>
    <w:rsid w:val="5C021D5C"/>
    <w:rsid w:val="5C12484B"/>
    <w:rsid w:val="5CD033D2"/>
    <w:rsid w:val="5CD746C6"/>
    <w:rsid w:val="5D02224E"/>
    <w:rsid w:val="5D0B433F"/>
    <w:rsid w:val="5D1F7DEB"/>
    <w:rsid w:val="5D256F17"/>
    <w:rsid w:val="5D566611"/>
    <w:rsid w:val="5D772828"/>
    <w:rsid w:val="5D7A3273"/>
    <w:rsid w:val="5D896E22"/>
    <w:rsid w:val="5E0A4A50"/>
    <w:rsid w:val="5F2D0E8F"/>
    <w:rsid w:val="5FEB2BA4"/>
    <w:rsid w:val="609A4BC4"/>
    <w:rsid w:val="60F5158E"/>
    <w:rsid w:val="6104719B"/>
    <w:rsid w:val="6171498D"/>
    <w:rsid w:val="61EE441B"/>
    <w:rsid w:val="61F20540"/>
    <w:rsid w:val="620D3BAE"/>
    <w:rsid w:val="62483940"/>
    <w:rsid w:val="62756CD8"/>
    <w:rsid w:val="62C55526"/>
    <w:rsid w:val="62EE64CA"/>
    <w:rsid w:val="62F30E54"/>
    <w:rsid w:val="63003C41"/>
    <w:rsid w:val="63F7395E"/>
    <w:rsid w:val="64104514"/>
    <w:rsid w:val="642369C3"/>
    <w:rsid w:val="64433C52"/>
    <w:rsid w:val="645C4BBE"/>
    <w:rsid w:val="645D0573"/>
    <w:rsid w:val="64E533D4"/>
    <w:rsid w:val="65640DB5"/>
    <w:rsid w:val="65EF244B"/>
    <w:rsid w:val="66215B04"/>
    <w:rsid w:val="66266BF4"/>
    <w:rsid w:val="66342560"/>
    <w:rsid w:val="663F469F"/>
    <w:rsid w:val="667E3DD4"/>
    <w:rsid w:val="669B2A1A"/>
    <w:rsid w:val="66BA1864"/>
    <w:rsid w:val="66FD01A0"/>
    <w:rsid w:val="67893B07"/>
    <w:rsid w:val="67DD08A6"/>
    <w:rsid w:val="67F535C2"/>
    <w:rsid w:val="68A51D8F"/>
    <w:rsid w:val="68E63001"/>
    <w:rsid w:val="6902695F"/>
    <w:rsid w:val="692D337C"/>
    <w:rsid w:val="69507E77"/>
    <w:rsid w:val="69CE7367"/>
    <w:rsid w:val="6A3A435E"/>
    <w:rsid w:val="6A911D7B"/>
    <w:rsid w:val="6ABE35C7"/>
    <w:rsid w:val="6B3C4D16"/>
    <w:rsid w:val="6C0C66AB"/>
    <w:rsid w:val="6C1D5A8D"/>
    <w:rsid w:val="6C506D05"/>
    <w:rsid w:val="6CAB3449"/>
    <w:rsid w:val="6CB5299E"/>
    <w:rsid w:val="6CC91D04"/>
    <w:rsid w:val="6CD754CF"/>
    <w:rsid w:val="6CD9476D"/>
    <w:rsid w:val="6D3F6E6A"/>
    <w:rsid w:val="6E5626ED"/>
    <w:rsid w:val="6E8F7551"/>
    <w:rsid w:val="6E942999"/>
    <w:rsid w:val="6EB966E9"/>
    <w:rsid w:val="6F241291"/>
    <w:rsid w:val="6F660A69"/>
    <w:rsid w:val="6FCC795E"/>
    <w:rsid w:val="700A4990"/>
    <w:rsid w:val="7061300B"/>
    <w:rsid w:val="714C49C7"/>
    <w:rsid w:val="71EC67DB"/>
    <w:rsid w:val="72221950"/>
    <w:rsid w:val="72AD02ED"/>
    <w:rsid w:val="73C21591"/>
    <w:rsid w:val="74396504"/>
    <w:rsid w:val="74B06E8E"/>
    <w:rsid w:val="74E042F3"/>
    <w:rsid w:val="75001B2D"/>
    <w:rsid w:val="751A6115"/>
    <w:rsid w:val="752F13FF"/>
    <w:rsid w:val="75CD688F"/>
    <w:rsid w:val="75CF7149"/>
    <w:rsid w:val="765242FC"/>
    <w:rsid w:val="766B1D21"/>
    <w:rsid w:val="770E5CDE"/>
    <w:rsid w:val="772D017A"/>
    <w:rsid w:val="775D7768"/>
    <w:rsid w:val="780473EC"/>
    <w:rsid w:val="780B4978"/>
    <w:rsid w:val="781B18E6"/>
    <w:rsid w:val="78732E72"/>
    <w:rsid w:val="790F45F0"/>
    <w:rsid w:val="7919031A"/>
    <w:rsid w:val="794022C6"/>
    <w:rsid w:val="7957552B"/>
    <w:rsid w:val="79CE505D"/>
    <w:rsid w:val="7A5B19C1"/>
    <w:rsid w:val="7A5C1D7E"/>
    <w:rsid w:val="7A7B5E5C"/>
    <w:rsid w:val="7AC34054"/>
    <w:rsid w:val="7AD6524D"/>
    <w:rsid w:val="7AD71832"/>
    <w:rsid w:val="7B8F410F"/>
    <w:rsid w:val="7BF55D0D"/>
    <w:rsid w:val="7C2C1A43"/>
    <w:rsid w:val="7C2C344B"/>
    <w:rsid w:val="7CD34258"/>
    <w:rsid w:val="7D1D57F3"/>
    <w:rsid w:val="7D62210E"/>
    <w:rsid w:val="7DA737B9"/>
    <w:rsid w:val="7DF41070"/>
    <w:rsid w:val="7E4160B8"/>
    <w:rsid w:val="7E9140CF"/>
    <w:rsid w:val="7ED42FFD"/>
    <w:rsid w:val="7EFA5574"/>
    <w:rsid w:val="7FB421BD"/>
    <w:rsid w:val="7FE9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nhideWhenUsed="0" w:uiPriority="0" w:semiHidden="0" w:name="index 8"/>
    <w:lsdException w:qFormat="1" w:uiPriority="0"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name="toc 8"/>
    <w:lsdException w:qFormat="1" w:uiPriority="0"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iPriority="0" w:semiHidden="0" w:name="header"/>
    <w:lsdException w:qFormat="1" w:uiPriority="0" w:semiHidden="0" w:name="footer"/>
    <w:lsdException w:qFormat="1" w:uiPriority="0" w:name="index heading"/>
    <w:lsdException w:qFormat="1" w:uiPriority="35" w:name="caption"/>
    <w:lsdException w:qFormat="1" w:uiPriority="0" w:name="table of figures"/>
    <w:lsdException w:qFormat="1" w:unhideWhenUsed="0" w:uiPriority="0" w:name="envelope address"/>
    <w:lsdException w:qFormat="1" w:uiPriority="0" w:name="envelope return"/>
    <w:lsdException w:qFormat="1" w:unhideWhenUsed="0" w:uiPriority="0" w:name="footnote reference"/>
    <w:lsdException w:qFormat="1" w:uiPriority="0" w:semiHidden="0" w:name="annotation reference"/>
    <w:lsdException w:qFormat="1" w:uiPriority="0" w:name="line number"/>
    <w:lsdException w:qFormat="1" w:uiPriority="99"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qFormat="1" w:uiPriority="0" w:name="toa heading"/>
    <w:lsdException w:qFormat="1" w:unhideWhenUsed="0" w:uiPriority="0" w:name="List"/>
    <w:lsdException w:qFormat="1" w:unhideWhenUsed="0" w:uiPriority="0" w:name="List Bullet"/>
    <w:lsdException w:qFormat="1" w:uiPriority="0" w:name="List Number"/>
    <w:lsdException w:qFormat="1" w:uiPriority="0" w:name="List 2"/>
    <w:lsdException w:qFormat="1" w:uiPriority="0" w:name="List 3"/>
    <w:lsdException w:qFormat="1" w:uiPriority="0" w:name="List 4"/>
    <w:lsdException w:qFormat="1" w:uiPriority="0" w:name="List 5"/>
    <w:lsdException w:qFormat="1" w:uiPriority="0" w:name="List Bullet 2"/>
    <w:lsdException w:qFormat="1" w:uiPriority="0" w:name="List Bullet 3"/>
    <w:lsdException w:qFormat="1" w:uiPriority="0" w:name="List Bullet 4"/>
    <w:lsdException w:qFormat="1" w:uiPriority="0" w:name="List Bullet 5"/>
    <w:lsdException w:qFormat="1" w:uiPriority="0" w:name="List Number 2"/>
    <w:lsdException w:qFormat="1" w:uiPriority="0" w:name="List Number 3"/>
    <w:lsdException w:qFormat="1" w:uiPriority="0" w:name="List Number 4"/>
    <w:lsdException w:qFormat="1"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99" w:semiHidden="0" w:name="Body Text"/>
    <w:lsdException w:qFormat="1" w:uiPriority="99" w:semiHidden="0" w:name="Body Text Indent"/>
    <w:lsdException w:qFormat="1" w:uiPriority="0" w:name="List Continue"/>
    <w:lsdException w:qFormat="1" w:uiPriority="0" w:name="List Continue 2"/>
    <w:lsdException w:qFormat="1" w:uiPriority="0" w:name="List Continue 3"/>
    <w:lsdException w:qFormat="1" w:uiPriority="0" w:name="List Continue 4"/>
    <w:lsdException w:qFormat="1" w:uiPriority="0" w:name="List Continue 5"/>
    <w:lsdException w:qFormat="1" w:unhideWhenUsed="0" w:uiPriority="0" w:name="Message Header"/>
    <w:lsdException w:qFormat="1" w:unhideWhenUsed="0" w:uiPriority="11" w:semiHidden="0" w:name="Subtitle"/>
    <w:lsdException w:qFormat="1" w:unhideWhenUsed="0" w:uiPriority="0" w:name="Salutation"/>
    <w:lsdException w:qFormat="1" w:uiPriority="0" w:semiHidden="0" w:name="Date"/>
    <w:lsdException w:qFormat="1" w:uiPriority="0" w:semiHidden="0" w:name="Body Text First Indent"/>
    <w:lsdException w:qFormat="1" w:uiPriority="0" w:semiHidden="0" w:name="Body Text First Indent 2"/>
    <w:lsdException w:qFormat="1" w:unhideWhenUsed="0" w:uiPriority="0" w:name="Note Heading"/>
    <w:lsdException w:uiPriority="99" w:name="Body Text 2"/>
    <w:lsdException w:qFormat="1" w:unhideWhenUsed="0" w:uiPriority="0" w:name="Body Text 3"/>
    <w:lsdException w:qFormat="1" w:unhideWhenUsed="0" w:uiPriority="0" w:name="Body Text Indent 2"/>
    <w:lsdException w:uiPriority="99" w:name="Body Text Indent 3"/>
    <w:lsdException w:qFormat="1" w:uiPriority="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qFormat="1" w:unhideWhenUsed="0" w:uiPriority="0" w:name="E-mail Signature"/>
    <w:lsdException w:qFormat="1" w:uiPriority="99" w:semiHidden="0" w:name="Normal (Web)"/>
    <w:lsdException w:qFormat="1" w:uiPriority="0" w:name="HTML Acronym"/>
    <w:lsdException w:qFormat="1" w:unhideWhenUsed="0"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name="HTML Preformatted"/>
    <w:lsdException w:qFormat="1" w:unhideWhenUsed="0" w:uiPriority="0" w:semiHidden="0" w:name="HTML Sample"/>
    <w:lsdException w:qFormat="1" w:unhideWhenUsed="0" w:uiPriority="0" w:name="HTML Typewriter"/>
    <w:lsdException w:qFormat="1" w:unhideWhenUsed="0" w:uiPriority="0" w:semiHidden="0" w:name="HTML Variable"/>
    <w:lsdException w:qFormat="1" w:uiPriority="99" w:name="Normal Table"/>
    <w:lsdException w:qFormat="1"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nhideWhenUsed="0" w:uiPriority="0" w:name="Table List 4"/>
    <w:lsdException w:qFormat="1" w:unhideWhenUsed="0"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iPriority="0" w:semiHidden="0" w:name="Balloon Text"/>
    <w:lsdException w:qFormat="1" w:unhideWhenUsed="0" w:uiPriority="0" w:semiHidden="0" w:name="Table Grid"/>
    <w:lsdException w:qFormat="1"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3"/>
    <w:autoRedefine/>
    <w:qFormat/>
    <w:uiPriority w:val="0"/>
    <w:pPr>
      <w:keepNext/>
      <w:keepLines/>
      <w:numPr>
        <w:ilvl w:val="0"/>
        <w:numId w:val="1"/>
      </w:numPr>
      <w:tabs>
        <w:tab w:val="left" w:pos="1080"/>
      </w:tabs>
      <w:spacing w:before="340" w:after="330" w:line="578" w:lineRule="auto"/>
      <w:outlineLvl w:val="0"/>
    </w:pPr>
    <w:rPr>
      <w:b/>
      <w:bCs/>
      <w:kern w:val="44"/>
      <w:sz w:val="44"/>
      <w:szCs w:val="44"/>
    </w:rPr>
  </w:style>
  <w:style w:type="paragraph" w:styleId="4">
    <w:name w:val="heading 2"/>
    <w:basedOn w:val="1"/>
    <w:next w:val="1"/>
    <w:link w:val="74"/>
    <w:autoRedefine/>
    <w:qFormat/>
    <w:uiPriority w:val="0"/>
    <w:pPr>
      <w:keepNext/>
      <w:keepLines/>
      <w:numPr>
        <w:ilvl w:val="1"/>
        <w:numId w:val="1"/>
      </w:numPr>
      <w:tabs>
        <w:tab w:val="left" w:pos="720"/>
      </w:tabs>
      <w:spacing w:before="260" w:after="260" w:line="416" w:lineRule="auto"/>
      <w:outlineLvl w:val="1"/>
    </w:pPr>
    <w:rPr>
      <w:rFonts w:ascii="Cambria" w:hAnsi="Cambria"/>
      <w:b/>
      <w:bCs/>
      <w:sz w:val="32"/>
      <w:szCs w:val="32"/>
    </w:rPr>
  </w:style>
  <w:style w:type="paragraph" w:styleId="5">
    <w:name w:val="heading 3"/>
    <w:basedOn w:val="1"/>
    <w:next w:val="1"/>
    <w:link w:val="75"/>
    <w:autoRedefine/>
    <w:qFormat/>
    <w:uiPriority w:val="0"/>
    <w:pPr>
      <w:keepNext/>
      <w:keepLines/>
      <w:numPr>
        <w:ilvl w:val="2"/>
        <w:numId w:val="1"/>
      </w:numPr>
      <w:tabs>
        <w:tab w:val="left" w:pos="720"/>
      </w:tabs>
      <w:spacing w:before="260" w:after="260" w:line="416" w:lineRule="auto"/>
      <w:outlineLvl w:val="2"/>
    </w:pPr>
    <w:rPr>
      <w:b/>
      <w:bCs/>
      <w:sz w:val="32"/>
      <w:szCs w:val="32"/>
    </w:rPr>
  </w:style>
  <w:style w:type="paragraph" w:styleId="6">
    <w:name w:val="heading 4"/>
    <w:basedOn w:val="1"/>
    <w:next w:val="1"/>
    <w:link w:val="76"/>
    <w:autoRedefine/>
    <w:qFormat/>
    <w:uiPriority w:val="0"/>
    <w:pPr>
      <w:widowControl/>
      <w:numPr>
        <w:ilvl w:val="3"/>
        <w:numId w:val="1"/>
      </w:numPr>
      <w:tabs>
        <w:tab w:val="left" w:pos="864"/>
      </w:tabs>
      <w:jc w:val="left"/>
      <w:outlineLvl w:val="3"/>
    </w:pPr>
    <w:rPr>
      <w:rFonts w:ascii="宋体" w:hAnsi="宋体" w:cs="宋体"/>
      <w:b/>
      <w:bCs/>
      <w:kern w:val="0"/>
      <w:sz w:val="24"/>
      <w:szCs w:val="24"/>
    </w:rPr>
  </w:style>
  <w:style w:type="paragraph" w:styleId="7">
    <w:name w:val="heading 5"/>
    <w:basedOn w:val="1"/>
    <w:next w:val="1"/>
    <w:link w:val="77"/>
    <w:autoRedefine/>
    <w:qFormat/>
    <w:uiPriority w:val="0"/>
    <w:pPr>
      <w:ind w:left="1008" w:hanging="432"/>
      <w:outlineLvl w:val="4"/>
    </w:pPr>
    <w:rPr>
      <w:rFonts w:ascii="Times New Roman" w:hAnsi="Times New Roman"/>
      <w:kern w:val="0"/>
      <w:sz w:val="20"/>
      <w:szCs w:val="20"/>
    </w:rPr>
  </w:style>
  <w:style w:type="paragraph" w:styleId="8">
    <w:name w:val="heading 6"/>
    <w:basedOn w:val="1"/>
    <w:next w:val="1"/>
    <w:link w:val="78"/>
    <w:autoRedefine/>
    <w:qFormat/>
    <w:uiPriority w:val="0"/>
    <w:pPr>
      <w:ind w:left="1152" w:hanging="432"/>
      <w:outlineLvl w:val="5"/>
    </w:pPr>
    <w:rPr>
      <w:rFonts w:ascii="Times New Roman" w:hAnsi="Times New Roman"/>
      <w:kern w:val="0"/>
      <w:sz w:val="20"/>
      <w:szCs w:val="20"/>
    </w:rPr>
  </w:style>
  <w:style w:type="paragraph" w:styleId="9">
    <w:name w:val="heading 7"/>
    <w:basedOn w:val="1"/>
    <w:next w:val="1"/>
    <w:link w:val="79"/>
    <w:autoRedefine/>
    <w:qFormat/>
    <w:uiPriority w:val="0"/>
    <w:pPr>
      <w:keepNext/>
      <w:keepLines/>
      <w:numPr>
        <w:ilvl w:val="6"/>
        <w:numId w:val="1"/>
      </w:numPr>
      <w:tabs>
        <w:tab w:val="left" w:pos="1296"/>
      </w:tabs>
      <w:spacing w:before="240" w:after="64" w:line="320" w:lineRule="auto"/>
      <w:outlineLvl w:val="6"/>
    </w:pPr>
    <w:rPr>
      <w:b/>
      <w:bCs/>
      <w:sz w:val="24"/>
      <w:szCs w:val="24"/>
    </w:rPr>
  </w:style>
  <w:style w:type="paragraph" w:styleId="10">
    <w:name w:val="heading 8"/>
    <w:basedOn w:val="1"/>
    <w:next w:val="1"/>
    <w:link w:val="80"/>
    <w:autoRedefine/>
    <w:qFormat/>
    <w:uiPriority w:val="0"/>
    <w:pPr>
      <w:ind w:left="1440" w:hanging="432"/>
      <w:outlineLvl w:val="7"/>
    </w:pPr>
    <w:rPr>
      <w:rFonts w:ascii="Times New Roman" w:hAnsi="Times New Roman"/>
      <w:kern w:val="0"/>
      <w:sz w:val="20"/>
      <w:szCs w:val="20"/>
    </w:rPr>
  </w:style>
  <w:style w:type="paragraph" w:styleId="11">
    <w:name w:val="heading 9"/>
    <w:basedOn w:val="1"/>
    <w:next w:val="1"/>
    <w:link w:val="81"/>
    <w:autoRedefine/>
    <w:qFormat/>
    <w:uiPriority w:val="0"/>
    <w:pPr>
      <w:ind w:left="1584" w:hanging="144"/>
      <w:outlineLvl w:val="8"/>
    </w:pPr>
    <w:rPr>
      <w:rFonts w:ascii="Times New Roman" w:hAnsi="Times New Roman"/>
      <w:kern w:val="0"/>
      <w:sz w:val="20"/>
      <w:szCs w:val="20"/>
    </w:rPr>
  </w:style>
  <w:style w:type="character" w:default="1" w:styleId="57">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88"/>
    <w:autoRedefine/>
    <w:qFormat/>
    <w:uiPriority w:val="99"/>
    <w:pPr>
      <w:spacing w:line="360" w:lineRule="auto"/>
    </w:pPr>
    <w:rPr>
      <w:rFonts w:ascii="宋体" w:hAnsi="宋体"/>
      <w:kern w:val="0"/>
      <w:sz w:val="24"/>
      <w:szCs w:val="24"/>
    </w:rPr>
  </w:style>
  <w:style w:type="paragraph" w:styleId="12">
    <w:name w:val="toc 7"/>
    <w:basedOn w:val="1"/>
    <w:next w:val="1"/>
    <w:autoRedefine/>
    <w:unhideWhenUsed/>
    <w:qFormat/>
    <w:uiPriority w:val="0"/>
    <w:pPr>
      <w:ind w:left="2520" w:leftChars="1200"/>
    </w:pPr>
  </w:style>
  <w:style w:type="paragraph" w:styleId="13">
    <w:name w:val="Note Heading"/>
    <w:basedOn w:val="1"/>
    <w:next w:val="1"/>
    <w:link w:val="116"/>
    <w:autoRedefine/>
    <w:semiHidden/>
    <w:qFormat/>
    <w:uiPriority w:val="0"/>
    <w:pPr>
      <w:jc w:val="center"/>
    </w:pPr>
    <w:rPr>
      <w:rFonts w:ascii="Times New Roman" w:hAnsi="Times New Roman"/>
      <w:szCs w:val="24"/>
    </w:rPr>
  </w:style>
  <w:style w:type="paragraph" w:styleId="14">
    <w:name w:val="index 8"/>
    <w:basedOn w:val="1"/>
    <w:next w:val="1"/>
    <w:autoRedefine/>
    <w:qFormat/>
    <w:uiPriority w:val="0"/>
    <w:pPr>
      <w:ind w:left="1400" w:leftChars="1400"/>
    </w:pPr>
    <w:rPr>
      <w:rFonts w:ascii="Times New Roman" w:hAnsi="Times New Roman"/>
      <w:szCs w:val="24"/>
    </w:rPr>
  </w:style>
  <w:style w:type="paragraph" w:styleId="15">
    <w:name w:val="E-mail Signature"/>
    <w:basedOn w:val="1"/>
    <w:link w:val="117"/>
    <w:autoRedefine/>
    <w:semiHidden/>
    <w:qFormat/>
    <w:uiPriority w:val="0"/>
    <w:rPr>
      <w:rFonts w:ascii="Times New Roman" w:hAnsi="Times New Roman"/>
      <w:szCs w:val="24"/>
    </w:rPr>
  </w:style>
  <w:style w:type="paragraph" w:styleId="16">
    <w:name w:val="Normal Indent"/>
    <w:basedOn w:val="1"/>
    <w:autoRedefine/>
    <w:qFormat/>
    <w:uiPriority w:val="0"/>
    <w:pPr>
      <w:tabs>
        <w:tab w:val="left" w:pos="4680"/>
      </w:tabs>
      <w:spacing w:beforeLines="50" w:line="300" w:lineRule="auto"/>
      <w:ind w:firstLine="420"/>
    </w:pPr>
    <w:rPr>
      <w:rFonts w:ascii="Times New Roman" w:hAnsi="Times New Roman"/>
      <w:bCs/>
      <w:szCs w:val="21"/>
    </w:rPr>
  </w:style>
  <w:style w:type="paragraph" w:styleId="17">
    <w:name w:val="List Bullet"/>
    <w:basedOn w:val="1"/>
    <w:autoRedefine/>
    <w:semiHidden/>
    <w:qFormat/>
    <w:uiPriority w:val="0"/>
    <w:pPr>
      <w:tabs>
        <w:tab w:val="left" w:pos="360"/>
      </w:tabs>
      <w:ind w:left="360" w:hanging="360"/>
    </w:pPr>
    <w:rPr>
      <w:rFonts w:ascii="Times New Roman" w:hAnsi="Times New Roman"/>
      <w:szCs w:val="24"/>
    </w:rPr>
  </w:style>
  <w:style w:type="paragraph" w:styleId="18">
    <w:name w:val="envelope address"/>
    <w:basedOn w:val="1"/>
    <w:autoRedefine/>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19">
    <w:name w:val="Document Map"/>
    <w:basedOn w:val="1"/>
    <w:link w:val="95"/>
    <w:autoRedefine/>
    <w:unhideWhenUsed/>
    <w:qFormat/>
    <w:uiPriority w:val="0"/>
    <w:rPr>
      <w:rFonts w:ascii="宋体"/>
      <w:sz w:val="18"/>
      <w:szCs w:val="18"/>
    </w:rPr>
  </w:style>
  <w:style w:type="paragraph" w:styleId="20">
    <w:name w:val="annotation text"/>
    <w:basedOn w:val="1"/>
    <w:link w:val="87"/>
    <w:autoRedefine/>
    <w:unhideWhenUsed/>
    <w:qFormat/>
    <w:uiPriority w:val="0"/>
    <w:pPr>
      <w:jc w:val="left"/>
    </w:pPr>
  </w:style>
  <w:style w:type="paragraph" w:styleId="21">
    <w:name w:val="Salutation"/>
    <w:basedOn w:val="1"/>
    <w:next w:val="1"/>
    <w:link w:val="118"/>
    <w:autoRedefine/>
    <w:semiHidden/>
    <w:qFormat/>
    <w:uiPriority w:val="0"/>
    <w:rPr>
      <w:rFonts w:ascii="Times New Roman" w:hAnsi="Times New Roman"/>
      <w:szCs w:val="24"/>
    </w:rPr>
  </w:style>
  <w:style w:type="paragraph" w:styleId="22">
    <w:name w:val="Body Text 3"/>
    <w:basedOn w:val="1"/>
    <w:link w:val="119"/>
    <w:autoRedefine/>
    <w:semiHidden/>
    <w:qFormat/>
    <w:uiPriority w:val="0"/>
    <w:pPr>
      <w:spacing w:after="120"/>
    </w:pPr>
    <w:rPr>
      <w:rFonts w:ascii="Times New Roman" w:hAnsi="Times New Roman"/>
      <w:sz w:val="16"/>
      <w:szCs w:val="16"/>
    </w:rPr>
  </w:style>
  <w:style w:type="paragraph" w:styleId="23">
    <w:name w:val="Closing"/>
    <w:basedOn w:val="1"/>
    <w:link w:val="120"/>
    <w:autoRedefine/>
    <w:semiHidden/>
    <w:qFormat/>
    <w:uiPriority w:val="0"/>
    <w:pPr>
      <w:ind w:left="100" w:leftChars="2100"/>
    </w:pPr>
    <w:rPr>
      <w:rFonts w:ascii="Times New Roman" w:hAnsi="Times New Roman"/>
      <w:szCs w:val="24"/>
    </w:rPr>
  </w:style>
  <w:style w:type="paragraph" w:styleId="24">
    <w:name w:val="Body Text Indent"/>
    <w:basedOn w:val="1"/>
    <w:link w:val="86"/>
    <w:autoRedefine/>
    <w:unhideWhenUsed/>
    <w:qFormat/>
    <w:uiPriority w:val="99"/>
    <w:pPr>
      <w:spacing w:after="120"/>
      <w:ind w:left="420" w:leftChars="200"/>
    </w:pPr>
  </w:style>
  <w:style w:type="paragraph" w:styleId="25">
    <w:name w:val="HTML Address"/>
    <w:basedOn w:val="1"/>
    <w:link w:val="121"/>
    <w:autoRedefine/>
    <w:semiHidden/>
    <w:qFormat/>
    <w:uiPriority w:val="0"/>
    <w:rPr>
      <w:rFonts w:ascii="Times New Roman" w:hAnsi="Times New Roman"/>
      <w:i/>
      <w:iCs/>
      <w:szCs w:val="24"/>
    </w:rPr>
  </w:style>
  <w:style w:type="paragraph" w:styleId="26">
    <w:name w:val="toc 5"/>
    <w:basedOn w:val="1"/>
    <w:next w:val="1"/>
    <w:autoRedefine/>
    <w:unhideWhenUsed/>
    <w:qFormat/>
    <w:uiPriority w:val="0"/>
    <w:pPr>
      <w:ind w:left="1680" w:leftChars="800"/>
    </w:pPr>
  </w:style>
  <w:style w:type="paragraph" w:styleId="27">
    <w:name w:val="toc 3"/>
    <w:basedOn w:val="1"/>
    <w:next w:val="1"/>
    <w:autoRedefine/>
    <w:unhideWhenUsed/>
    <w:qFormat/>
    <w:uiPriority w:val="0"/>
    <w:pPr>
      <w:ind w:left="840" w:leftChars="400"/>
    </w:pPr>
  </w:style>
  <w:style w:type="paragraph" w:styleId="28">
    <w:name w:val="Plain Text"/>
    <w:basedOn w:val="1"/>
    <w:next w:val="14"/>
    <w:link w:val="91"/>
    <w:autoRedefine/>
    <w:qFormat/>
    <w:uiPriority w:val="0"/>
    <w:rPr>
      <w:rFonts w:ascii="宋体" w:hAnsi="Courier New"/>
      <w:szCs w:val="21"/>
    </w:rPr>
  </w:style>
  <w:style w:type="paragraph" w:styleId="29">
    <w:name w:val="toc 8"/>
    <w:basedOn w:val="1"/>
    <w:next w:val="1"/>
    <w:autoRedefine/>
    <w:semiHidden/>
    <w:qFormat/>
    <w:uiPriority w:val="0"/>
    <w:pPr>
      <w:ind w:left="2940" w:leftChars="1400"/>
    </w:pPr>
  </w:style>
  <w:style w:type="paragraph" w:styleId="30">
    <w:name w:val="Date"/>
    <w:basedOn w:val="1"/>
    <w:next w:val="1"/>
    <w:link w:val="122"/>
    <w:autoRedefine/>
    <w:unhideWhenUsed/>
    <w:qFormat/>
    <w:uiPriority w:val="0"/>
    <w:pPr>
      <w:ind w:left="100" w:leftChars="2500"/>
    </w:pPr>
    <w:rPr>
      <w:rFonts w:ascii="Times New Roman" w:hAnsi="Times New Roman"/>
      <w:szCs w:val="20"/>
    </w:rPr>
  </w:style>
  <w:style w:type="paragraph" w:styleId="31">
    <w:name w:val="Body Text Indent 2"/>
    <w:basedOn w:val="1"/>
    <w:link w:val="123"/>
    <w:autoRedefine/>
    <w:semiHidden/>
    <w:qFormat/>
    <w:uiPriority w:val="0"/>
    <w:pPr>
      <w:spacing w:after="120" w:line="480" w:lineRule="auto"/>
      <w:ind w:left="420" w:leftChars="200"/>
    </w:pPr>
    <w:rPr>
      <w:rFonts w:ascii="Times New Roman" w:hAnsi="Times New Roman"/>
      <w:szCs w:val="24"/>
    </w:rPr>
  </w:style>
  <w:style w:type="paragraph" w:styleId="32">
    <w:name w:val="endnote text"/>
    <w:basedOn w:val="1"/>
    <w:link w:val="124"/>
    <w:autoRedefine/>
    <w:semiHidden/>
    <w:qFormat/>
    <w:uiPriority w:val="0"/>
    <w:pPr>
      <w:snapToGrid w:val="0"/>
      <w:jc w:val="left"/>
    </w:pPr>
    <w:rPr>
      <w:rFonts w:ascii="Times New Roman" w:hAnsi="Times New Roman"/>
      <w:szCs w:val="24"/>
    </w:rPr>
  </w:style>
  <w:style w:type="paragraph" w:styleId="33">
    <w:name w:val="Balloon Text"/>
    <w:basedOn w:val="1"/>
    <w:link w:val="90"/>
    <w:autoRedefine/>
    <w:unhideWhenUsed/>
    <w:qFormat/>
    <w:uiPriority w:val="0"/>
    <w:rPr>
      <w:kern w:val="0"/>
      <w:sz w:val="18"/>
      <w:szCs w:val="18"/>
    </w:rPr>
  </w:style>
  <w:style w:type="paragraph" w:styleId="34">
    <w:name w:val="footer"/>
    <w:basedOn w:val="1"/>
    <w:link w:val="89"/>
    <w:autoRedefine/>
    <w:unhideWhenUsed/>
    <w:qFormat/>
    <w:uiPriority w:val="0"/>
    <w:pPr>
      <w:tabs>
        <w:tab w:val="center" w:pos="4153"/>
        <w:tab w:val="right" w:pos="8306"/>
      </w:tabs>
      <w:snapToGrid w:val="0"/>
      <w:jc w:val="left"/>
    </w:pPr>
    <w:rPr>
      <w:kern w:val="0"/>
      <w:sz w:val="18"/>
      <w:szCs w:val="18"/>
    </w:rPr>
  </w:style>
  <w:style w:type="paragraph" w:styleId="35">
    <w:name w:val="header"/>
    <w:basedOn w:val="1"/>
    <w:link w:val="82"/>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6">
    <w:name w:val="Signature"/>
    <w:basedOn w:val="1"/>
    <w:link w:val="125"/>
    <w:autoRedefine/>
    <w:semiHidden/>
    <w:qFormat/>
    <w:uiPriority w:val="0"/>
    <w:pPr>
      <w:ind w:left="100" w:leftChars="2100"/>
    </w:pPr>
    <w:rPr>
      <w:rFonts w:ascii="Times New Roman" w:hAnsi="Times New Roman"/>
      <w:szCs w:val="24"/>
    </w:rPr>
  </w:style>
  <w:style w:type="paragraph" w:styleId="37">
    <w:name w:val="toc 1"/>
    <w:basedOn w:val="1"/>
    <w:next w:val="1"/>
    <w:autoRedefine/>
    <w:unhideWhenUsed/>
    <w:qFormat/>
    <w:uiPriority w:val="0"/>
  </w:style>
  <w:style w:type="paragraph" w:styleId="38">
    <w:name w:val="toc 4"/>
    <w:basedOn w:val="1"/>
    <w:next w:val="1"/>
    <w:autoRedefine/>
    <w:unhideWhenUsed/>
    <w:qFormat/>
    <w:uiPriority w:val="0"/>
    <w:pPr>
      <w:ind w:left="1260" w:leftChars="600"/>
    </w:pPr>
  </w:style>
  <w:style w:type="paragraph" w:styleId="39">
    <w:name w:val="Subtitle"/>
    <w:basedOn w:val="1"/>
    <w:next w:val="1"/>
    <w:link w:val="159"/>
    <w:autoRedefine/>
    <w:qFormat/>
    <w:uiPriority w:val="11"/>
    <w:pPr>
      <w:spacing w:before="240" w:after="60" w:line="312" w:lineRule="auto"/>
      <w:jc w:val="center"/>
      <w:outlineLvl w:val="1"/>
    </w:pPr>
    <w:rPr>
      <w:rFonts w:ascii="Cambria" w:hAnsi="Cambria"/>
      <w:b/>
      <w:bCs/>
      <w:kern w:val="28"/>
      <w:sz w:val="32"/>
      <w:szCs w:val="32"/>
    </w:rPr>
  </w:style>
  <w:style w:type="paragraph" w:styleId="40">
    <w:name w:val="List"/>
    <w:basedOn w:val="1"/>
    <w:autoRedefine/>
    <w:semiHidden/>
    <w:qFormat/>
    <w:uiPriority w:val="0"/>
    <w:pPr>
      <w:ind w:left="200" w:hanging="200" w:hangingChars="200"/>
    </w:pPr>
    <w:rPr>
      <w:rFonts w:ascii="Times New Roman" w:hAnsi="Times New Roman"/>
      <w:szCs w:val="24"/>
    </w:rPr>
  </w:style>
  <w:style w:type="paragraph" w:styleId="41">
    <w:name w:val="footnote text"/>
    <w:basedOn w:val="1"/>
    <w:link w:val="126"/>
    <w:autoRedefine/>
    <w:semiHidden/>
    <w:qFormat/>
    <w:uiPriority w:val="0"/>
    <w:pPr>
      <w:snapToGrid w:val="0"/>
      <w:jc w:val="left"/>
    </w:pPr>
    <w:rPr>
      <w:rFonts w:ascii="Times New Roman" w:hAnsi="Times New Roman"/>
      <w:sz w:val="18"/>
      <w:szCs w:val="20"/>
    </w:rPr>
  </w:style>
  <w:style w:type="paragraph" w:styleId="42">
    <w:name w:val="toc 6"/>
    <w:basedOn w:val="1"/>
    <w:next w:val="1"/>
    <w:autoRedefine/>
    <w:unhideWhenUsed/>
    <w:qFormat/>
    <w:uiPriority w:val="0"/>
    <w:pPr>
      <w:ind w:left="2100" w:leftChars="1000"/>
    </w:pPr>
  </w:style>
  <w:style w:type="paragraph" w:styleId="43">
    <w:name w:val="toc 2"/>
    <w:basedOn w:val="1"/>
    <w:next w:val="1"/>
    <w:autoRedefine/>
    <w:unhideWhenUsed/>
    <w:qFormat/>
    <w:uiPriority w:val="0"/>
    <w:pPr>
      <w:ind w:left="420" w:leftChars="200"/>
    </w:pPr>
  </w:style>
  <w:style w:type="paragraph" w:styleId="44">
    <w:name w:val="toc 9"/>
    <w:basedOn w:val="1"/>
    <w:next w:val="1"/>
    <w:autoRedefine/>
    <w:unhideWhenUsed/>
    <w:qFormat/>
    <w:uiPriority w:val="0"/>
    <w:pPr>
      <w:ind w:left="3360" w:leftChars="1600"/>
    </w:pPr>
  </w:style>
  <w:style w:type="paragraph" w:styleId="45">
    <w:name w:val="Message Header"/>
    <w:basedOn w:val="1"/>
    <w:link w:val="127"/>
    <w:autoRedefine/>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46">
    <w:name w:val="HTML Preformatted"/>
    <w:basedOn w:val="1"/>
    <w:link w:val="128"/>
    <w:autoRedefine/>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4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48">
    <w:name w:val="index 1"/>
    <w:basedOn w:val="1"/>
    <w:next w:val="1"/>
    <w:autoRedefine/>
    <w:unhideWhenUsed/>
    <w:qFormat/>
    <w:uiPriority w:val="0"/>
  </w:style>
  <w:style w:type="paragraph" w:styleId="49">
    <w:name w:val="Title"/>
    <w:basedOn w:val="1"/>
    <w:next w:val="1"/>
    <w:link w:val="158"/>
    <w:autoRedefine/>
    <w:qFormat/>
    <w:uiPriority w:val="0"/>
    <w:pPr>
      <w:spacing w:before="240" w:after="60"/>
      <w:jc w:val="center"/>
      <w:outlineLvl w:val="0"/>
    </w:pPr>
    <w:rPr>
      <w:rFonts w:ascii="Cambria" w:hAnsi="Cambria"/>
      <w:b/>
      <w:bCs/>
      <w:sz w:val="32"/>
      <w:szCs w:val="32"/>
    </w:rPr>
  </w:style>
  <w:style w:type="paragraph" w:styleId="50">
    <w:name w:val="annotation subject"/>
    <w:basedOn w:val="20"/>
    <w:next w:val="20"/>
    <w:link w:val="96"/>
    <w:autoRedefine/>
    <w:unhideWhenUsed/>
    <w:qFormat/>
    <w:uiPriority w:val="0"/>
    <w:rPr>
      <w:b/>
      <w:bCs/>
    </w:rPr>
  </w:style>
  <w:style w:type="paragraph" w:styleId="51">
    <w:name w:val="Body Text First Indent"/>
    <w:basedOn w:val="2"/>
    <w:link w:val="113"/>
    <w:autoRedefine/>
    <w:unhideWhenUsed/>
    <w:qFormat/>
    <w:uiPriority w:val="0"/>
    <w:pPr>
      <w:spacing w:after="120" w:line="240" w:lineRule="auto"/>
      <w:ind w:firstLine="420" w:firstLineChars="100"/>
    </w:pPr>
    <w:rPr>
      <w:rFonts w:ascii="Calibri" w:hAnsi="Calibri"/>
      <w:kern w:val="2"/>
      <w:sz w:val="21"/>
      <w:szCs w:val="22"/>
    </w:rPr>
  </w:style>
  <w:style w:type="paragraph" w:styleId="52">
    <w:name w:val="Body Text First Indent 2"/>
    <w:basedOn w:val="24"/>
    <w:link w:val="85"/>
    <w:autoRedefine/>
    <w:unhideWhenUsed/>
    <w:qFormat/>
    <w:uiPriority w:val="0"/>
    <w:pPr>
      <w:ind w:firstLine="420" w:firstLineChars="200"/>
    </w:pPr>
  </w:style>
  <w:style w:type="table" w:styleId="54">
    <w:name w:val="Table Grid"/>
    <w:basedOn w:val="53"/>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55">
    <w:name w:val="Table List 4"/>
    <w:basedOn w:val="53"/>
    <w:autoRedefine/>
    <w:semiHidden/>
    <w:qFormat/>
    <w:uiPriority w:val="0"/>
    <w:pPr>
      <w:widowControl w:val="0"/>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56">
    <w:name w:val="Table List 5"/>
    <w:basedOn w:val="53"/>
    <w:autoRedefine/>
    <w:semiHidden/>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character" w:styleId="58">
    <w:name w:val="Strong"/>
    <w:basedOn w:val="57"/>
    <w:autoRedefine/>
    <w:qFormat/>
    <w:uiPriority w:val="22"/>
    <w:rPr>
      <w:b/>
    </w:rPr>
  </w:style>
  <w:style w:type="character" w:styleId="59">
    <w:name w:val="endnote reference"/>
    <w:autoRedefine/>
    <w:semiHidden/>
    <w:qFormat/>
    <w:uiPriority w:val="0"/>
    <w:rPr>
      <w:vertAlign w:val="superscript"/>
    </w:rPr>
  </w:style>
  <w:style w:type="character" w:styleId="60">
    <w:name w:val="page number"/>
    <w:basedOn w:val="57"/>
    <w:autoRedefine/>
    <w:unhideWhenUsed/>
    <w:qFormat/>
    <w:uiPriority w:val="99"/>
  </w:style>
  <w:style w:type="character" w:styleId="61">
    <w:name w:val="FollowedHyperlink"/>
    <w:autoRedefine/>
    <w:qFormat/>
    <w:uiPriority w:val="99"/>
    <w:rPr>
      <w:color w:val="800080"/>
      <w:u w:val="single"/>
    </w:rPr>
  </w:style>
  <w:style w:type="character" w:styleId="62">
    <w:name w:val="Emphasis"/>
    <w:basedOn w:val="57"/>
    <w:qFormat/>
    <w:uiPriority w:val="20"/>
  </w:style>
  <w:style w:type="character" w:styleId="63">
    <w:name w:val="HTML Definition"/>
    <w:autoRedefine/>
    <w:qFormat/>
    <w:uiPriority w:val="0"/>
    <w:rPr>
      <w:i/>
      <w:iCs/>
    </w:rPr>
  </w:style>
  <w:style w:type="character" w:styleId="64">
    <w:name w:val="HTML Typewriter"/>
    <w:autoRedefine/>
    <w:semiHidden/>
    <w:qFormat/>
    <w:uiPriority w:val="0"/>
    <w:rPr>
      <w:rFonts w:ascii="Courier New" w:hAnsi="Courier New" w:cs="Courier New"/>
      <w:sz w:val="20"/>
      <w:szCs w:val="20"/>
    </w:rPr>
  </w:style>
  <w:style w:type="character" w:styleId="65">
    <w:name w:val="HTML Variable"/>
    <w:autoRedefine/>
    <w:qFormat/>
    <w:uiPriority w:val="0"/>
    <w:rPr>
      <w:i/>
      <w:iCs/>
    </w:rPr>
  </w:style>
  <w:style w:type="character" w:styleId="66">
    <w:name w:val="Hyperlink"/>
    <w:autoRedefine/>
    <w:qFormat/>
    <w:uiPriority w:val="0"/>
    <w:rPr>
      <w:color w:val="0000FF"/>
      <w:u w:val="single"/>
    </w:rPr>
  </w:style>
  <w:style w:type="character" w:styleId="67">
    <w:name w:val="HTML Code"/>
    <w:autoRedefine/>
    <w:qFormat/>
    <w:uiPriority w:val="0"/>
    <w:rPr>
      <w:rFonts w:ascii="Courier New" w:hAnsi="Courier New" w:cs="Courier New"/>
      <w:sz w:val="20"/>
      <w:szCs w:val="20"/>
    </w:rPr>
  </w:style>
  <w:style w:type="character" w:styleId="68">
    <w:name w:val="annotation reference"/>
    <w:autoRedefine/>
    <w:unhideWhenUsed/>
    <w:qFormat/>
    <w:uiPriority w:val="0"/>
    <w:rPr>
      <w:sz w:val="21"/>
      <w:szCs w:val="21"/>
    </w:rPr>
  </w:style>
  <w:style w:type="character" w:styleId="69">
    <w:name w:val="HTML Cite"/>
    <w:autoRedefine/>
    <w:qFormat/>
    <w:uiPriority w:val="0"/>
    <w:rPr>
      <w:i/>
      <w:iCs/>
    </w:rPr>
  </w:style>
  <w:style w:type="character" w:styleId="70">
    <w:name w:val="footnote reference"/>
    <w:autoRedefine/>
    <w:semiHidden/>
    <w:qFormat/>
    <w:uiPriority w:val="0"/>
    <w:rPr>
      <w:vertAlign w:val="superscript"/>
    </w:rPr>
  </w:style>
  <w:style w:type="character" w:styleId="71">
    <w:name w:val="HTML Keyboard"/>
    <w:autoRedefine/>
    <w:qFormat/>
    <w:uiPriority w:val="0"/>
    <w:rPr>
      <w:rFonts w:ascii="Courier New" w:hAnsi="Courier New" w:cs="Courier New"/>
      <w:sz w:val="20"/>
      <w:szCs w:val="20"/>
    </w:rPr>
  </w:style>
  <w:style w:type="character" w:styleId="72">
    <w:name w:val="HTML Sample"/>
    <w:autoRedefine/>
    <w:qFormat/>
    <w:uiPriority w:val="0"/>
    <w:rPr>
      <w:rFonts w:ascii="Courier New" w:hAnsi="Courier New" w:cs="Courier New"/>
    </w:rPr>
  </w:style>
  <w:style w:type="character" w:customStyle="1" w:styleId="73">
    <w:name w:val="标题 1 Char"/>
    <w:link w:val="3"/>
    <w:autoRedefine/>
    <w:qFormat/>
    <w:uiPriority w:val="0"/>
    <w:rPr>
      <w:b/>
      <w:bCs/>
      <w:kern w:val="44"/>
      <w:sz w:val="44"/>
      <w:szCs w:val="44"/>
    </w:rPr>
  </w:style>
  <w:style w:type="character" w:customStyle="1" w:styleId="74">
    <w:name w:val="标题 2 Char"/>
    <w:link w:val="4"/>
    <w:autoRedefine/>
    <w:qFormat/>
    <w:uiPriority w:val="0"/>
    <w:rPr>
      <w:rFonts w:ascii="Cambria" w:hAnsi="Cambria" w:eastAsia="宋体"/>
      <w:b/>
      <w:bCs/>
      <w:kern w:val="2"/>
      <w:sz w:val="32"/>
      <w:szCs w:val="32"/>
      <w:lang w:val="en-US" w:eastAsia="zh-CN" w:bidi="ar-SA"/>
    </w:rPr>
  </w:style>
  <w:style w:type="character" w:customStyle="1" w:styleId="75">
    <w:name w:val="标题 3 Char"/>
    <w:link w:val="5"/>
    <w:autoRedefine/>
    <w:qFormat/>
    <w:uiPriority w:val="0"/>
    <w:rPr>
      <w:rFonts w:ascii="Calibri" w:hAnsi="Calibri" w:eastAsia="宋体"/>
      <w:b/>
      <w:bCs/>
      <w:kern w:val="2"/>
      <w:sz w:val="32"/>
      <w:szCs w:val="32"/>
      <w:lang w:val="en-US" w:eastAsia="zh-CN" w:bidi="ar-SA"/>
    </w:rPr>
  </w:style>
  <w:style w:type="character" w:customStyle="1" w:styleId="76">
    <w:name w:val="标题 4 Char"/>
    <w:link w:val="6"/>
    <w:autoRedefine/>
    <w:qFormat/>
    <w:uiPriority w:val="0"/>
    <w:rPr>
      <w:rFonts w:ascii="宋体" w:hAnsi="宋体" w:eastAsia="宋体" w:cs="宋体"/>
      <w:b/>
      <w:bCs/>
      <w:sz w:val="24"/>
      <w:szCs w:val="24"/>
      <w:lang w:val="en-US" w:eastAsia="zh-CN" w:bidi="ar-SA"/>
    </w:rPr>
  </w:style>
  <w:style w:type="character" w:customStyle="1" w:styleId="77">
    <w:name w:val="标题 5 Char"/>
    <w:basedOn w:val="57"/>
    <w:link w:val="7"/>
    <w:qFormat/>
    <w:uiPriority w:val="0"/>
    <w:rPr>
      <w:rFonts w:ascii="Times New Roman" w:hAnsi="Times New Roman"/>
    </w:rPr>
  </w:style>
  <w:style w:type="character" w:customStyle="1" w:styleId="78">
    <w:name w:val="标题 6 Char"/>
    <w:basedOn w:val="57"/>
    <w:link w:val="8"/>
    <w:autoRedefine/>
    <w:qFormat/>
    <w:uiPriority w:val="0"/>
    <w:rPr>
      <w:rFonts w:ascii="Times New Roman" w:hAnsi="Times New Roman"/>
    </w:rPr>
  </w:style>
  <w:style w:type="character" w:customStyle="1" w:styleId="79">
    <w:name w:val="标题 7 Char"/>
    <w:link w:val="9"/>
    <w:autoRedefine/>
    <w:qFormat/>
    <w:uiPriority w:val="0"/>
    <w:rPr>
      <w:rFonts w:ascii="Calibri" w:hAnsi="Calibri" w:eastAsia="宋体"/>
      <w:b/>
      <w:bCs/>
      <w:kern w:val="2"/>
      <w:sz w:val="24"/>
      <w:szCs w:val="24"/>
      <w:lang w:val="en-US" w:eastAsia="zh-CN" w:bidi="ar-SA"/>
    </w:rPr>
  </w:style>
  <w:style w:type="character" w:customStyle="1" w:styleId="80">
    <w:name w:val="标题 8 Char"/>
    <w:basedOn w:val="57"/>
    <w:link w:val="10"/>
    <w:qFormat/>
    <w:uiPriority w:val="0"/>
    <w:rPr>
      <w:rFonts w:ascii="Times New Roman" w:hAnsi="Times New Roman"/>
    </w:rPr>
  </w:style>
  <w:style w:type="character" w:customStyle="1" w:styleId="81">
    <w:name w:val="标题 9 Char"/>
    <w:basedOn w:val="57"/>
    <w:link w:val="11"/>
    <w:autoRedefine/>
    <w:qFormat/>
    <w:uiPriority w:val="0"/>
    <w:rPr>
      <w:rFonts w:ascii="Times New Roman" w:hAnsi="Times New Roman"/>
    </w:rPr>
  </w:style>
  <w:style w:type="character" w:customStyle="1" w:styleId="82">
    <w:name w:val="页眉 Char"/>
    <w:link w:val="35"/>
    <w:autoRedefine/>
    <w:qFormat/>
    <w:uiPriority w:val="0"/>
    <w:rPr>
      <w:sz w:val="18"/>
      <w:szCs w:val="18"/>
    </w:rPr>
  </w:style>
  <w:style w:type="character" w:styleId="83">
    <w:name w:val="Placeholder Text"/>
    <w:autoRedefine/>
    <w:semiHidden/>
    <w:qFormat/>
    <w:uiPriority w:val="99"/>
    <w:rPr>
      <w:color w:val="808080"/>
    </w:rPr>
  </w:style>
  <w:style w:type="character" w:customStyle="1" w:styleId="84">
    <w:name w:val="title"/>
    <w:basedOn w:val="57"/>
    <w:autoRedefine/>
    <w:qFormat/>
    <w:uiPriority w:val="0"/>
  </w:style>
  <w:style w:type="character" w:customStyle="1" w:styleId="85">
    <w:name w:val="正文首行缩进 2 Char"/>
    <w:basedOn w:val="86"/>
    <w:link w:val="52"/>
    <w:autoRedefine/>
    <w:qFormat/>
    <w:uiPriority w:val="0"/>
  </w:style>
  <w:style w:type="character" w:customStyle="1" w:styleId="86">
    <w:name w:val="正文文本缩进 Char"/>
    <w:basedOn w:val="57"/>
    <w:link w:val="24"/>
    <w:autoRedefine/>
    <w:semiHidden/>
    <w:qFormat/>
    <w:uiPriority w:val="99"/>
  </w:style>
  <w:style w:type="character" w:customStyle="1" w:styleId="87">
    <w:name w:val="批注文字 Char"/>
    <w:link w:val="20"/>
    <w:autoRedefine/>
    <w:semiHidden/>
    <w:qFormat/>
    <w:uiPriority w:val="0"/>
    <w:rPr>
      <w:kern w:val="2"/>
      <w:sz w:val="21"/>
      <w:szCs w:val="22"/>
    </w:rPr>
  </w:style>
  <w:style w:type="character" w:customStyle="1" w:styleId="88">
    <w:name w:val="正文文本 Char"/>
    <w:link w:val="2"/>
    <w:autoRedefine/>
    <w:qFormat/>
    <w:uiPriority w:val="99"/>
    <w:rPr>
      <w:rFonts w:ascii="宋体" w:hAnsi="宋体" w:eastAsia="宋体" w:cs="Times New Roman"/>
      <w:sz w:val="24"/>
      <w:szCs w:val="24"/>
    </w:rPr>
  </w:style>
  <w:style w:type="character" w:customStyle="1" w:styleId="89">
    <w:name w:val="页脚 Char"/>
    <w:link w:val="34"/>
    <w:autoRedefine/>
    <w:qFormat/>
    <w:uiPriority w:val="0"/>
    <w:rPr>
      <w:sz w:val="18"/>
      <w:szCs w:val="18"/>
    </w:rPr>
  </w:style>
  <w:style w:type="character" w:customStyle="1" w:styleId="90">
    <w:name w:val="批注框文本 Char"/>
    <w:link w:val="33"/>
    <w:autoRedefine/>
    <w:semiHidden/>
    <w:qFormat/>
    <w:uiPriority w:val="0"/>
    <w:rPr>
      <w:sz w:val="18"/>
      <w:szCs w:val="18"/>
    </w:rPr>
  </w:style>
  <w:style w:type="character" w:customStyle="1" w:styleId="91">
    <w:name w:val="纯文本 Char"/>
    <w:link w:val="28"/>
    <w:autoRedefine/>
    <w:qFormat/>
    <w:uiPriority w:val="0"/>
    <w:rPr>
      <w:rFonts w:ascii="宋体" w:hAnsi="Courier New" w:cs="Courier New"/>
      <w:kern w:val="2"/>
      <w:sz w:val="21"/>
      <w:szCs w:val="21"/>
    </w:rPr>
  </w:style>
  <w:style w:type="character" w:customStyle="1" w:styleId="92">
    <w:name w:val="标题3 Char"/>
    <w:link w:val="93"/>
    <w:autoRedefine/>
    <w:qFormat/>
    <w:uiPriority w:val="0"/>
    <w:rPr>
      <w:rFonts w:ascii="宋体" w:hAnsi="宋体"/>
      <w:color w:val="000000"/>
      <w:sz w:val="24"/>
    </w:rPr>
  </w:style>
  <w:style w:type="paragraph" w:customStyle="1" w:styleId="93">
    <w:name w:val="标题3"/>
    <w:basedOn w:val="5"/>
    <w:link w:val="92"/>
    <w:autoRedefine/>
    <w:qFormat/>
    <w:uiPriority w:val="0"/>
    <w:pPr>
      <w:spacing w:line="360" w:lineRule="auto"/>
      <w:ind w:firstLine="472" w:firstLineChars="196"/>
    </w:pPr>
    <w:rPr>
      <w:rFonts w:ascii="宋体" w:hAnsi="宋体"/>
      <w:b w:val="0"/>
      <w:bCs w:val="0"/>
      <w:color w:val="000000"/>
      <w:kern w:val="0"/>
      <w:sz w:val="24"/>
      <w:szCs w:val="20"/>
    </w:rPr>
  </w:style>
  <w:style w:type="character" w:customStyle="1" w:styleId="94">
    <w:name w:val="样式 标题 1 + 宋体 三号 加粗 下划线 非全部大写 Char"/>
    <w:autoRedefine/>
    <w:qFormat/>
    <w:uiPriority w:val="0"/>
    <w:rPr>
      <w:rFonts w:ascii="宋体" w:hAnsi="宋体" w:eastAsia="宋体" w:cs="Courier New"/>
      <w:b/>
      <w:bCs/>
      <w:caps/>
      <w:kern w:val="2"/>
      <w:sz w:val="32"/>
      <w:szCs w:val="21"/>
      <w:u w:val="single"/>
      <w:lang w:val="en-US" w:eastAsia="en-US" w:bidi="ar-SA"/>
    </w:rPr>
  </w:style>
  <w:style w:type="character" w:customStyle="1" w:styleId="95">
    <w:name w:val="文档结构图 Char"/>
    <w:link w:val="19"/>
    <w:autoRedefine/>
    <w:qFormat/>
    <w:uiPriority w:val="0"/>
    <w:rPr>
      <w:rFonts w:ascii="宋体"/>
      <w:kern w:val="2"/>
      <w:sz w:val="18"/>
      <w:szCs w:val="18"/>
    </w:rPr>
  </w:style>
  <w:style w:type="character" w:customStyle="1" w:styleId="96">
    <w:name w:val="批注主题 Char"/>
    <w:link w:val="50"/>
    <w:autoRedefine/>
    <w:semiHidden/>
    <w:qFormat/>
    <w:uiPriority w:val="0"/>
    <w:rPr>
      <w:b/>
      <w:bCs/>
      <w:kern w:val="2"/>
      <w:sz w:val="21"/>
      <w:szCs w:val="22"/>
    </w:rPr>
  </w:style>
  <w:style w:type="paragraph" w:customStyle="1" w:styleId="97">
    <w:name w:val="Report正文"/>
    <w:basedOn w:val="1"/>
    <w:autoRedefine/>
    <w:qFormat/>
    <w:uiPriority w:val="0"/>
    <w:pPr>
      <w:widowControl/>
      <w:spacing w:beforeLines="100" w:afterLines="150" w:line="440" w:lineRule="exact"/>
      <w:ind w:left="420"/>
      <w:jc w:val="left"/>
    </w:pPr>
    <w:rPr>
      <w:rFonts w:ascii="华文细黑" w:hAnsi="华文细黑" w:eastAsia="华文细黑"/>
      <w:kern w:val="0"/>
      <w:sz w:val="24"/>
      <w:szCs w:val="24"/>
      <w:lang w:val="en-GB"/>
    </w:rPr>
  </w:style>
  <w:style w:type="paragraph" w:styleId="98">
    <w:name w:val="List Paragraph"/>
    <w:basedOn w:val="1"/>
    <w:autoRedefine/>
    <w:qFormat/>
    <w:uiPriority w:val="34"/>
    <w:pPr>
      <w:ind w:firstLine="420" w:firstLineChars="200"/>
    </w:pPr>
  </w:style>
  <w:style w:type="paragraph" w:customStyle="1" w:styleId="99">
    <w:name w:val="TOC Heading"/>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0">
    <w:name w:val="p3"/>
    <w:basedOn w:val="1"/>
    <w:autoRedefine/>
    <w:qFormat/>
    <w:uiPriority w:val="0"/>
    <w:pPr>
      <w:spacing w:line="30" w:lineRule="atLeast"/>
      <w:jc w:val="center"/>
    </w:pPr>
    <w:rPr>
      <w:rFonts w:hint="eastAsia" w:ascii="宋体" w:hAnsi="宋体" w:cs="宋体"/>
      <w:kern w:val="0"/>
      <w:sz w:val="36"/>
      <w:szCs w:val="36"/>
    </w:rPr>
  </w:style>
  <w:style w:type="paragraph" w:customStyle="1" w:styleId="101">
    <w:name w:val="Report 1.1.1"/>
    <w:basedOn w:val="102"/>
    <w:autoRedefine/>
    <w:qFormat/>
    <w:uiPriority w:val="0"/>
    <w:pPr>
      <w:tabs>
        <w:tab w:val="left" w:pos="720"/>
      </w:tabs>
    </w:pPr>
    <w:rPr>
      <w:rFonts w:hAnsi="华文细黑" w:eastAsia="华文细黑" w:cs="Arial"/>
      <w:lang w:eastAsia="zh-CN"/>
    </w:rPr>
  </w:style>
  <w:style w:type="paragraph" w:customStyle="1" w:styleId="102">
    <w:name w:val="DTZ Heading 3"/>
    <w:basedOn w:val="1"/>
    <w:next w:val="1"/>
    <w:autoRedefine/>
    <w:qFormat/>
    <w:uiPriority w:val="0"/>
    <w:pPr>
      <w:widowControl/>
      <w:tabs>
        <w:tab w:val="left" w:pos="720"/>
      </w:tabs>
      <w:spacing w:line="280" w:lineRule="exact"/>
      <w:ind w:left="720" w:hanging="720"/>
      <w:jc w:val="left"/>
    </w:pPr>
    <w:rPr>
      <w:rFonts w:ascii="Arial" w:hAnsi="Arial"/>
      <w:b/>
      <w:kern w:val="0"/>
      <w:sz w:val="24"/>
      <w:szCs w:val="24"/>
      <w:lang w:val="en-GB" w:eastAsia="en-US"/>
    </w:rPr>
  </w:style>
  <w:style w:type="paragraph" w:customStyle="1" w:styleId="103">
    <w:name w:val="Char Char Char1 Char"/>
    <w:basedOn w:val="35"/>
    <w:next w:val="1"/>
    <w:qFormat/>
    <w:uiPriority w:val="0"/>
    <w:pPr>
      <w:pBdr>
        <w:bottom w:val="none" w:color="auto" w:sz="0" w:space="0"/>
      </w:pBdr>
      <w:shd w:val="clear" w:color="auto" w:fill="000080"/>
      <w:tabs>
        <w:tab w:val="clear" w:pos="4153"/>
        <w:tab w:val="clear" w:pos="8306"/>
      </w:tabs>
      <w:snapToGrid/>
      <w:jc w:val="both"/>
    </w:pPr>
    <w:rPr>
      <w:rFonts w:ascii="Times New Roman" w:hAnsi="Times New Roman"/>
      <w:sz w:val="21"/>
      <w:szCs w:val="20"/>
    </w:rPr>
  </w:style>
  <w:style w:type="paragraph" w:customStyle="1" w:styleId="104">
    <w:name w:val="Default"/>
    <w:autoRedefine/>
    <w:qFormat/>
    <w:uiPriority w:val="0"/>
    <w:pPr>
      <w:widowControl w:val="0"/>
      <w:autoSpaceDE w:val="0"/>
      <w:autoSpaceDN w:val="0"/>
      <w:adjustRightInd w:val="0"/>
    </w:pPr>
    <w:rPr>
      <w:rFonts w:ascii="FZHei-B01S" w:hAnsi="Times New Roman" w:eastAsia="FZHei-B01S" w:cs="FZHei-B01S"/>
      <w:color w:val="000000"/>
      <w:sz w:val="24"/>
      <w:szCs w:val="24"/>
      <w:lang w:val="en-US" w:eastAsia="zh-CN" w:bidi="ar-SA"/>
    </w:rPr>
  </w:style>
  <w:style w:type="paragraph" w:customStyle="1" w:styleId="105">
    <w:name w:val="DTZ Heading 4"/>
    <w:basedOn w:val="1"/>
    <w:autoRedefine/>
    <w:qFormat/>
    <w:uiPriority w:val="0"/>
    <w:pPr>
      <w:widowControl/>
      <w:numPr>
        <w:ilvl w:val="3"/>
        <w:numId w:val="2"/>
      </w:numPr>
      <w:spacing w:line="260" w:lineRule="exact"/>
      <w:jc w:val="left"/>
    </w:pPr>
    <w:rPr>
      <w:rFonts w:ascii="Arial" w:hAnsi="Arial"/>
      <w:b/>
      <w:kern w:val="0"/>
      <w:sz w:val="20"/>
      <w:szCs w:val="24"/>
      <w:lang w:val="en-GB" w:eastAsia="en-US"/>
    </w:rPr>
  </w:style>
  <w:style w:type="paragraph" w:customStyle="1" w:styleId="106">
    <w:name w:val="DTZ Heading 1"/>
    <w:basedOn w:val="1"/>
    <w:next w:val="1"/>
    <w:autoRedefine/>
    <w:qFormat/>
    <w:uiPriority w:val="0"/>
    <w:pPr>
      <w:widowControl/>
      <w:numPr>
        <w:ilvl w:val="0"/>
        <w:numId w:val="2"/>
      </w:numPr>
      <w:spacing w:after="260" w:line="380" w:lineRule="exact"/>
      <w:jc w:val="left"/>
    </w:pPr>
    <w:rPr>
      <w:rFonts w:ascii="Arial" w:hAnsi="Arial"/>
      <w:b/>
      <w:kern w:val="0"/>
      <w:sz w:val="32"/>
      <w:szCs w:val="24"/>
      <w:lang w:val="en-GB" w:eastAsia="en-US"/>
    </w:rPr>
  </w:style>
  <w:style w:type="paragraph" w:customStyle="1" w:styleId="107">
    <w:name w:val="xl81"/>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24"/>
      <w:szCs w:val="24"/>
    </w:rPr>
  </w:style>
  <w:style w:type="paragraph" w:customStyle="1" w:styleId="108">
    <w:name w:val="样式3"/>
    <w:basedOn w:val="2"/>
    <w:autoRedefine/>
    <w:qFormat/>
    <w:uiPriority w:val="0"/>
    <w:pPr>
      <w:spacing w:after="120"/>
    </w:pPr>
    <w:rPr>
      <w:rFonts w:hAnsi="Times New Roman"/>
      <w:sz w:val="21"/>
    </w:rPr>
  </w:style>
  <w:style w:type="paragraph" w:customStyle="1" w:styleId="109">
    <w:name w:val="DTZ Heading 2"/>
    <w:basedOn w:val="106"/>
    <w:next w:val="1"/>
    <w:autoRedefine/>
    <w:qFormat/>
    <w:uiPriority w:val="0"/>
    <w:pPr>
      <w:numPr>
        <w:ilvl w:val="1"/>
      </w:numPr>
      <w:tabs>
        <w:tab w:val="left" w:pos="5963"/>
      </w:tabs>
      <w:spacing w:after="0" w:line="340" w:lineRule="exact"/>
    </w:pPr>
    <w:rPr>
      <w:sz w:val="28"/>
    </w:rPr>
  </w:style>
  <w:style w:type="paragraph" w:customStyle="1" w:styleId="110">
    <w:name w:val="保留正文"/>
    <w:basedOn w:val="2"/>
    <w:autoRedefine/>
    <w:qFormat/>
    <w:uiPriority w:val="0"/>
    <w:pPr>
      <w:keepNext/>
      <w:spacing w:after="160" w:line="240" w:lineRule="auto"/>
    </w:pPr>
    <w:rPr>
      <w:rFonts w:ascii="Times New Roman" w:hAnsi="Times New Roman"/>
      <w:sz w:val="21"/>
    </w:rPr>
  </w:style>
  <w:style w:type="paragraph" w:customStyle="1" w:styleId="111">
    <w:name w:val="小标题 2"/>
    <w:basedOn w:val="1"/>
    <w:autoRedefine/>
    <w:qFormat/>
    <w:uiPriority w:val="0"/>
    <w:pPr>
      <w:autoSpaceDE w:val="0"/>
      <w:autoSpaceDN w:val="0"/>
      <w:adjustRightInd w:val="0"/>
    </w:pPr>
    <w:rPr>
      <w:rFonts w:ascii="金桥简粗宋" w:hAnsi="Times New Roman" w:eastAsia="金桥简粗宋"/>
      <w:kern w:val="0"/>
      <w:sz w:val="28"/>
      <w:szCs w:val="28"/>
    </w:rPr>
  </w:style>
  <w:style w:type="paragraph" w:customStyle="1" w:styleId="112">
    <w:name w:val="一、"/>
    <w:basedOn w:val="1"/>
    <w:autoRedefine/>
    <w:qFormat/>
    <w:uiPriority w:val="0"/>
    <w:pPr>
      <w:tabs>
        <w:tab w:val="left" w:pos="720"/>
      </w:tabs>
      <w:spacing w:line="740" w:lineRule="exact"/>
    </w:pPr>
    <w:rPr>
      <w:sz w:val="28"/>
      <w:szCs w:val="24"/>
    </w:rPr>
  </w:style>
  <w:style w:type="character" w:customStyle="1" w:styleId="113">
    <w:name w:val="正文首行缩进 Char"/>
    <w:basedOn w:val="88"/>
    <w:link w:val="51"/>
    <w:autoRedefine/>
    <w:semiHidden/>
    <w:qFormat/>
    <w:uiPriority w:val="0"/>
    <w:rPr>
      <w:kern w:val="2"/>
      <w:sz w:val="21"/>
      <w:szCs w:val="22"/>
    </w:rPr>
  </w:style>
  <w:style w:type="paragraph" w:customStyle="1" w:styleId="114">
    <w:name w:val="_Style 2"/>
    <w:basedOn w:val="1"/>
    <w:autoRedefine/>
    <w:qFormat/>
    <w:uiPriority w:val="99"/>
    <w:pPr>
      <w:ind w:firstLine="420" w:firstLineChars="200"/>
    </w:pPr>
  </w:style>
  <w:style w:type="paragraph" w:customStyle="1" w:styleId="115">
    <w:name w:val="UserStyle_0"/>
    <w:basedOn w:val="1"/>
    <w:autoRedefine/>
    <w:qFormat/>
    <w:uiPriority w:val="0"/>
    <w:pPr>
      <w:spacing w:before="15"/>
      <w:ind w:left="120"/>
    </w:pPr>
    <w:rPr>
      <w:rFonts w:ascii="Arial Unicode MS" w:hAnsi="Arial Unicode MS" w:eastAsia="Arial Unicode MS"/>
      <w:sz w:val="32"/>
      <w:szCs w:val="32"/>
    </w:rPr>
  </w:style>
  <w:style w:type="character" w:customStyle="1" w:styleId="116">
    <w:name w:val="注释标题 Char"/>
    <w:basedOn w:val="57"/>
    <w:link w:val="13"/>
    <w:autoRedefine/>
    <w:semiHidden/>
    <w:qFormat/>
    <w:uiPriority w:val="0"/>
    <w:rPr>
      <w:rFonts w:ascii="Times New Roman" w:hAnsi="Times New Roman"/>
      <w:kern w:val="2"/>
      <w:sz w:val="21"/>
      <w:szCs w:val="24"/>
    </w:rPr>
  </w:style>
  <w:style w:type="character" w:customStyle="1" w:styleId="117">
    <w:name w:val="电子邮件签名 Char"/>
    <w:basedOn w:val="57"/>
    <w:link w:val="15"/>
    <w:autoRedefine/>
    <w:semiHidden/>
    <w:qFormat/>
    <w:uiPriority w:val="0"/>
    <w:rPr>
      <w:rFonts w:ascii="Times New Roman" w:hAnsi="Times New Roman"/>
      <w:kern w:val="2"/>
      <w:sz w:val="21"/>
      <w:szCs w:val="24"/>
    </w:rPr>
  </w:style>
  <w:style w:type="character" w:customStyle="1" w:styleId="118">
    <w:name w:val="称呼 Char"/>
    <w:basedOn w:val="57"/>
    <w:link w:val="21"/>
    <w:autoRedefine/>
    <w:semiHidden/>
    <w:qFormat/>
    <w:uiPriority w:val="0"/>
    <w:rPr>
      <w:rFonts w:ascii="Times New Roman" w:hAnsi="Times New Roman"/>
      <w:kern w:val="2"/>
      <w:sz w:val="21"/>
      <w:szCs w:val="24"/>
    </w:rPr>
  </w:style>
  <w:style w:type="character" w:customStyle="1" w:styleId="119">
    <w:name w:val="正文文本 3 Char"/>
    <w:basedOn w:val="57"/>
    <w:link w:val="22"/>
    <w:autoRedefine/>
    <w:semiHidden/>
    <w:qFormat/>
    <w:uiPriority w:val="0"/>
    <w:rPr>
      <w:rFonts w:ascii="Times New Roman" w:hAnsi="Times New Roman"/>
      <w:kern w:val="2"/>
      <w:sz w:val="16"/>
      <w:szCs w:val="16"/>
    </w:rPr>
  </w:style>
  <w:style w:type="character" w:customStyle="1" w:styleId="120">
    <w:name w:val="结束语 Char"/>
    <w:basedOn w:val="57"/>
    <w:link w:val="23"/>
    <w:autoRedefine/>
    <w:semiHidden/>
    <w:qFormat/>
    <w:uiPriority w:val="0"/>
    <w:rPr>
      <w:rFonts w:ascii="Times New Roman" w:hAnsi="Times New Roman"/>
      <w:kern w:val="2"/>
      <w:sz w:val="21"/>
      <w:szCs w:val="24"/>
    </w:rPr>
  </w:style>
  <w:style w:type="character" w:customStyle="1" w:styleId="121">
    <w:name w:val="HTML 地址 Char"/>
    <w:basedOn w:val="57"/>
    <w:link w:val="25"/>
    <w:autoRedefine/>
    <w:semiHidden/>
    <w:qFormat/>
    <w:uiPriority w:val="0"/>
    <w:rPr>
      <w:rFonts w:ascii="Times New Roman" w:hAnsi="Times New Roman"/>
      <w:i/>
      <w:iCs/>
      <w:kern w:val="2"/>
      <w:sz w:val="21"/>
      <w:szCs w:val="24"/>
    </w:rPr>
  </w:style>
  <w:style w:type="character" w:customStyle="1" w:styleId="122">
    <w:name w:val="日期 Char"/>
    <w:basedOn w:val="57"/>
    <w:link w:val="30"/>
    <w:autoRedefine/>
    <w:qFormat/>
    <w:uiPriority w:val="0"/>
    <w:rPr>
      <w:rFonts w:ascii="Times New Roman" w:hAnsi="Times New Roman"/>
      <w:kern w:val="2"/>
      <w:sz w:val="21"/>
    </w:rPr>
  </w:style>
  <w:style w:type="character" w:customStyle="1" w:styleId="123">
    <w:name w:val="正文文本缩进 2 Char"/>
    <w:basedOn w:val="57"/>
    <w:link w:val="31"/>
    <w:autoRedefine/>
    <w:semiHidden/>
    <w:qFormat/>
    <w:uiPriority w:val="0"/>
    <w:rPr>
      <w:rFonts w:ascii="Times New Roman" w:hAnsi="Times New Roman"/>
      <w:kern w:val="2"/>
      <w:sz w:val="21"/>
      <w:szCs w:val="24"/>
    </w:rPr>
  </w:style>
  <w:style w:type="character" w:customStyle="1" w:styleId="124">
    <w:name w:val="尾注文本 Char"/>
    <w:basedOn w:val="57"/>
    <w:link w:val="32"/>
    <w:autoRedefine/>
    <w:semiHidden/>
    <w:qFormat/>
    <w:uiPriority w:val="0"/>
    <w:rPr>
      <w:rFonts w:ascii="Times New Roman" w:hAnsi="Times New Roman"/>
      <w:kern w:val="2"/>
      <w:sz w:val="21"/>
      <w:szCs w:val="24"/>
    </w:rPr>
  </w:style>
  <w:style w:type="character" w:customStyle="1" w:styleId="125">
    <w:name w:val="签名 Char"/>
    <w:basedOn w:val="57"/>
    <w:link w:val="36"/>
    <w:autoRedefine/>
    <w:semiHidden/>
    <w:qFormat/>
    <w:uiPriority w:val="0"/>
    <w:rPr>
      <w:rFonts w:ascii="Times New Roman" w:hAnsi="Times New Roman"/>
      <w:kern w:val="2"/>
      <w:sz w:val="21"/>
      <w:szCs w:val="24"/>
    </w:rPr>
  </w:style>
  <w:style w:type="character" w:customStyle="1" w:styleId="126">
    <w:name w:val="脚注文本 Char"/>
    <w:basedOn w:val="57"/>
    <w:link w:val="41"/>
    <w:autoRedefine/>
    <w:semiHidden/>
    <w:qFormat/>
    <w:uiPriority w:val="0"/>
    <w:rPr>
      <w:rFonts w:ascii="Times New Roman" w:hAnsi="Times New Roman"/>
      <w:kern w:val="2"/>
      <w:sz w:val="18"/>
    </w:rPr>
  </w:style>
  <w:style w:type="character" w:customStyle="1" w:styleId="127">
    <w:name w:val="信息标题 Char"/>
    <w:basedOn w:val="57"/>
    <w:link w:val="45"/>
    <w:autoRedefine/>
    <w:semiHidden/>
    <w:qFormat/>
    <w:uiPriority w:val="0"/>
    <w:rPr>
      <w:rFonts w:ascii="Arial" w:hAnsi="Arial" w:cs="Arial"/>
      <w:kern w:val="2"/>
      <w:sz w:val="24"/>
      <w:szCs w:val="24"/>
      <w:shd w:val="pct20" w:color="auto" w:fill="auto"/>
    </w:rPr>
  </w:style>
  <w:style w:type="character" w:customStyle="1" w:styleId="128">
    <w:name w:val="HTML 预设格式 Char"/>
    <w:basedOn w:val="57"/>
    <w:link w:val="46"/>
    <w:autoRedefine/>
    <w:semiHidden/>
    <w:qFormat/>
    <w:uiPriority w:val="0"/>
    <w:rPr>
      <w:rFonts w:ascii="宋体" w:hAnsi="宋体" w:cs="宋体"/>
      <w:color w:val="000000"/>
      <w:sz w:val="24"/>
      <w:szCs w:val="24"/>
    </w:rPr>
  </w:style>
  <w:style w:type="character" w:customStyle="1" w:styleId="129">
    <w:name w:val="unnamed211"/>
    <w:autoRedefine/>
    <w:semiHidden/>
    <w:qFormat/>
    <w:uiPriority w:val="0"/>
    <w:rPr>
      <w:sz w:val="23"/>
      <w:szCs w:val="23"/>
    </w:rPr>
  </w:style>
  <w:style w:type="character" w:customStyle="1" w:styleId="130">
    <w:name w:val="ss1"/>
    <w:autoRedefine/>
    <w:semiHidden/>
    <w:qFormat/>
    <w:uiPriority w:val="0"/>
    <w:rPr>
      <w:rFonts w:hint="default" w:ascii="ˎ̥" w:hAnsi="ˎ̥"/>
      <w:color w:val="000000"/>
      <w:sz w:val="18"/>
      <w:szCs w:val="18"/>
      <w:u w:val="none"/>
    </w:rPr>
  </w:style>
  <w:style w:type="character" w:customStyle="1" w:styleId="131">
    <w:name w:val="f142"/>
    <w:autoRedefine/>
    <w:semiHidden/>
    <w:qFormat/>
    <w:uiPriority w:val="0"/>
    <w:rPr>
      <w:sz w:val="21"/>
      <w:szCs w:val="21"/>
    </w:rPr>
  </w:style>
  <w:style w:type="character" w:customStyle="1" w:styleId="132">
    <w:name w:val="f14b1"/>
    <w:autoRedefine/>
    <w:semiHidden/>
    <w:qFormat/>
    <w:uiPriority w:val="0"/>
    <w:rPr>
      <w:b/>
      <w:bCs/>
      <w:sz w:val="21"/>
      <w:szCs w:val="21"/>
    </w:rPr>
  </w:style>
  <w:style w:type="character" w:customStyle="1" w:styleId="133">
    <w:name w:val="ca-41"/>
    <w:autoRedefine/>
    <w:qFormat/>
    <w:uiPriority w:val="0"/>
    <w:rPr>
      <w:rFonts w:hint="eastAsia" w:ascii="黑体" w:eastAsia="黑体"/>
      <w:b/>
      <w:bCs/>
      <w:spacing w:val="-20"/>
      <w:sz w:val="30"/>
      <w:szCs w:val="30"/>
    </w:rPr>
  </w:style>
  <w:style w:type="character" w:customStyle="1" w:styleId="134">
    <w:name w:val="签名 Char1"/>
    <w:basedOn w:val="57"/>
    <w:autoRedefine/>
    <w:semiHidden/>
    <w:qFormat/>
    <w:uiPriority w:val="99"/>
    <w:rPr>
      <w:rFonts w:ascii="Times New Roman" w:hAnsi="Times New Roman" w:eastAsia="宋体" w:cs="Times New Roman"/>
      <w:szCs w:val="20"/>
    </w:rPr>
  </w:style>
  <w:style w:type="character" w:customStyle="1" w:styleId="135">
    <w:name w:val="正文文本缩进 2 Char1"/>
    <w:basedOn w:val="57"/>
    <w:autoRedefine/>
    <w:semiHidden/>
    <w:qFormat/>
    <w:uiPriority w:val="99"/>
    <w:rPr>
      <w:rFonts w:ascii="Times New Roman" w:hAnsi="Times New Roman" w:eastAsia="宋体" w:cs="Times New Roman"/>
      <w:szCs w:val="20"/>
    </w:rPr>
  </w:style>
  <w:style w:type="paragraph" w:customStyle="1" w:styleId="136">
    <w:name w:val="style93"/>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137">
    <w:name w:val="纯文本 Char1"/>
    <w:autoRedefine/>
    <w:qFormat/>
    <w:uiPriority w:val="0"/>
    <w:rPr>
      <w:rFonts w:ascii="宋体" w:hAnsi="Courier New" w:cs="Courier New"/>
      <w:kern w:val="2"/>
      <w:sz w:val="21"/>
      <w:szCs w:val="21"/>
    </w:rPr>
  </w:style>
  <w:style w:type="character" w:customStyle="1" w:styleId="138">
    <w:name w:val="Char Char23"/>
    <w:autoRedefine/>
    <w:semiHidden/>
    <w:qFormat/>
    <w:uiPriority w:val="0"/>
    <w:rPr>
      <w:rFonts w:ascii="Times New Roman" w:hAnsi="Times New Roman" w:eastAsia="宋体" w:cs="Times New Roman"/>
      <w:b/>
      <w:bCs/>
      <w:szCs w:val="24"/>
    </w:rPr>
  </w:style>
  <w:style w:type="paragraph" w:customStyle="1" w:styleId="139">
    <w:name w:val="z-窗体顶端1"/>
    <w:basedOn w:val="1"/>
    <w:next w:val="1"/>
    <w:link w:val="140"/>
    <w:autoRedefine/>
    <w:unhideWhenUsed/>
    <w:qFormat/>
    <w:uiPriority w:val="99"/>
    <w:pPr>
      <w:widowControl/>
      <w:pBdr>
        <w:bottom w:val="single" w:color="auto" w:sz="6" w:space="1"/>
      </w:pBdr>
      <w:jc w:val="center"/>
    </w:pPr>
    <w:rPr>
      <w:rFonts w:ascii="Arial" w:hAnsi="Arial"/>
      <w:vanish/>
      <w:kern w:val="0"/>
      <w:sz w:val="16"/>
      <w:szCs w:val="16"/>
    </w:rPr>
  </w:style>
  <w:style w:type="character" w:customStyle="1" w:styleId="140">
    <w:name w:val="z-窗体顶端 Char"/>
    <w:basedOn w:val="57"/>
    <w:link w:val="139"/>
    <w:autoRedefine/>
    <w:qFormat/>
    <w:uiPriority w:val="99"/>
    <w:rPr>
      <w:rFonts w:ascii="Arial" w:hAnsi="Arial"/>
      <w:vanish/>
      <w:sz w:val="16"/>
      <w:szCs w:val="16"/>
    </w:rPr>
  </w:style>
  <w:style w:type="paragraph" w:customStyle="1" w:styleId="141">
    <w:name w:val="z-窗体底端1"/>
    <w:basedOn w:val="1"/>
    <w:next w:val="1"/>
    <w:link w:val="142"/>
    <w:autoRedefine/>
    <w:unhideWhenUsed/>
    <w:qFormat/>
    <w:uiPriority w:val="99"/>
    <w:pPr>
      <w:widowControl/>
      <w:pBdr>
        <w:top w:val="single" w:color="auto" w:sz="6" w:space="1"/>
      </w:pBdr>
      <w:jc w:val="center"/>
    </w:pPr>
    <w:rPr>
      <w:rFonts w:ascii="Arial" w:hAnsi="Arial"/>
      <w:vanish/>
      <w:kern w:val="0"/>
      <w:sz w:val="16"/>
      <w:szCs w:val="16"/>
    </w:rPr>
  </w:style>
  <w:style w:type="character" w:customStyle="1" w:styleId="142">
    <w:name w:val="z-窗体底端 Char"/>
    <w:basedOn w:val="57"/>
    <w:link w:val="141"/>
    <w:autoRedefine/>
    <w:qFormat/>
    <w:uiPriority w:val="99"/>
    <w:rPr>
      <w:rFonts w:ascii="Arial" w:hAnsi="Arial"/>
      <w:vanish/>
      <w:sz w:val="16"/>
      <w:szCs w:val="16"/>
    </w:rPr>
  </w:style>
  <w:style w:type="paragraph" w:customStyle="1" w:styleId="143">
    <w:name w:val="_Style 10"/>
    <w:autoRedefine/>
    <w:qFormat/>
    <w:uiPriority w:val="0"/>
    <w:rPr>
      <w:rFonts w:ascii="Calibri" w:hAnsi="Calibri" w:eastAsia="宋体" w:cs="Times New Roman"/>
      <w:kern w:val="2"/>
      <w:sz w:val="21"/>
      <w:szCs w:val="22"/>
      <w:lang w:val="en-US" w:eastAsia="zh-CN" w:bidi="ar-SA"/>
    </w:rPr>
  </w:style>
  <w:style w:type="paragraph" w:customStyle="1" w:styleId="144">
    <w:name w:val="列出段落1"/>
    <w:basedOn w:val="1"/>
    <w:autoRedefine/>
    <w:qFormat/>
    <w:uiPriority w:val="34"/>
    <w:pPr>
      <w:ind w:firstLine="420" w:firstLineChars="200"/>
    </w:pPr>
  </w:style>
  <w:style w:type="paragraph" w:customStyle="1" w:styleId="145">
    <w:name w:val="列出段落2"/>
    <w:basedOn w:val="146"/>
    <w:autoRedefine/>
    <w:qFormat/>
    <w:uiPriority w:val="34"/>
    <w:pPr>
      <w:ind w:firstLine="420" w:firstLineChars="200"/>
    </w:pPr>
  </w:style>
  <w:style w:type="paragraph" w:customStyle="1" w:styleId="146">
    <w:name w:val="正文2"/>
    <w:autoRedefine/>
    <w:qFormat/>
    <w:uiPriority w:val="0"/>
    <w:pPr>
      <w:widowControl w:val="0"/>
      <w:jc w:val="both"/>
    </w:pPr>
    <w:rPr>
      <w:rFonts w:ascii="Calibri" w:hAnsi="Calibri" w:eastAsia="宋体" w:cs="Times New Roman"/>
      <w:kern w:val="2"/>
      <w:sz w:val="21"/>
      <w:lang w:val="en-US" w:eastAsia="zh-CN" w:bidi="ar-SA"/>
    </w:rPr>
  </w:style>
  <w:style w:type="paragraph" w:customStyle="1" w:styleId="147">
    <w:name w:val="Normal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Normal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fontstyle21"/>
    <w:basedOn w:val="57"/>
    <w:autoRedefine/>
    <w:qFormat/>
    <w:uiPriority w:val="0"/>
    <w:rPr>
      <w:rFonts w:ascii="FZXBSJW--GB1-0" w:hAnsi="FZXBSJW--GB1-0" w:eastAsia="FZXBSJW--GB1-0" w:cs="FZXBSJW--GB1-0"/>
      <w:color w:val="000000"/>
      <w:sz w:val="44"/>
      <w:szCs w:val="44"/>
    </w:rPr>
  </w:style>
  <w:style w:type="character" w:customStyle="1" w:styleId="150">
    <w:name w:val="fontstyle31"/>
    <w:basedOn w:val="57"/>
    <w:autoRedefine/>
    <w:qFormat/>
    <w:uiPriority w:val="0"/>
    <w:rPr>
      <w:rFonts w:ascii="仿宋_GB2312" w:hAnsi="仿宋_GB2312" w:eastAsia="仿宋_GB2312" w:cs="仿宋_GB2312"/>
      <w:color w:val="000000"/>
      <w:sz w:val="32"/>
      <w:szCs w:val="32"/>
    </w:rPr>
  </w:style>
  <w:style w:type="paragraph" w:customStyle="1" w:styleId="151">
    <w:name w:val="页脚2"/>
    <w:basedOn w:val="146"/>
    <w:autoRedefine/>
    <w:unhideWhenUsed/>
    <w:qFormat/>
    <w:uiPriority w:val="0"/>
    <w:pPr>
      <w:tabs>
        <w:tab w:val="center" w:pos="4153"/>
        <w:tab w:val="right" w:pos="8306"/>
      </w:tabs>
      <w:snapToGrid w:val="0"/>
      <w:jc w:val="left"/>
    </w:pPr>
    <w:rPr>
      <w:sz w:val="18"/>
      <w:szCs w:val="18"/>
    </w:rPr>
  </w:style>
  <w:style w:type="character" w:customStyle="1" w:styleId="152">
    <w:name w:val="纯文本 Char2"/>
    <w:autoRedefine/>
    <w:qFormat/>
    <w:uiPriority w:val="0"/>
    <w:rPr>
      <w:rFonts w:ascii="宋体" w:hAnsi="Courier New" w:eastAsia="宋体" w:cs="Courier New"/>
      <w:sz w:val="21"/>
      <w:szCs w:val="21"/>
    </w:rPr>
  </w:style>
  <w:style w:type="character" w:customStyle="1" w:styleId="153">
    <w:name w:val="fontstrikethrough"/>
    <w:basedOn w:val="57"/>
    <w:autoRedefine/>
    <w:qFormat/>
    <w:uiPriority w:val="0"/>
    <w:rPr>
      <w:strike/>
    </w:rPr>
  </w:style>
  <w:style w:type="character" w:customStyle="1" w:styleId="154">
    <w:name w:val="副标题 Char"/>
    <w:link w:val="39"/>
    <w:autoRedefine/>
    <w:qFormat/>
    <w:uiPriority w:val="11"/>
    <w:rPr>
      <w:rFonts w:ascii="Cambria" w:hAnsi="Cambria"/>
      <w:b/>
      <w:bCs/>
      <w:kern w:val="28"/>
      <w:sz w:val="32"/>
      <w:szCs w:val="32"/>
    </w:rPr>
  </w:style>
  <w:style w:type="character" w:customStyle="1" w:styleId="155">
    <w:name w:val="fontborder"/>
    <w:basedOn w:val="57"/>
    <w:autoRedefine/>
    <w:qFormat/>
    <w:uiPriority w:val="0"/>
    <w:rPr>
      <w:bdr w:val="single" w:color="000000" w:sz="6" w:space="0"/>
    </w:rPr>
  </w:style>
  <w:style w:type="character" w:customStyle="1" w:styleId="156">
    <w:name w:val="标题 Char1"/>
    <w:autoRedefine/>
    <w:qFormat/>
    <w:uiPriority w:val="10"/>
    <w:rPr>
      <w:rFonts w:ascii="Cambria" w:hAnsi="Cambria" w:cs="Times New Roman"/>
      <w:b/>
      <w:bCs/>
      <w:kern w:val="2"/>
      <w:sz w:val="32"/>
      <w:szCs w:val="32"/>
    </w:rPr>
  </w:style>
  <w:style w:type="character" w:customStyle="1" w:styleId="157">
    <w:name w:val="标题 Char"/>
    <w:link w:val="49"/>
    <w:autoRedefine/>
    <w:qFormat/>
    <w:uiPriority w:val="0"/>
    <w:rPr>
      <w:rFonts w:ascii="Cambria" w:hAnsi="Cambria"/>
      <w:b/>
      <w:bCs/>
      <w:kern w:val="2"/>
      <w:sz w:val="32"/>
      <w:szCs w:val="32"/>
    </w:rPr>
  </w:style>
  <w:style w:type="character" w:customStyle="1" w:styleId="158">
    <w:name w:val="标题 Char2"/>
    <w:basedOn w:val="57"/>
    <w:link w:val="49"/>
    <w:autoRedefine/>
    <w:qFormat/>
    <w:uiPriority w:val="10"/>
    <w:rPr>
      <w:rFonts w:asciiTheme="majorHAnsi" w:hAnsiTheme="majorHAnsi" w:cstheme="majorBidi"/>
      <w:b/>
      <w:bCs/>
      <w:kern w:val="2"/>
      <w:sz w:val="32"/>
      <w:szCs w:val="32"/>
    </w:rPr>
  </w:style>
  <w:style w:type="character" w:customStyle="1" w:styleId="159">
    <w:name w:val="副标题 Char1"/>
    <w:basedOn w:val="57"/>
    <w:link w:val="39"/>
    <w:autoRedefine/>
    <w:qFormat/>
    <w:uiPriority w:val="11"/>
    <w:rPr>
      <w:rFonts w:asciiTheme="majorHAnsi" w:hAnsiTheme="majorHAnsi" w:cstheme="majorBidi"/>
      <w:b/>
      <w:bCs/>
      <w:kern w:val="28"/>
      <w:sz w:val="32"/>
      <w:szCs w:val="32"/>
    </w:rPr>
  </w:style>
  <w:style w:type="paragraph" w:customStyle="1" w:styleId="160">
    <w:name w:val="Heading 2_1"/>
    <w:basedOn w:val="147"/>
    <w:next w:val="147"/>
    <w:autoRedefine/>
    <w:qFormat/>
    <w:uiPriority w:val="0"/>
    <w:pPr>
      <w:spacing w:before="360" w:after="120" w:line="360" w:lineRule="auto"/>
      <w:outlineLvl w:val="1"/>
    </w:pPr>
    <w:rPr>
      <w:rFonts w:ascii="Cambria" w:hAnsi="Cambria" w:eastAsia="黑体"/>
      <w:b/>
      <w:bCs/>
      <w:sz w:val="32"/>
      <w:szCs w:val="32"/>
    </w:rPr>
  </w:style>
  <w:style w:type="paragraph" w:customStyle="1" w:styleId="161">
    <w:name w:val="Normal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常用（宋体，5号，1.25行距）"/>
    <w:basedOn w:val="1"/>
    <w:autoRedefine/>
    <w:qFormat/>
    <w:uiPriority w:val="0"/>
    <w:pPr>
      <w:widowControl/>
      <w:spacing w:line="300" w:lineRule="auto"/>
      <w:jc w:val="left"/>
    </w:pPr>
    <w:rPr>
      <w:kern w:val="0"/>
      <w:sz w:val="24"/>
      <w:szCs w:val="21"/>
      <w:lang w:eastAsia="en-US" w:bidi="en-US"/>
    </w:rPr>
  </w:style>
  <w:style w:type="paragraph" w:customStyle="1" w:styleId="163">
    <w:name w:val="Normal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Plain Text_0"/>
    <w:basedOn w:val="161"/>
    <w:autoRedefine/>
    <w:qFormat/>
    <w:uiPriority w:val="0"/>
    <w:rPr>
      <w:rFonts w:ascii="宋体" w:hAnsi="Courier New" w:cs="Courier New"/>
      <w:szCs w:val="21"/>
    </w:rPr>
  </w:style>
  <w:style w:type="character" w:customStyle="1" w:styleId="165">
    <w:name w:val="_Style 1"/>
    <w:autoRedefine/>
    <w:qFormat/>
    <w:uiPriority w:val="19"/>
    <w:rPr>
      <w:rFonts w:eastAsia="宋体"/>
      <w:iCs/>
      <w:color w:val="404040"/>
      <w:sz w:val="30"/>
    </w:rPr>
  </w:style>
  <w:style w:type="paragraph" w:customStyle="1" w:styleId="166">
    <w:name w:val="条款标题"/>
    <w:basedOn w:val="4"/>
    <w:autoRedefine/>
    <w:qFormat/>
    <w:uiPriority w:val="0"/>
    <w:pPr>
      <w:tabs>
        <w:tab w:val="clear" w:pos="720"/>
      </w:tabs>
      <w:spacing w:before="151" w:beforeLines="50" w:beforeAutospacing="0" w:after="151" w:afterLines="50" w:afterAutospacing="0"/>
      <w:ind w:firstLine="422" w:firstLineChars="200"/>
    </w:pPr>
    <w:rPr>
      <w:rFonts w:asciiTheme="minorEastAsia" w:hAnsiTheme="minorEastAsia" w:eastAsiaTheme="minorEastAsia"/>
      <w:bCs w:val="0"/>
      <w:sz w:val="21"/>
      <w:szCs w:val="21"/>
    </w:rPr>
  </w:style>
  <w:style w:type="paragraph" w:customStyle="1" w:styleId="167">
    <w:name w:val="列出段落"/>
    <w:basedOn w:val="1"/>
    <w:autoRedefine/>
    <w:qFormat/>
    <w:uiPriority w:val="34"/>
    <w:pPr>
      <w:ind w:firstLine="420" w:firstLineChars="200"/>
    </w:pPr>
  </w:style>
  <w:style w:type="paragraph" w:customStyle="1" w:styleId="168">
    <w:name w:val="样式1"/>
    <w:basedOn w:val="35"/>
    <w:autoRedefine/>
    <w:qFormat/>
    <w:uiPriority w:val="0"/>
    <w:pPr>
      <w:pBdr>
        <w:bottom w:val="thinThickSmallGap" w:color="auto" w:sz="24" w:space="1"/>
      </w:pBdr>
    </w:pPr>
    <w:rPr>
      <w:rFonts w:ascii="黑体" w:hAnsi="Times New Roman" w:eastAsia="黑体"/>
      <w:b/>
      <w:sz w:val="21"/>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203A5-188F-4098-9791-FC31F269099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17784</Words>
  <Characters>18648</Characters>
  <Lines>137</Lines>
  <Paragraphs>38</Paragraphs>
  <TotalTime>1</TotalTime>
  <ScaleCrop>false</ScaleCrop>
  <LinksUpToDate>false</LinksUpToDate>
  <CharactersWithSpaces>20253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2023-05-24T09:28:00Z</dcterms:created>
  <dc:creator>微软用户</dc:creator>
  <cp:lastModifiedBy>戴刚勇1</cp:lastModifiedBy>
  <cp:lastPrinted>2019-11-20T08:55:00Z</cp:lastPrinted>
  <dcterms:modified xsi:type="dcterms:W3CDTF">2024-04-24T01:26:32Z</dcterms:modified>
  <dc:title>工程编号：</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897F4653DFD54B8A81545F5DF1A25B4F_13</vt:lpwstr>
  </property>
</Properties>
</file>