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Pr>
    </w:p>
    <w:p/>
    <w:p>
      <w:pPr>
        <w:jc w:val="center"/>
        <w:rPr>
          <w:rFonts w:ascii="宋体" w:hAnsi="宋体"/>
          <w:b/>
          <w:bCs/>
          <w:sz w:val="44"/>
        </w:rPr>
      </w:pPr>
      <w:r>
        <w:rPr>
          <w:rFonts w:hint="eastAsia" w:ascii="宋体" w:hAnsi="宋体"/>
          <w:b/>
          <w:bCs/>
          <w:sz w:val="44"/>
        </w:rPr>
        <w:t>深圳市龙岗区第七人民医院</w:t>
      </w:r>
    </w:p>
    <w:p>
      <w:pPr>
        <w:jc w:val="center"/>
        <w:rPr>
          <w:rFonts w:ascii="宋体" w:hAnsi="宋体"/>
          <w:b/>
          <w:bCs/>
          <w:sz w:val="44"/>
        </w:rPr>
      </w:pPr>
      <w:r>
        <w:rPr>
          <w:rFonts w:hint="eastAsia" w:ascii="宋体" w:hAnsi="宋体"/>
          <w:b/>
          <w:bCs/>
          <w:sz w:val="44"/>
        </w:rPr>
        <w:t>院内采购标书</w:t>
      </w:r>
    </w:p>
    <w:p>
      <w:pPr>
        <w:jc w:val="center"/>
        <w:rPr>
          <w:rFonts w:ascii="宋体" w:hAnsi="宋体"/>
          <w:b/>
          <w:bCs/>
          <w:sz w:val="44"/>
        </w:rPr>
      </w:pPr>
    </w:p>
    <w:p>
      <w:pPr>
        <w:jc w:val="center"/>
        <w:rPr>
          <w:rFonts w:ascii="宋体" w:hAnsi="宋体"/>
          <w:b/>
          <w:bCs/>
          <w:sz w:val="44"/>
        </w:rPr>
      </w:pPr>
      <w:r>
        <w:rPr>
          <w:rFonts w:hint="eastAsia" w:ascii="宋体" w:hAnsi="宋体"/>
          <w:b/>
          <w:bCs/>
          <w:sz w:val="44"/>
        </w:rPr>
        <w:t>招标文件信息</w:t>
      </w:r>
    </w:p>
    <w:p>
      <w:pPr>
        <w:jc w:val="center"/>
        <w:rPr>
          <w:rFonts w:ascii="宋体" w:hAnsi="宋体"/>
          <w:b/>
          <w:bCs/>
          <w:sz w:val="44"/>
        </w:rPr>
      </w:pPr>
    </w:p>
    <w:p>
      <w:pPr>
        <w:pStyle w:val="27"/>
        <w:spacing w:line="460" w:lineRule="exact"/>
        <w:ind w:left="1807" w:hanging="1807" w:hangingChars="5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6"/>
          <w:szCs w:val="36"/>
        </w:rPr>
        <w:t>采购项目：</w:t>
      </w:r>
      <w:r>
        <w:rPr>
          <w:rFonts w:hint="eastAsia" w:ascii="仿宋_GB2312" w:hAnsi="仿宋_GB2312" w:eastAsia="仿宋_GB2312" w:cs="仿宋_GB2312"/>
          <w:kern w:val="2"/>
          <w:sz w:val="36"/>
          <w:szCs w:val="36"/>
          <w:lang w:val="en-US" w:eastAsia="zh-CN" w:bidi="ar-SA"/>
        </w:rPr>
        <w:t>深圳市龙岗区第七人民医院医用污水处理设施保养维护、运行管理服务</w:t>
      </w:r>
    </w:p>
    <w:p>
      <w:pPr>
        <w:snapToGrid w:val="0"/>
        <w:spacing w:line="360" w:lineRule="auto"/>
        <w:rPr>
          <w:rFonts w:ascii="仿宋_GB2312" w:hAnsi="仿宋_GB2312" w:eastAsia="仿宋_GB2312" w:cs="仿宋_GB2312"/>
          <w:sz w:val="36"/>
          <w:szCs w:val="36"/>
        </w:rPr>
      </w:pPr>
      <w:r>
        <w:rPr>
          <w:rFonts w:hint="eastAsia" w:ascii="仿宋_GB2312" w:hAnsi="仿宋_GB2312" w:eastAsia="仿宋_GB2312" w:cs="仿宋_GB2312"/>
          <w:b/>
          <w:bCs/>
          <w:sz w:val="36"/>
          <w:szCs w:val="36"/>
        </w:rPr>
        <w:t>采购项目编号：</w:t>
      </w:r>
      <w:r>
        <w:rPr>
          <w:rFonts w:hint="eastAsia" w:ascii="仿宋_GB2312" w:hAnsi="仿宋_GB2312" w:eastAsia="仿宋_GB2312" w:cs="仿宋_GB2312"/>
          <w:sz w:val="36"/>
          <w:szCs w:val="36"/>
        </w:rPr>
        <w:t>深龙七医采[LGQY202</w:t>
      </w:r>
      <w:r>
        <w:rPr>
          <w:rFonts w:hint="eastAsia" w:ascii="仿宋_GB2312" w:hAnsi="仿宋_GB2312" w:eastAsia="仿宋_GB2312" w:cs="仿宋_GB2312"/>
          <w:sz w:val="36"/>
          <w:szCs w:val="36"/>
          <w:lang w:val="en-US" w:eastAsia="zh-CN"/>
        </w:rPr>
        <w:t>4</w:t>
      </w:r>
      <w:r>
        <w:rPr>
          <w:rFonts w:hint="eastAsia" w:ascii="仿宋_GB2312" w:hAnsi="仿宋_GB2312" w:eastAsia="仿宋_GB2312" w:cs="仿宋_GB2312"/>
          <w:sz w:val="36"/>
          <w:szCs w:val="36"/>
        </w:rPr>
        <w:t>ZW</w:t>
      </w:r>
      <w:r>
        <w:rPr>
          <w:rFonts w:hint="eastAsia" w:ascii="仿宋_GB2312" w:hAnsi="仿宋_GB2312" w:eastAsia="仿宋_GB2312" w:cs="仿宋_GB2312"/>
          <w:sz w:val="36"/>
          <w:szCs w:val="36"/>
          <w:lang w:val="en-US" w:eastAsia="zh-CN"/>
        </w:rPr>
        <w:t>006</w:t>
      </w:r>
      <w:r>
        <w:rPr>
          <w:rFonts w:hint="eastAsia" w:ascii="仿宋_GB2312" w:hAnsi="仿宋_GB2312" w:eastAsia="仿宋_GB2312" w:cs="仿宋_GB2312"/>
          <w:sz w:val="36"/>
          <w:szCs w:val="36"/>
        </w:rPr>
        <w:t>]</w:t>
      </w:r>
    </w:p>
    <w:p>
      <w:pPr>
        <w:snapToGrid w:val="0"/>
        <w:spacing w:line="360" w:lineRule="auto"/>
        <w:rPr>
          <w:rFonts w:ascii="仿宋_GB2312" w:hAnsi="仿宋_GB2312" w:eastAsia="仿宋_GB2312" w:cs="仿宋_GB2312"/>
          <w:sz w:val="36"/>
          <w:szCs w:val="36"/>
        </w:rPr>
      </w:pPr>
      <w:r>
        <w:rPr>
          <w:rFonts w:hint="eastAsia" w:ascii="仿宋_GB2312" w:hAnsi="仿宋_GB2312" w:eastAsia="仿宋_GB2312" w:cs="仿宋_GB2312"/>
          <w:b/>
          <w:bCs/>
          <w:sz w:val="36"/>
          <w:szCs w:val="36"/>
        </w:rPr>
        <w:t>项目类型：</w:t>
      </w:r>
      <w:r>
        <w:rPr>
          <w:rFonts w:hint="eastAsia" w:ascii="仿宋_GB2312" w:hAnsi="仿宋_GB2312" w:eastAsia="仿宋_GB2312" w:cs="仿宋_GB2312"/>
          <w:sz w:val="36"/>
          <w:szCs w:val="36"/>
          <w:lang w:val="en-US" w:eastAsia="zh-CN"/>
        </w:rPr>
        <w:t>服务</w:t>
      </w:r>
      <w:r>
        <w:rPr>
          <w:rFonts w:hint="eastAsia" w:ascii="仿宋_GB2312" w:hAnsi="仿宋_GB2312" w:eastAsia="仿宋_GB2312" w:cs="仿宋_GB2312"/>
          <w:sz w:val="36"/>
          <w:szCs w:val="36"/>
        </w:rPr>
        <w:t>类</w:t>
      </w:r>
    </w:p>
    <w:p>
      <w:pPr>
        <w:snapToGrid w:val="0"/>
        <w:spacing w:line="360" w:lineRule="auto"/>
        <w:rPr>
          <w:rFonts w:eastAsia="仿宋_GB2312"/>
        </w:rPr>
      </w:pPr>
      <w:r>
        <w:rPr>
          <w:rFonts w:hint="eastAsia" w:ascii="仿宋_GB2312" w:hAnsi="仿宋_GB2312" w:eastAsia="仿宋_GB2312" w:cs="仿宋_GB2312"/>
          <w:b/>
          <w:bCs/>
          <w:sz w:val="36"/>
          <w:szCs w:val="36"/>
        </w:rPr>
        <w:t>采购数量：</w:t>
      </w:r>
      <w:r>
        <w:rPr>
          <w:rFonts w:hint="eastAsia" w:ascii="仿宋_GB2312" w:hAnsi="仿宋_GB2312" w:eastAsia="仿宋_GB2312" w:cs="仿宋_GB2312"/>
          <w:sz w:val="36"/>
          <w:szCs w:val="36"/>
        </w:rPr>
        <w:t>1项</w:t>
      </w:r>
    </w:p>
    <w:p>
      <w:pPr>
        <w:snapToGrid w:val="0"/>
        <w:spacing w:line="360" w:lineRule="auto"/>
        <w:jc w:val="left"/>
        <w:rPr>
          <w:rFonts w:hint="eastAsia" w:ascii="仿宋_GB2312" w:hAnsi="仿宋_GB2312" w:eastAsia="仿宋_GB2312" w:cs="仿宋_GB2312"/>
          <w:sz w:val="36"/>
          <w:szCs w:val="36"/>
        </w:rPr>
      </w:pPr>
      <w:r>
        <w:rPr>
          <w:rFonts w:hint="eastAsia" w:ascii="仿宋_GB2312" w:hAnsi="仿宋_GB2312" w:eastAsia="仿宋_GB2312" w:cs="仿宋_GB2312"/>
          <w:b/>
          <w:bCs/>
          <w:sz w:val="36"/>
          <w:szCs w:val="36"/>
        </w:rPr>
        <w:t>预算总金额：</w:t>
      </w:r>
      <w:r>
        <w:rPr>
          <w:rFonts w:hint="eastAsia" w:ascii="仿宋_GB2312" w:hAnsi="仿宋_GB2312" w:eastAsia="仿宋_GB2312" w:cs="仿宋_GB2312"/>
          <w:color w:val="auto"/>
          <w:sz w:val="32"/>
          <w:szCs w:val="32"/>
          <w:lang w:val="en-US" w:eastAsia="zh-CN"/>
        </w:rPr>
        <w:t>143788.04元</w:t>
      </w:r>
    </w:p>
    <w:p>
      <w:pPr>
        <w:snapToGrid w:val="0"/>
        <w:spacing w:line="360" w:lineRule="auto"/>
        <w:rPr>
          <w:rFonts w:ascii="仿宋_GB2312" w:hAnsi="仿宋_GB2312" w:eastAsia="仿宋_GB2312" w:cs="仿宋_GB2312"/>
          <w:sz w:val="36"/>
          <w:szCs w:val="36"/>
        </w:rPr>
      </w:pPr>
      <w:r>
        <w:rPr>
          <w:rFonts w:hint="eastAsia" w:ascii="仿宋_GB2312" w:hAnsi="仿宋_GB2312" w:eastAsia="仿宋_GB2312" w:cs="仿宋_GB2312"/>
          <w:b/>
          <w:bCs/>
          <w:sz w:val="36"/>
          <w:szCs w:val="36"/>
        </w:rPr>
        <w:t>采购方式：</w:t>
      </w:r>
      <w:r>
        <w:rPr>
          <w:rFonts w:hint="eastAsia" w:ascii="仿宋_GB2312" w:hAnsi="仿宋_GB2312" w:eastAsia="仿宋_GB2312" w:cs="仿宋_GB2312"/>
          <w:sz w:val="36"/>
          <w:szCs w:val="36"/>
        </w:rPr>
        <w:t>院内公开采购</w:t>
      </w:r>
    </w:p>
    <w:p>
      <w:pPr>
        <w:snapToGrid w:val="0"/>
        <w:spacing w:line="360" w:lineRule="auto"/>
        <w:rPr>
          <w:rFonts w:ascii="仿宋_GB2312" w:hAnsi="仿宋_GB2312" w:eastAsia="仿宋_GB2312" w:cs="仿宋_GB2312"/>
          <w:sz w:val="36"/>
          <w:szCs w:val="36"/>
        </w:rPr>
      </w:pPr>
      <w:r>
        <w:rPr>
          <w:rFonts w:hint="eastAsia" w:ascii="仿宋_GB2312" w:hAnsi="仿宋_GB2312" w:eastAsia="仿宋_GB2312" w:cs="仿宋_GB2312"/>
          <w:b/>
          <w:bCs/>
          <w:sz w:val="36"/>
          <w:szCs w:val="36"/>
        </w:rPr>
        <w:t>评标方法：</w:t>
      </w:r>
      <w:r>
        <w:rPr>
          <w:rFonts w:hint="eastAsia" w:ascii="仿宋_GB2312" w:hAnsi="仿宋_GB2312" w:eastAsia="仿宋_GB2312" w:cs="仿宋_GB2312"/>
          <w:sz w:val="36"/>
          <w:szCs w:val="36"/>
        </w:rPr>
        <w:t>综合评分法</w:t>
      </w:r>
    </w:p>
    <w:p>
      <w:pPr>
        <w:snapToGrid w:val="0"/>
        <w:spacing w:line="360" w:lineRule="auto"/>
        <w:rPr>
          <w:rFonts w:ascii="仿宋_GB2312" w:hAnsi="仿宋_GB2312" w:eastAsia="仿宋_GB2312" w:cs="仿宋_GB2312"/>
          <w:sz w:val="36"/>
          <w:szCs w:val="36"/>
        </w:rPr>
      </w:pPr>
      <w:r>
        <w:rPr>
          <w:rFonts w:hint="eastAsia" w:ascii="仿宋_GB2312" w:hAnsi="仿宋_GB2312" w:eastAsia="仿宋_GB2312" w:cs="仿宋_GB2312"/>
          <w:b/>
          <w:bCs/>
          <w:sz w:val="36"/>
          <w:szCs w:val="36"/>
        </w:rPr>
        <w:t>投标货币</w:t>
      </w:r>
      <w:r>
        <w:rPr>
          <w:rFonts w:hint="eastAsia" w:ascii="仿宋_GB2312" w:hAnsi="仿宋_GB2312" w:eastAsia="仿宋_GB2312" w:cs="仿宋_GB2312"/>
          <w:sz w:val="36"/>
          <w:szCs w:val="36"/>
        </w:rPr>
        <w:t>：　人民币</w:t>
      </w:r>
    </w:p>
    <w:p>
      <w:pPr>
        <w:pStyle w:val="11"/>
        <w:rPr>
          <w:rFonts w:hint="default"/>
        </w:rPr>
      </w:pPr>
    </w:p>
    <w:p>
      <w:pPr>
        <w:pStyle w:val="11"/>
        <w:rPr>
          <w:rFonts w:hint="default"/>
          <w:szCs w:val="20"/>
        </w:rPr>
      </w:pPr>
    </w:p>
    <w:p>
      <w:pPr>
        <w:pStyle w:val="6"/>
      </w:pPr>
    </w:p>
    <w:p/>
    <w:p>
      <w:pPr>
        <w:pStyle w:val="4"/>
      </w:pPr>
    </w:p>
    <w:p/>
    <w:p>
      <w:pPr>
        <w:pStyle w:val="4"/>
        <w:ind w:firstLine="1920" w:firstLineChars="600"/>
        <w:rPr>
          <w:rFonts w:hint="default" w:cs="宋体"/>
          <w:sz w:val="40"/>
          <w:szCs w:val="40"/>
        </w:rPr>
      </w:pPr>
      <w:r>
        <w:rPr>
          <w:rFonts w:ascii="仿宋_GB2312" w:hAnsi="仿宋_GB2312" w:eastAsia="仿宋_GB2312" w:cs="仿宋_GB2312"/>
          <w:sz w:val="32"/>
          <w:szCs w:val="32"/>
        </w:rPr>
        <w:t>日期：     年    月    日</w:t>
      </w:r>
    </w:p>
    <w:p>
      <w:pPr>
        <w:spacing w:line="360" w:lineRule="auto"/>
        <w:rPr>
          <w:rFonts w:ascii="宋体" w:hAnsi="宋体" w:cs="宋体"/>
          <w:b/>
          <w:bCs/>
          <w:sz w:val="40"/>
          <w:szCs w:val="40"/>
        </w:rPr>
      </w:pPr>
    </w:p>
    <w:p>
      <w:pPr>
        <w:spacing w:line="360" w:lineRule="auto"/>
        <w:jc w:val="both"/>
        <w:rPr>
          <w:rFonts w:hint="eastAsia" w:ascii="宋体" w:hAnsi="宋体" w:cs="宋体"/>
          <w:b/>
          <w:bCs/>
          <w:sz w:val="40"/>
          <w:szCs w:val="40"/>
        </w:rPr>
      </w:pPr>
    </w:p>
    <w:p>
      <w:pPr>
        <w:spacing w:line="360" w:lineRule="auto"/>
        <w:jc w:val="center"/>
        <w:rPr>
          <w:rFonts w:ascii="仿宋_GB2312" w:hAnsi="仿宋_GB2312" w:eastAsia="仿宋_GB2312" w:cs="仿宋_GB2312"/>
          <w:b/>
          <w:bCs/>
          <w:sz w:val="36"/>
          <w:szCs w:val="36"/>
        </w:rPr>
      </w:pPr>
      <w:r>
        <w:rPr>
          <w:rFonts w:hint="eastAsia" w:ascii="宋体" w:hAnsi="宋体" w:cs="宋体"/>
          <w:b/>
          <w:bCs/>
          <w:sz w:val="40"/>
          <w:szCs w:val="40"/>
        </w:rPr>
        <w:t>第一章</w:t>
      </w:r>
    </w:p>
    <w:p>
      <w:pPr>
        <w:pStyle w:val="27"/>
        <w:spacing w:line="460" w:lineRule="exact"/>
        <w:jc w:val="center"/>
        <w:rPr>
          <w:rFonts w:hint="eastAsia" w:ascii="宋体" w:hAnsi="宋体" w:eastAsia="宋体"/>
          <w:sz w:val="40"/>
          <w:szCs w:val="40"/>
          <w:lang w:val="en-US" w:eastAsia="zh-CN"/>
        </w:rPr>
      </w:pPr>
      <w:r>
        <w:rPr>
          <w:rFonts w:hint="eastAsia" w:ascii="宋体" w:hAnsi="宋体"/>
          <w:sz w:val="40"/>
          <w:szCs w:val="40"/>
        </w:rPr>
        <w:t>深圳市龙岗区第七</w:t>
      </w:r>
      <w:r>
        <w:rPr>
          <w:rFonts w:hint="eastAsia" w:ascii="宋体" w:hAnsi="宋体" w:eastAsia="宋体"/>
          <w:sz w:val="40"/>
          <w:szCs w:val="40"/>
        </w:rPr>
        <w:t>人民医院</w:t>
      </w:r>
      <w:r>
        <w:rPr>
          <w:rFonts w:hint="eastAsia" w:ascii="宋体" w:hAnsi="宋体" w:eastAsia="宋体"/>
          <w:sz w:val="40"/>
          <w:szCs w:val="40"/>
          <w:lang w:val="en-US" w:eastAsia="zh-CN"/>
        </w:rPr>
        <w:t>关于医用污水处理</w:t>
      </w:r>
    </w:p>
    <w:p>
      <w:pPr>
        <w:pStyle w:val="27"/>
        <w:spacing w:line="460" w:lineRule="exact"/>
        <w:jc w:val="center"/>
        <w:rPr>
          <w:rFonts w:hint="eastAsia" w:ascii="宋体" w:hAnsi="宋体" w:eastAsia="宋体"/>
          <w:sz w:val="40"/>
          <w:szCs w:val="40"/>
          <w:lang w:val="en-US" w:eastAsia="zh-CN"/>
        </w:rPr>
      </w:pPr>
      <w:r>
        <w:rPr>
          <w:rFonts w:hint="eastAsia" w:ascii="宋体" w:hAnsi="宋体" w:eastAsia="宋体"/>
          <w:sz w:val="40"/>
          <w:szCs w:val="40"/>
          <w:lang w:val="en-US" w:eastAsia="zh-CN"/>
        </w:rPr>
        <w:t>设施保养维护、运行管理服务项目</w:t>
      </w:r>
    </w:p>
    <w:p>
      <w:pPr>
        <w:pStyle w:val="27"/>
        <w:spacing w:line="460" w:lineRule="exact"/>
        <w:jc w:val="center"/>
        <w:rPr>
          <w:sz w:val="32"/>
          <w:szCs w:val="32"/>
        </w:rPr>
      </w:pPr>
      <w:r>
        <w:rPr>
          <w:rFonts w:hint="eastAsia" w:ascii="宋体" w:hAnsi="宋体" w:eastAsia="宋体"/>
          <w:sz w:val="40"/>
          <w:szCs w:val="40"/>
          <w:lang w:val="en-US" w:eastAsia="zh-CN"/>
        </w:rPr>
        <w:t>院内公开采购的公告</w:t>
      </w:r>
    </w:p>
    <w:p>
      <w:pPr>
        <w:keepNext w:val="0"/>
        <w:keepLines w:val="0"/>
        <w:pageBreakBefore w:val="0"/>
        <w:kinsoku/>
        <w:wordWrap/>
        <w:overflowPunct/>
        <w:topLinePunct w:val="0"/>
        <w:autoSpaceDE/>
        <w:autoSpaceDN/>
        <w:bidi w:val="0"/>
        <w:adjustRightInd/>
        <w:snapToGrid/>
        <w:spacing w:line="420" w:lineRule="exact"/>
        <w:ind w:firstLine="560" w:firstLineChars="200"/>
        <w:rPr>
          <w:rFonts w:ascii="仿宋_GB2312" w:hAnsi="宋体" w:eastAsia="仿宋_GB2312"/>
          <w:sz w:val="28"/>
          <w:szCs w:val="28"/>
        </w:rPr>
      </w:pPr>
    </w:p>
    <w:p>
      <w:pPr>
        <w:keepNext w:val="0"/>
        <w:keepLines w:val="0"/>
        <w:pageBreakBefore w:val="0"/>
        <w:kinsoku/>
        <w:wordWrap/>
        <w:overflowPunct/>
        <w:topLinePunct w:val="0"/>
        <w:autoSpaceDE/>
        <w:autoSpaceDN/>
        <w:bidi w:val="0"/>
        <w:adjustRightInd/>
        <w:snapToGrid/>
        <w:spacing w:line="420" w:lineRule="exact"/>
        <w:ind w:firstLine="560" w:firstLineChars="200"/>
        <w:rPr>
          <w:rFonts w:ascii="仿宋_GB2312" w:eastAsia="仿宋_GB2312"/>
          <w:sz w:val="28"/>
          <w:szCs w:val="28"/>
        </w:rPr>
      </w:pPr>
      <w:r>
        <w:rPr>
          <w:rFonts w:hint="eastAsia" w:ascii="仿宋_GB2312" w:hAnsi="宋体" w:eastAsia="仿宋_GB2312"/>
          <w:sz w:val="28"/>
          <w:szCs w:val="28"/>
        </w:rPr>
        <w:t>根据政府采购相关规定</w:t>
      </w:r>
      <w:r>
        <w:rPr>
          <w:rFonts w:hint="eastAsia" w:ascii="仿宋_GB2312" w:hAnsi="宋体" w:eastAsia="仿宋_GB2312"/>
          <w:sz w:val="28"/>
          <w:szCs w:val="28"/>
          <w:lang w:val="en-US" w:eastAsia="zh-CN"/>
        </w:rPr>
        <w:t>和</w:t>
      </w:r>
      <w:r>
        <w:rPr>
          <w:rFonts w:hint="eastAsia" w:ascii="仿宋_GB2312" w:hAnsi="宋体" w:eastAsia="仿宋_GB2312"/>
          <w:sz w:val="28"/>
          <w:szCs w:val="28"/>
        </w:rPr>
        <w:t>《深圳市龙岗区</w:t>
      </w:r>
      <w:r>
        <w:rPr>
          <w:rFonts w:hint="eastAsia" w:ascii="仿宋_GB2312" w:hAnsi="宋体" w:eastAsia="仿宋_GB2312"/>
          <w:sz w:val="28"/>
          <w:szCs w:val="28"/>
          <w:lang w:val="en-US" w:eastAsia="zh-CN"/>
        </w:rPr>
        <w:t>第七</w:t>
      </w:r>
      <w:r>
        <w:rPr>
          <w:rFonts w:hint="eastAsia" w:ascii="仿宋_GB2312" w:hAnsi="宋体" w:eastAsia="仿宋_GB2312"/>
          <w:sz w:val="28"/>
          <w:szCs w:val="28"/>
        </w:rPr>
        <w:t>人民医院采购管理办法》的有关规定，</w:t>
      </w:r>
      <w:r>
        <w:rPr>
          <w:rFonts w:hint="eastAsia" w:ascii="仿宋_GB2312" w:eastAsia="仿宋_GB2312"/>
          <w:color w:val="auto"/>
          <w:sz w:val="28"/>
          <w:szCs w:val="28"/>
        </w:rPr>
        <w:t>我院拟对以下项目进行院内公开采购，欢迎符合条件具有供应能力的供应商前来报名参加。</w:t>
      </w:r>
    </w:p>
    <w:p>
      <w:pPr>
        <w:keepNext w:val="0"/>
        <w:keepLines w:val="0"/>
        <w:pageBreakBefore w:val="0"/>
        <w:kinsoku/>
        <w:wordWrap/>
        <w:overflowPunct/>
        <w:topLinePunct w:val="0"/>
        <w:autoSpaceDE/>
        <w:autoSpaceDN/>
        <w:bidi w:val="0"/>
        <w:adjustRightInd/>
        <w:snapToGrid/>
        <w:spacing w:line="420" w:lineRule="exact"/>
        <w:ind w:firstLine="560" w:firstLineChars="200"/>
        <w:rPr>
          <w:rFonts w:ascii="仿宋_GB2312" w:eastAsia="仿宋_GB2312"/>
          <w:sz w:val="28"/>
          <w:szCs w:val="28"/>
        </w:rPr>
      </w:pPr>
      <w:r>
        <w:rPr>
          <w:rFonts w:hint="eastAsia" w:ascii="仿宋_GB2312" w:eastAsia="仿宋_GB2312"/>
          <w:sz w:val="28"/>
          <w:szCs w:val="28"/>
        </w:rPr>
        <w:t>一、采购项目</w:t>
      </w:r>
    </w:p>
    <w:p>
      <w:pPr>
        <w:pStyle w:val="29"/>
        <w:keepNext w:val="0"/>
        <w:keepLines w:val="0"/>
        <w:pageBreakBefore w:val="0"/>
        <w:kinsoku/>
        <w:wordWrap/>
        <w:overflowPunct/>
        <w:topLinePunct w:val="0"/>
        <w:autoSpaceDE/>
        <w:autoSpaceDN/>
        <w:bidi w:val="0"/>
        <w:adjustRightInd/>
        <w:snapToGrid/>
        <w:spacing w:line="42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（1）项目编号：</w:t>
      </w:r>
      <w:r>
        <w:rPr>
          <w:rFonts w:hint="eastAsia" w:ascii="仿宋_GB2312" w:hAnsi="仿宋_GB2312" w:eastAsia="仿宋_GB2312" w:cs="仿宋_GB2312"/>
          <w:sz w:val="28"/>
          <w:szCs w:val="28"/>
          <w:lang w:val="en-US" w:eastAsia="zh-CN"/>
        </w:rPr>
        <w:t>深龙七医采[LGQY2024ZW006]</w:t>
      </w:r>
    </w:p>
    <w:p>
      <w:pPr>
        <w:pStyle w:val="29"/>
        <w:keepNext w:val="0"/>
        <w:keepLines w:val="0"/>
        <w:pageBreakBefore w:val="0"/>
        <w:kinsoku/>
        <w:wordWrap/>
        <w:overflowPunct/>
        <w:topLinePunct w:val="0"/>
        <w:autoSpaceDE/>
        <w:autoSpaceDN/>
        <w:bidi w:val="0"/>
        <w:adjustRightInd/>
        <w:snapToGrid/>
        <w:spacing w:line="420" w:lineRule="exact"/>
        <w:ind w:firstLine="56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（2）项目名称：</w:t>
      </w:r>
      <w:r>
        <w:rPr>
          <w:rFonts w:hint="eastAsia" w:ascii="仿宋_GB2312" w:hAnsi="仿宋_GB2312" w:eastAsia="仿宋_GB2312" w:cs="仿宋_GB2312"/>
          <w:sz w:val="28"/>
          <w:szCs w:val="28"/>
          <w:lang w:val="en-US" w:eastAsia="zh-CN"/>
        </w:rPr>
        <w:t>医用污水处理设施保养维护、运行管理服务</w:t>
      </w:r>
    </w:p>
    <w:p>
      <w:pPr>
        <w:pStyle w:val="29"/>
        <w:keepNext w:val="0"/>
        <w:keepLines w:val="0"/>
        <w:pageBreakBefore w:val="0"/>
        <w:kinsoku/>
        <w:wordWrap/>
        <w:overflowPunct/>
        <w:topLinePunct w:val="0"/>
        <w:autoSpaceDE/>
        <w:autoSpaceDN/>
        <w:bidi w:val="0"/>
        <w:adjustRightInd/>
        <w:snapToGrid/>
        <w:spacing w:line="420" w:lineRule="exact"/>
        <w:ind w:firstLine="5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（3）采购数量：1项</w:t>
      </w:r>
    </w:p>
    <w:p>
      <w:pPr>
        <w:pStyle w:val="29"/>
        <w:keepNext w:val="0"/>
        <w:keepLines w:val="0"/>
        <w:pageBreakBefore w:val="0"/>
        <w:kinsoku/>
        <w:wordWrap/>
        <w:overflowPunct/>
        <w:topLinePunct w:val="0"/>
        <w:autoSpaceDE/>
        <w:autoSpaceDN/>
        <w:bidi w:val="0"/>
        <w:adjustRightInd/>
        <w:snapToGrid/>
        <w:spacing w:line="420" w:lineRule="exact"/>
        <w:ind w:firstLine="5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（4）预算金额（最高支付上限）</w:t>
      </w:r>
      <w:r>
        <w:rPr>
          <w:rFonts w:hint="eastAsia" w:ascii="仿宋_GB2312" w:hAnsi="仿宋_GB2312" w:eastAsia="仿宋_GB2312" w:cs="仿宋_GB2312"/>
          <w:sz w:val="28"/>
          <w:szCs w:val="28"/>
          <w:lang w:val="en-US" w:eastAsia="zh-CN"/>
        </w:rPr>
        <w:t>：143788.04元</w:t>
      </w:r>
    </w:p>
    <w:p>
      <w:pPr>
        <w:pStyle w:val="29"/>
        <w:keepNext w:val="0"/>
        <w:keepLines w:val="0"/>
        <w:pageBreakBefore w:val="0"/>
        <w:kinsoku/>
        <w:wordWrap/>
        <w:overflowPunct/>
        <w:topLinePunct w:val="0"/>
        <w:autoSpaceDE/>
        <w:autoSpaceDN/>
        <w:bidi w:val="0"/>
        <w:adjustRightInd/>
        <w:snapToGrid/>
        <w:spacing w:line="42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二、资质要求</w:t>
      </w:r>
    </w:p>
    <w:p>
      <w:pPr>
        <w:pStyle w:val="29"/>
        <w:keepNext w:val="0"/>
        <w:keepLines w:val="0"/>
        <w:pageBreakBefore w:val="0"/>
        <w:kinsoku/>
        <w:wordWrap/>
        <w:overflowPunct/>
        <w:topLinePunct w:val="0"/>
        <w:autoSpaceDE/>
        <w:autoSpaceDN/>
        <w:bidi w:val="0"/>
        <w:adjustRightInd/>
        <w:snapToGrid/>
        <w:spacing w:line="420" w:lineRule="exact"/>
        <w:ind w:firstLine="560"/>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基本要求</w:t>
      </w:r>
    </w:p>
    <w:p>
      <w:pPr>
        <w:pStyle w:val="29"/>
        <w:keepNext w:val="0"/>
        <w:keepLines w:val="0"/>
        <w:pageBreakBefore w:val="0"/>
        <w:kinsoku/>
        <w:wordWrap/>
        <w:overflowPunct/>
        <w:topLinePunct w:val="0"/>
        <w:autoSpaceDE/>
        <w:autoSpaceDN/>
        <w:bidi w:val="0"/>
        <w:adjustRightInd/>
        <w:snapToGrid/>
        <w:spacing w:line="420" w:lineRule="exact"/>
        <w:ind w:firstLine="5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（1）具有独立法人资格或具有独立承担民事责任的能力的其</w:t>
      </w:r>
      <w:r>
        <w:rPr>
          <w:rFonts w:hint="eastAsia" w:ascii="仿宋_GB2312" w:hAnsi="仿宋_GB2312" w:eastAsia="仿宋_GB2312" w:cs="仿宋_GB2312"/>
          <w:sz w:val="28"/>
          <w:szCs w:val="28"/>
          <w:lang w:val="en-US" w:eastAsia="zh-CN"/>
        </w:rPr>
        <w:t>他</w:t>
      </w:r>
      <w:r>
        <w:rPr>
          <w:rFonts w:hint="eastAsia" w:ascii="仿宋_GB2312" w:hAnsi="仿宋_GB2312" w:eastAsia="仿宋_GB2312" w:cs="仿宋_GB2312"/>
          <w:sz w:val="28"/>
          <w:szCs w:val="28"/>
        </w:rPr>
        <w:t>组织（提供营业执照或事业单位法人证等法人证明扫描件，原件备查）；</w:t>
      </w:r>
    </w:p>
    <w:p>
      <w:pPr>
        <w:pStyle w:val="29"/>
        <w:keepNext w:val="0"/>
        <w:keepLines w:val="0"/>
        <w:pageBreakBefore w:val="0"/>
        <w:kinsoku/>
        <w:wordWrap/>
        <w:overflowPunct/>
        <w:topLinePunct w:val="0"/>
        <w:autoSpaceDE/>
        <w:autoSpaceDN/>
        <w:bidi w:val="0"/>
        <w:adjustRightInd/>
        <w:snapToGrid/>
        <w:spacing w:line="42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）满足《中华人民共和国政府采购法》第二十二条规定；</w:t>
      </w:r>
    </w:p>
    <w:p>
      <w:pPr>
        <w:pStyle w:val="29"/>
        <w:keepNext w:val="0"/>
        <w:keepLines w:val="0"/>
        <w:pageBreakBefore w:val="0"/>
        <w:kinsoku/>
        <w:wordWrap/>
        <w:overflowPunct/>
        <w:topLinePunct w:val="0"/>
        <w:autoSpaceDE/>
        <w:autoSpaceDN/>
        <w:bidi w:val="0"/>
        <w:adjustRightInd/>
        <w:snapToGrid/>
        <w:spacing w:line="42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）落实政府采购政策需满足的资格要求：按照相关规定执行，详见采购需求标准。</w:t>
      </w:r>
    </w:p>
    <w:p>
      <w:pPr>
        <w:pStyle w:val="29"/>
        <w:keepNext w:val="0"/>
        <w:keepLines w:val="0"/>
        <w:pageBreakBefore w:val="0"/>
        <w:kinsoku/>
        <w:wordWrap/>
        <w:overflowPunct/>
        <w:topLinePunct w:val="0"/>
        <w:autoSpaceDE/>
        <w:autoSpaceDN/>
        <w:bidi w:val="0"/>
        <w:adjustRightInd/>
        <w:snapToGrid/>
        <w:spacing w:line="42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）本项目不接受联合体投标，不允许分包、转包，不接受进口产品；</w:t>
      </w:r>
    </w:p>
    <w:p>
      <w:pPr>
        <w:pStyle w:val="29"/>
        <w:keepNext w:val="0"/>
        <w:keepLines w:val="0"/>
        <w:pageBreakBefore w:val="0"/>
        <w:kinsoku/>
        <w:wordWrap/>
        <w:overflowPunct/>
        <w:topLinePunct w:val="0"/>
        <w:autoSpaceDE/>
        <w:autoSpaceDN/>
        <w:bidi w:val="0"/>
        <w:adjustRightInd/>
        <w:snapToGrid/>
        <w:spacing w:line="42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）参与本项目投标前三年内，在经营活动中没有重大违法记录；</w:t>
      </w:r>
    </w:p>
    <w:p>
      <w:pPr>
        <w:pStyle w:val="29"/>
        <w:keepNext w:val="0"/>
        <w:keepLines w:val="0"/>
        <w:pageBreakBefore w:val="0"/>
        <w:kinsoku/>
        <w:wordWrap/>
        <w:overflowPunct/>
        <w:topLinePunct w:val="0"/>
        <w:autoSpaceDE/>
        <w:autoSpaceDN/>
        <w:bidi w:val="0"/>
        <w:adjustRightInd/>
        <w:snapToGrid/>
        <w:spacing w:line="42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）参与本项目政府采购活动时不存在被有关部门禁止参与政府采购活动且在有效期内的情况；</w:t>
      </w:r>
    </w:p>
    <w:p>
      <w:pPr>
        <w:pStyle w:val="29"/>
        <w:keepNext w:val="0"/>
        <w:keepLines w:val="0"/>
        <w:pageBreakBefore w:val="0"/>
        <w:kinsoku/>
        <w:wordWrap/>
        <w:overflowPunct/>
        <w:topLinePunct w:val="0"/>
        <w:autoSpaceDE/>
        <w:autoSpaceDN/>
        <w:bidi w:val="0"/>
        <w:adjustRightInd/>
        <w:snapToGrid/>
        <w:spacing w:line="42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）未被列入失信被执行人、重大税收违法案件当事人名单、政府采购严重违法失信行为记录名单；</w:t>
      </w:r>
    </w:p>
    <w:p>
      <w:pPr>
        <w:pStyle w:val="29"/>
        <w:keepNext w:val="0"/>
        <w:keepLines w:val="0"/>
        <w:pageBreakBefore w:val="0"/>
        <w:kinsoku/>
        <w:wordWrap/>
        <w:overflowPunct/>
        <w:topLinePunct w:val="0"/>
        <w:autoSpaceDE/>
        <w:autoSpaceDN/>
        <w:bidi w:val="0"/>
        <w:adjustRightInd/>
        <w:snapToGrid/>
        <w:spacing w:line="420" w:lineRule="exact"/>
        <w:ind w:firstLine="5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）与其他投标供应商不存在单位负责人为同一人或者存在直接控股、管理关系。</w:t>
      </w:r>
    </w:p>
    <w:p>
      <w:pPr>
        <w:pStyle w:val="29"/>
        <w:keepNext w:val="0"/>
        <w:keepLines w:val="0"/>
        <w:pageBreakBefore w:val="0"/>
        <w:kinsoku/>
        <w:wordWrap/>
        <w:overflowPunct/>
        <w:topLinePunct w:val="0"/>
        <w:autoSpaceDE/>
        <w:autoSpaceDN/>
        <w:bidi w:val="0"/>
        <w:adjustRightInd/>
        <w:snapToGrid/>
        <w:spacing w:line="42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以上（2）至（8）条须供应商在《投标及履约承诺函》中作出声明。</w:t>
      </w:r>
    </w:p>
    <w:p>
      <w:pPr>
        <w:pStyle w:val="29"/>
        <w:keepNext w:val="0"/>
        <w:keepLines w:val="0"/>
        <w:pageBreakBefore w:val="0"/>
        <w:numPr>
          <w:ilvl w:val="0"/>
          <w:numId w:val="0"/>
        </w:numPr>
        <w:kinsoku/>
        <w:wordWrap/>
        <w:overflowPunct/>
        <w:topLinePunct w:val="0"/>
        <w:autoSpaceDE/>
        <w:autoSpaceDN/>
        <w:bidi w:val="0"/>
        <w:adjustRightInd/>
        <w:snapToGrid/>
        <w:spacing w:line="420" w:lineRule="exact"/>
        <w:ind w:firstLine="560" w:firstLineChars="20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kern w:val="2"/>
          <w:sz w:val="28"/>
          <w:szCs w:val="28"/>
          <w:lang w:val="en-US" w:eastAsia="zh-CN" w:bidi="ar-SA"/>
        </w:rPr>
        <w:t>（二）</w:t>
      </w:r>
      <w:r>
        <w:rPr>
          <w:rFonts w:hint="eastAsia" w:ascii="仿宋_GB2312" w:hAnsi="仿宋_GB2312" w:eastAsia="仿宋_GB2312" w:cs="仿宋_GB2312"/>
          <w:color w:val="auto"/>
          <w:sz w:val="28"/>
          <w:szCs w:val="28"/>
          <w:lang w:val="en-US" w:eastAsia="zh-CN"/>
        </w:rPr>
        <w:t>特殊要求</w:t>
      </w:r>
    </w:p>
    <w:p>
      <w:pPr>
        <w:pStyle w:val="29"/>
        <w:keepNext w:val="0"/>
        <w:keepLines w:val="0"/>
        <w:pageBreakBefore w:val="0"/>
        <w:kinsoku/>
        <w:wordWrap/>
        <w:overflowPunct/>
        <w:topLinePunct w:val="0"/>
        <w:autoSpaceDE/>
        <w:autoSpaceDN/>
        <w:bidi w:val="0"/>
        <w:adjustRightInd/>
        <w:snapToGrid/>
        <w:spacing w:line="420" w:lineRule="exact"/>
        <w:ind w:firstLine="560"/>
        <w:jc w:val="lef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zh-CN"/>
        </w:rPr>
        <w:t>投标人须</w:t>
      </w:r>
      <w:r>
        <w:rPr>
          <w:rFonts w:hint="eastAsia" w:ascii="仿宋_GB2312" w:hAnsi="仿宋_GB2312" w:eastAsia="仿宋_GB2312" w:cs="仿宋_GB2312"/>
          <w:sz w:val="28"/>
          <w:szCs w:val="28"/>
          <w:lang w:val="zh-CN" w:eastAsia="zh-CN"/>
        </w:rPr>
        <w:t>提供公司营业执照，并且在工商注册登记营业许可范围包含废水、废气环保设施的运营及维护。</w:t>
      </w:r>
      <w:r>
        <w:rPr>
          <w:rFonts w:hint="eastAsia" w:ascii="仿宋_GB2312" w:hAnsi="仿宋_GB2312" w:eastAsia="仿宋_GB2312" w:cs="仿宋_GB2312"/>
          <w:sz w:val="28"/>
          <w:szCs w:val="28"/>
          <w:lang w:val="zh-CN"/>
        </w:rPr>
        <w:t>(提供相关证明材料)。</w:t>
      </w:r>
    </w:p>
    <w:p>
      <w:pPr>
        <w:pStyle w:val="29"/>
        <w:keepNext w:val="0"/>
        <w:keepLines w:val="0"/>
        <w:pageBreakBefore w:val="0"/>
        <w:kinsoku/>
        <w:wordWrap/>
        <w:overflowPunct/>
        <w:topLinePunct w:val="0"/>
        <w:autoSpaceDE/>
        <w:autoSpaceDN/>
        <w:bidi w:val="0"/>
        <w:adjustRightInd/>
        <w:snapToGrid/>
        <w:spacing w:line="420" w:lineRule="exact"/>
        <w:ind w:firstLine="560"/>
        <w:jc w:val="left"/>
        <w:rPr>
          <w:rFonts w:hint="eastAsia" w:ascii="仿宋_GB2312" w:hAnsi="仿宋_GB2312" w:eastAsia="仿宋_GB2312" w:cs="仿宋_GB2312"/>
          <w:color w:val="auto"/>
          <w:sz w:val="28"/>
          <w:szCs w:val="28"/>
          <w:highlight w:val="yellow"/>
          <w:lang w:val="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CN"/>
        </w:rPr>
        <w:t>投标人须具备住房和建设局颁发的环保工程专业承包三级</w:t>
      </w:r>
      <w:r>
        <w:rPr>
          <w:rFonts w:hint="eastAsia" w:ascii="仿宋_GB2312" w:hAnsi="仿宋_GB2312" w:eastAsia="仿宋_GB2312" w:cs="仿宋_GB2312"/>
          <w:sz w:val="28"/>
          <w:szCs w:val="28"/>
          <w:lang w:val="en-US" w:eastAsia="zh-CN"/>
        </w:rPr>
        <w:t>或以上</w:t>
      </w:r>
      <w:r>
        <w:rPr>
          <w:rFonts w:hint="eastAsia" w:ascii="仿宋_GB2312" w:hAnsi="仿宋_GB2312" w:eastAsia="仿宋_GB2312" w:cs="仿宋_GB2312"/>
          <w:sz w:val="28"/>
          <w:szCs w:val="28"/>
          <w:lang w:val="zh-CN"/>
        </w:rPr>
        <w:t>证书(提供相关证明材料)。</w:t>
      </w:r>
    </w:p>
    <w:p>
      <w:pPr>
        <w:pStyle w:val="29"/>
        <w:keepNext w:val="0"/>
        <w:keepLines w:val="0"/>
        <w:pageBreakBefore w:val="0"/>
        <w:kinsoku/>
        <w:wordWrap/>
        <w:overflowPunct/>
        <w:topLinePunct w:val="0"/>
        <w:autoSpaceDE/>
        <w:autoSpaceDN/>
        <w:bidi w:val="0"/>
        <w:adjustRightInd/>
        <w:snapToGrid/>
        <w:spacing w:line="42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三、采购方式：院内公开采购</w:t>
      </w:r>
    </w:p>
    <w:p>
      <w:pPr>
        <w:pStyle w:val="29"/>
        <w:keepNext w:val="0"/>
        <w:keepLines w:val="0"/>
        <w:pageBreakBefore w:val="0"/>
        <w:kinsoku/>
        <w:wordWrap/>
        <w:overflowPunct/>
        <w:topLinePunct w:val="0"/>
        <w:autoSpaceDE/>
        <w:autoSpaceDN/>
        <w:bidi w:val="0"/>
        <w:adjustRightInd/>
        <w:snapToGrid/>
        <w:spacing w:line="42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四、评标方法：综合评分法</w:t>
      </w:r>
    </w:p>
    <w:p>
      <w:pPr>
        <w:keepNext w:val="0"/>
        <w:keepLines w:val="0"/>
        <w:pageBreakBefore w:val="0"/>
        <w:widowControl/>
        <w:kinsoku/>
        <w:wordWrap/>
        <w:overflowPunct/>
        <w:topLinePunct w:val="0"/>
        <w:autoSpaceDE/>
        <w:autoSpaceDN/>
        <w:bidi w:val="0"/>
        <w:adjustRightInd/>
        <w:snapToGrid/>
        <w:spacing w:line="4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五、投标人报名资料要求</w:t>
      </w:r>
    </w:p>
    <w:p>
      <w:pPr>
        <w:keepNext w:val="0"/>
        <w:keepLines w:val="0"/>
        <w:pageBreakBefore w:val="0"/>
        <w:widowControl/>
        <w:kinsoku/>
        <w:wordWrap/>
        <w:overflowPunct/>
        <w:topLinePunct w:val="0"/>
        <w:autoSpaceDE/>
        <w:autoSpaceDN/>
        <w:bidi w:val="0"/>
        <w:adjustRightInd/>
        <w:snapToGrid/>
        <w:spacing w:line="4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（1）院内采购报名表；</w:t>
      </w:r>
    </w:p>
    <w:p>
      <w:pPr>
        <w:keepNext w:val="0"/>
        <w:keepLines w:val="0"/>
        <w:pageBreakBefore w:val="0"/>
        <w:widowControl/>
        <w:kinsoku/>
        <w:wordWrap/>
        <w:overflowPunct/>
        <w:topLinePunct w:val="0"/>
        <w:autoSpaceDE/>
        <w:autoSpaceDN/>
        <w:bidi w:val="0"/>
        <w:adjustRightInd/>
        <w:snapToGrid/>
        <w:spacing w:line="4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（2）法人参加的须提供法人证及个人身份证复印件；非法人参加的须提供法人代表身份证复印件、授权书及个人身份证复印件；</w:t>
      </w:r>
    </w:p>
    <w:p>
      <w:pPr>
        <w:keepNext w:val="0"/>
        <w:keepLines w:val="0"/>
        <w:pageBreakBefore w:val="0"/>
        <w:widowControl/>
        <w:kinsoku/>
        <w:wordWrap/>
        <w:overflowPunct/>
        <w:topLinePunct w:val="0"/>
        <w:autoSpaceDE/>
        <w:autoSpaceDN/>
        <w:bidi w:val="0"/>
        <w:adjustRightInd/>
        <w:snapToGrid/>
        <w:spacing w:line="42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（3）供应商须提供“三证合一”（工商营业执照、组织机构代码证和税务登记证）；</w:t>
      </w:r>
    </w:p>
    <w:p>
      <w:pPr>
        <w:keepNext w:val="0"/>
        <w:keepLines w:val="0"/>
        <w:pageBreakBefore w:val="0"/>
        <w:widowControl/>
        <w:kinsoku/>
        <w:wordWrap/>
        <w:overflowPunct/>
        <w:topLinePunct w:val="0"/>
        <w:autoSpaceDE/>
        <w:autoSpaceDN/>
        <w:bidi w:val="0"/>
        <w:adjustRightInd/>
        <w:snapToGrid/>
        <w:spacing w:line="420" w:lineRule="exact"/>
        <w:ind w:firstLine="560" w:firstLineChars="200"/>
        <w:jc w:val="lef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zh-CN"/>
        </w:rPr>
        <w:t>投标人须具备住房和建设局颁发的环保工程专业承包三级</w:t>
      </w:r>
      <w:r>
        <w:rPr>
          <w:rFonts w:hint="eastAsia" w:ascii="仿宋_GB2312" w:hAnsi="仿宋_GB2312" w:eastAsia="仿宋_GB2312" w:cs="仿宋_GB2312"/>
          <w:sz w:val="28"/>
          <w:szCs w:val="28"/>
          <w:lang w:val="en-US" w:eastAsia="zh-CN"/>
        </w:rPr>
        <w:t>或以上</w:t>
      </w:r>
      <w:r>
        <w:rPr>
          <w:rFonts w:hint="eastAsia" w:ascii="仿宋_GB2312" w:hAnsi="仿宋_GB2312" w:eastAsia="仿宋_GB2312" w:cs="仿宋_GB2312"/>
          <w:sz w:val="28"/>
          <w:szCs w:val="28"/>
          <w:lang w:val="zh-CN"/>
        </w:rPr>
        <w:t>证书(提供相关证明材料)。</w:t>
      </w:r>
    </w:p>
    <w:p>
      <w:pPr>
        <w:keepNext w:val="0"/>
        <w:keepLines w:val="0"/>
        <w:pageBreakBefore w:val="0"/>
        <w:widowControl/>
        <w:kinsoku/>
        <w:wordWrap/>
        <w:overflowPunct/>
        <w:topLinePunct w:val="0"/>
        <w:autoSpaceDE/>
        <w:autoSpaceDN/>
        <w:bidi w:val="0"/>
        <w:adjustRightInd/>
        <w:snapToGrid/>
        <w:spacing w:line="4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）通过以下3个官网的信用信息查询记录网络截图件并加盖投标人公章：①信用中国②中国政府采购网③深圳市政府采购监管网。相关信息以开标当日的查询结果为准。</w:t>
      </w:r>
    </w:p>
    <w:p>
      <w:pPr>
        <w:keepNext w:val="0"/>
        <w:keepLines w:val="0"/>
        <w:pageBreakBefore w:val="0"/>
        <w:widowControl/>
        <w:kinsoku/>
        <w:wordWrap/>
        <w:overflowPunct/>
        <w:topLinePunct w:val="0"/>
        <w:autoSpaceDE/>
        <w:autoSpaceDN/>
        <w:bidi w:val="0"/>
        <w:adjustRightInd/>
        <w:snapToGrid/>
        <w:spacing w:line="4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）投标及履约承诺函。</w:t>
      </w:r>
    </w:p>
    <w:p>
      <w:pPr>
        <w:keepNext w:val="0"/>
        <w:keepLines w:val="0"/>
        <w:pageBreakBefore w:val="0"/>
        <w:widowControl/>
        <w:kinsoku/>
        <w:wordWrap/>
        <w:overflowPunct/>
        <w:topLinePunct w:val="0"/>
        <w:autoSpaceDE/>
        <w:autoSpaceDN/>
        <w:bidi w:val="0"/>
        <w:adjustRightInd/>
        <w:snapToGrid/>
        <w:spacing w:line="420" w:lineRule="exact"/>
        <w:ind w:firstLine="560" w:firstLineChars="200"/>
        <w:jc w:val="left"/>
        <w:rPr>
          <w:rFonts w:ascii="Helvetica" w:hAnsi="Helvetica" w:cs="Helvetica"/>
          <w:color w:val="000000"/>
          <w:sz w:val="24"/>
        </w:rPr>
      </w:pPr>
      <w:r>
        <w:rPr>
          <w:rFonts w:hint="eastAsia" w:ascii="仿宋_GB2312" w:hAnsi="仿宋_GB2312" w:eastAsia="仿宋_GB2312" w:cs="仿宋_GB2312"/>
          <w:sz w:val="28"/>
          <w:szCs w:val="28"/>
        </w:rPr>
        <w:t>以上资料均需在有效期内并加盖投标方公章。本项目实行资格预审，投标人报名时将进行资格审查，未经审查或审查未通过的不能参与投标</w:t>
      </w:r>
      <w:r>
        <w:rPr>
          <w:rFonts w:ascii="Helvetica" w:hAnsi="Helvetica" w:eastAsia="Helvetica" w:cs="Helvetica"/>
          <w:color w:val="000000"/>
          <w:sz w:val="24"/>
        </w:rPr>
        <w:t>。</w:t>
      </w:r>
    </w:p>
    <w:p>
      <w:pPr>
        <w:keepNext w:val="0"/>
        <w:keepLines w:val="0"/>
        <w:pageBreakBefore w:val="0"/>
        <w:widowControl/>
        <w:kinsoku/>
        <w:wordWrap/>
        <w:overflowPunct/>
        <w:topLinePunct w:val="0"/>
        <w:autoSpaceDE/>
        <w:autoSpaceDN/>
        <w:bidi w:val="0"/>
        <w:adjustRightInd/>
        <w:snapToGrid/>
        <w:spacing w:line="420" w:lineRule="exact"/>
        <w:ind w:firstLine="560" w:firstLineChars="200"/>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六、递交投标文件截止时间：202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日下午</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点</w:t>
      </w:r>
      <w:r>
        <w:rPr>
          <w:rFonts w:hint="eastAsia" w:ascii="仿宋_GB2312" w:hAnsi="仿宋_GB2312" w:eastAsia="仿宋_GB2312" w:cs="仿宋_GB2312"/>
          <w:sz w:val="28"/>
          <w:szCs w:val="28"/>
          <w:lang w:eastAsia="zh-CN"/>
        </w:rPr>
        <w:t>。</w:t>
      </w:r>
    </w:p>
    <w:p>
      <w:pPr>
        <w:keepNext w:val="0"/>
        <w:keepLines w:val="0"/>
        <w:pageBreakBefore w:val="0"/>
        <w:widowControl/>
        <w:kinsoku/>
        <w:wordWrap/>
        <w:overflowPunct/>
        <w:topLinePunct w:val="0"/>
        <w:autoSpaceDE/>
        <w:autoSpaceDN/>
        <w:bidi w:val="0"/>
        <w:adjustRightInd/>
        <w:snapToGrid/>
        <w:spacing w:line="420" w:lineRule="exact"/>
        <w:ind w:firstLine="560" w:firstLineChars="200"/>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七、递交投标文件地点：简竹护理院行政楼三楼招采办</w:t>
      </w:r>
      <w:r>
        <w:rPr>
          <w:rFonts w:hint="eastAsia" w:ascii="仿宋_GB2312" w:hAnsi="仿宋_GB2312" w:eastAsia="仿宋_GB2312" w:cs="仿宋_GB2312"/>
          <w:sz w:val="28"/>
          <w:szCs w:val="28"/>
          <w:lang w:eastAsia="zh-CN"/>
        </w:rPr>
        <w:t>。</w:t>
      </w:r>
    </w:p>
    <w:p>
      <w:pPr>
        <w:pStyle w:val="29"/>
        <w:keepNext w:val="0"/>
        <w:keepLines w:val="0"/>
        <w:pageBreakBefore w:val="0"/>
        <w:kinsoku/>
        <w:wordWrap/>
        <w:overflowPunct/>
        <w:topLinePunct w:val="0"/>
        <w:autoSpaceDE/>
        <w:autoSpaceDN/>
        <w:bidi w:val="0"/>
        <w:adjustRightInd/>
        <w:snapToGrid/>
        <w:spacing w:line="42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八、开标时间及地点：另行通知，开标由医院组织专家根据报名材料评审，供应商不需要参加。</w:t>
      </w:r>
    </w:p>
    <w:p>
      <w:pPr>
        <w:pStyle w:val="29"/>
        <w:keepNext w:val="0"/>
        <w:keepLines w:val="0"/>
        <w:pageBreakBefore w:val="0"/>
        <w:kinsoku/>
        <w:wordWrap/>
        <w:overflowPunct/>
        <w:topLinePunct w:val="0"/>
        <w:autoSpaceDE/>
        <w:autoSpaceDN/>
        <w:bidi w:val="0"/>
        <w:adjustRightInd/>
        <w:snapToGrid/>
        <w:spacing w:line="420" w:lineRule="exact"/>
        <w:ind w:firstLine="560"/>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九、联系人及联系电话：陈女士，0755-28740471</w:t>
      </w:r>
      <w:r>
        <w:rPr>
          <w:rFonts w:hint="eastAsia" w:ascii="仿宋_GB2312" w:hAnsi="仿宋_GB2312" w:eastAsia="仿宋_GB2312" w:cs="仿宋_GB2312"/>
          <w:sz w:val="28"/>
          <w:szCs w:val="28"/>
          <w:lang w:eastAsia="zh-CN"/>
        </w:rPr>
        <w:t>。</w:t>
      </w:r>
    </w:p>
    <w:p>
      <w:pPr>
        <w:pStyle w:val="29"/>
        <w:keepNext w:val="0"/>
        <w:keepLines w:val="0"/>
        <w:pageBreakBefore w:val="0"/>
        <w:kinsoku/>
        <w:wordWrap/>
        <w:overflowPunct/>
        <w:topLinePunct w:val="0"/>
        <w:autoSpaceDE/>
        <w:autoSpaceDN/>
        <w:bidi w:val="0"/>
        <w:adjustRightInd/>
        <w:snapToGrid/>
        <w:spacing w:line="42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附件：</w:t>
      </w:r>
    </w:p>
    <w:p>
      <w:pPr>
        <w:pStyle w:val="29"/>
        <w:keepNext w:val="0"/>
        <w:keepLines w:val="0"/>
        <w:pageBreakBefore w:val="0"/>
        <w:kinsoku/>
        <w:wordWrap/>
        <w:overflowPunct/>
        <w:topLinePunct w:val="0"/>
        <w:autoSpaceDE/>
        <w:autoSpaceDN/>
        <w:bidi w:val="0"/>
        <w:adjustRightInd/>
        <w:snapToGrid/>
        <w:spacing w:line="42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1.深圳市龙岗区第七人民医院院内公开采购报名表</w:t>
      </w:r>
    </w:p>
    <w:p>
      <w:pPr>
        <w:pStyle w:val="29"/>
        <w:keepNext w:val="0"/>
        <w:keepLines w:val="0"/>
        <w:pageBreakBefore w:val="0"/>
        <w:kinsoku/>
        <w:wordWrap/>
        <w:overflowPunct/>
        <w:topLinePunct w:val="0"/>
        <w:autoSpaceDE/>
        <w:autoSpaceDN/>
        <w:bidi w:val="0"/>
        <w:adjustRightInd/>
        <w:snapToGrid/>
        <w:spacing w:line="420" w:lineRule="exact"/>
        <w:ind w:firstLine="56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深圳市龙岗区第七人民医院医用污水处理设施保养维护、运行管理服务项目招标文件</w:t>
      </w:r>
    </w:p>
    <w:p>
      <w:pPr>
        <w:pStyle w:val="29"/>
        <w:keepNext w:val="0"/>
        <w:keepLines w:val="0"/>
        <w:pageBreakBefore w:val="0"/>
        <w:kinsoku/>
        <w:wordWrap/>
        <w:overflowPunct/>
        <w:topLinePunct w:val="0"/>
        <w:autoSpaceDE/>
        <w:autoSpaceDN/>
        <w:bidi w:val="0"/>
        <w:adjustRightInd/>
        <w:snapToGrid/>
        <w:spacing w:line="420" w:lineRule="exact"/>
        <w:ind w:left="0" w:leftChars="0" w:firstLine="0" w:firstLineChars="0"/>
        <w:jc w:val="both"/>
        <w:rPr>
          <w:rFonts w:ascii="仿宋_GB2312" w:eastAsia="仿宋_GB2312"/>
          <w:sz w:val="28"/>
          <w:szCs w:val="28"/>
        </w:rPr>
      </w:pPr>
    </w:p>
    <w:p>
      <w:pPr>
        <w:pStyle w:val="29"/>
        <w:keepNext w:val="0"/>
        <w:keepLines w:val="0"/>
        <w:pageBreakBefore w:val="0"/>
        <w:kinsoku/>
        <w:wordWrap/>
        <w:overflowPunct/>
        <w:topLinePunct w:val="0"/>
        <w:autoSpaceDE/>
        <w:autoSpaceDN/>
        <w:bidi w:val="0"/>
        <w:adjustRightInd/>
        <w:snapToGrid/>
        <w:spacing w:line="420" w:lineRule="exact"/>
        <w:ind w:firstLine="560"/>
        <w:jc w:val="right"/>
        <w:rPr>
          <w:rFonts w:ascii="仿宋_GB2312" w:eastAsia="仿宋_GB2312"/>
          <w:sz w:val="28"/>
          <w:szCs w:val="28"/>
        </w:rPr>
      </w:pPr>
      <w:r>
        <w:rPr>
          <w:rFonts w:hint="eastAsia" w:ascii="仿宋_GB2312" w:eastAsia="仿宋_GB2312"/>
          <w:sz w:val="28"/>
          <w:szCs w:val="28"/>
        </w:rPr>
        <w:t>深圳市龙岗区第七人民医院</w:t>
      </w:r>
    </w:p>
    <w:p>
      <w:pPr>
        <w:pStyle w:val="29"/>
        <w:keepNext w:val="0"/>
        <w:keepLines w:val="0"/>
        <w:pageBreakBefore w:val="0"/>
        <w:kinsoku/>
        <w:wordWrap/>
        <w:overflowPunct/>
        <w:topLinePunct w:val="0"/>
        <w:autoSpaceDE/>
        <w:autoSpaceDN/>
        <w:bidi w:val="0"/>
        <w:adjustRightInd/>
        <w:snapToGrid/>
        <w:spacing w:line="420" w:lineRule="exact"/>
        <w:ind w:firstLine="560"/>
        <w:jc w:val="center"/>
        <w:rPr>
          <w:rFonts w:hint="eastAsia" w:ascii="仿宋_GB2312" w:eastAsia="仿宋_GB2312"/>
          <w:sz w:val="28"/>
          <w:szCs w:val="28"/>
        </w:rPr>
      </w:pPr>
      <w:r>
        <w:rPr>
          <w:rFonts w:hint="eastAsia" w:ascii="仿宋_GB2312" w:eastAsia="仿宋_GB2312"/>
          <w:sz w:val="28"/>
          <w:szCs w:val="28"/>
        </w:rPr>
        <w:t xml:space="preserve">                                         202</w:t>
      </w:r>
      <w:r>
        <w:rPr>
          <w:rFonts w:hint="eastAsia" w:ascii="仿宋_GB2312" w:eastAsia="仿宋_GB2312"/>
          <w:sz w:val="28"/>
          <w:szCs w:val="28"/>
          <w:lang w:val="en-US" w:eastAsia="zh-CN"/>
        </w:rPr>
        <w:t>4</w:t>
      </w:r>
      <w:r>
        <w:rPr>
          <w:rFonts w:hint="eastAsia" w:ascii="仿宋_GB2312" w:eastAsia="仿宋_GB2312"/>
          <w:sz w:val="28"/>
          <w:szCs w:val="28"/>
        </w:rPr>
        <w:t>年</w:t>
      </w:r>
      <w:r>
        <w:rPr>
          <w:rFonts w:hint="eastAsia" w:ascii="仿宋_GB2312" w:eastAsia="仿宋_GB2312"/>
          <w:sz w:val="28"/>
          <w:szCs w:val="28"/>
          <w:lang w:val="en-US" w:eastAsia="zh-CN"/>
        </w:rPr>
        <w:t>4</w:t>
      </w:r>
      <w:r>
        <w:rPr>
          <w:rFonts w:hint="eastAsia" w:ascii="仿宋_GB2312" w:eastAsia="仿宋_GB2312"/>
          <w:sz w:val="28"/>
          <w:szCs w:val="28"/>
        </w:rPr>
        <w:t>月</w:t>
      </w:r>
      <w:r>
        <w:rPr>
          <w:rFonts w:hint="eastAsia" w:ascii="仿宋_GB2312" w:eastAsia="仿宋_GB2312"/>
          <w:sz w:val="28"/>
          <w:szCs w:val="28"/>
          <w:lang w:val="en-US" w:eastAsia="zh-CN"/>
        </w:rPr>
        <w:t>12</w:t>
      </w:r>
      <w:r>
        <w:rPr>
          <w:rFonts w:hint="eastAsia" w:ascii="仿宋_GB2312" w:eastAsia="仿宋_GB2312"/>
          <w:sz w:val="28"/>
          <w:szCs w:val="28"/>
        </w:rPr>
        <w:t>日</w:t>
      </w:r>
    </w:p>
    <w:p>
      <w:pPr>
        <w:pStyle w:val="29"/>
        <w:keepNext w:val="0"/>
        <w:keepLines w:val="0"/>
        <w:pageBreakBefore w:val="0"/>
        <w:kinsoku/>
        <w:wordWrap/>
        <w:overflowPunct/>
        <w:topLinePunct w:val="0"/>
        <w:autoSpaceDE/>
        <w:autoSpaceDN/>
        <w:bidi w:val="0"/>
        <w:adjustRightInd/>
        <w:snapToGrid/>
        <w:spacing w:line="420" w:lineRule="exact"/>
        <w:ind w:firstLine="560"/>
        <w:jc w:val="center"/>
        <w:rPr>
          <w:rFonts w:hint="eastAsia" w:ascii="仿宋_GB2312" w:eastAsia="仿宋_GB2312"/>
          <w:sz w:val="28"/>
          <w:szCs w:val="28"/>
        </w:rPr>
      </w:pPr>
    </w:p>
    <w:p>
      <w:pPr>
        <w:pStyle w:val="29"/>
        <w:keepNext w:val="0"/>
        <w:keepLines w:val="0"/>
        <w:pageBreakBefore w:val="0"/>
        <w:kinsoku/>
        <w:wordWrap/>
        <w:overflowPunct/>
        <w:topLinePunct w:val="0"/>
        <w:autoSpaceDE/>
        <w:autoSpaceDN/>
        <w:bidi w:val="0"/>
        <w:adjustRightInd/>
        <w:snapToGrid/>
        <w:spacing w:line="420" w:lineRule="exact"/>
        <w:ind w:firstLine="560"/>
        <w:jc w:val="center"/>
        <w:rPr>
          <w:rFonts w:hint="eastAsia" w:ascii="仿宋_GB2312" w:eastAsia="仿宋_GB2312"/>
          <w:sz w:val="28"/>
          <w:szCs w:val="28"/>
        </w:rPr>
      </w:pPr>
    </w:p>
    <w:p>
      <w:pPr>
        <w:pStyle w:val="29"/>
        <w:keepNext w:val="0"/>
        <w:keepLines w:val="0"/>
        <w:pageBreakBefore w:val="0"/>
        <w:kinsoku/>
        <w:wordWrap/>
        <w:overflowPunct/>
        <w:topLinePunct w:val="0"/>
        <w:autoSpaceDE/>
        <w:autoSpaceDN/>
        <w:bidi w:val="0"/>
        <w:adjustRightInd/>
        <w:snapToGrid/>
        <w:spacing w:line="420" w:lineRule="exact"/>
        <w:ind w:firstLine="560"/>
        <w:jc w:val="center"/>
        <w:rPr>
          <w:rFonts w:hint="eastAsia" w:ascii="仿宋_GB2312" w:eastAsia="仿宋_GB2312"/>
          <w:sz w:val="28"/>
          <w:szCs w:val="28"/>
        </w:rPr>
      </w:pPr>
    </w:p>
    <w:p/>
    <w:p>
      <w:pPr>
        <w:numPr>
          <w:ilvl w:val="0"/>
          <w:numId w:val="1"/>
        </w:numPr>
        <w:spacing w:line="360" w:lineRule="auto"/>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院内公开采购项目需求</w:t>
      </w:r>
    </w:p>
    <w:p>
      <w:pPr>
        <w:spacing w:beforeLines="100" w:afterLines="50" w:line="360" w:lineRule="auto"/>
        <w:ind w:firstLine="643" w:firstLineChars="200"/>
        <w:jc w:val="center"/>
      </w:pPr>
      <w:r>
        <w:rPr>
          <w:rFonts w:hint="eastAsia" w:ascii="仿宋_GB2312" w:hAnsi="仿宋_GB2312" w:eastAsia="仿宋_GB2312" w:cs="仿宋_GB2312"/>
          <w:b/>
          <w:bCs/>
          <w:sz w:val="32"/>
          <w:szCs w:val="32"/>
        </w:rPr>
        <w:t>第一部分　供应商资质及商务条件</w:t>
      </w:r>
    </w:p>
    <w:p>
      <w:pPr>
        <w:widowControl/>
        <w:spacing w:line="500" w:lineRule="exact"/>
        <w:ind w:firstLine="560" w:firstLineChars="200"/>
        <w:jc w:val="left"/>
        <w:rPr>
          <w:rFonts w:ascii="仿宋_GB2312" w:hAnsi="仿宋_GB2312" w:eastAsia="仿宋_GB2312" w:cs="仿宋_GB2312"/>
          <w:sz w:val="28"/>
          <w:szCs w:val="28"/>
        </w:rPr>
      </w:pPr>
    </w:p>
    <w:p>
      <w:pPr>
        <w:pStyle w:val="27"/>
        <w:keepNext w:val="0"/>
        <w:keepLines w:val="0"/>
        <w:pageBreakBefore w:val="0"/>
        <w:kinsoku/>
        <w:wordWrap/>
        <w:overflowPunct/>
        <w:topLinePunct w:val="0"/>
        <w:autoSpaceDE/>
        <w:autoSpaceDN/>
        <w:bidi w:val="0"/>
        <w:adjustRightInd/>
        <w:snapToGrid/>
        <w:spacing w:line="460" w:lineRule="exact"/>
        <w:ind w:firstLine="562" w:firstLineChars="200"/>
        <w:rPr>
          <w:rFonts w:hint="default"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bCs/>
          <w:sz w:val="28"/>
          <w:szCs w:val="28"/>
        </w:rPr>
        <w:t>一、项目概况：</w:t>
      </w:r>
      <w:r>
        <w:rPr>
          <w:rFonts w:hint="eastAsia" w:ascii="仿宋_GB2312" w:hAnsi="仿宋_GB2312" w:eastAsia="仿宋_GB2312" w:cs="仿宋_GB2312"/>
          <w:b w:val="0"/>
          <w:bCs w:val="0"/>
          <w:kern w:val="2"/>
          <w:sz w:val="28"/>
          <w:szCs w:val="28"/>
          <w:lang w:val="en-US" w:eastAsia="zh-CN" w:bidi="ar-SA"/>
        </w:rPr>
        <w:t>为了保护环境，使得治疗过程中产生的废水稳定达标排放。项目包含但不仅限于：我院简竹护理院及樟树布社康有关污水处理机的相关维护保养及检测费用，包括污水处理机月度及季度维保、每月污水监测及系统数据填报、药品费用、人员支出等。</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560" w:firstLineChars="200"/>
        <w:rPr>
          <w:rFonts w:hint="default"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lang w:val="en-US" w:eastAsia="zh-CN" w:bidi="ar-SA"/>
        </w:rPr>
        <w:t>二、预算价格：</w:t>
      </w:r>
      <w:r>
        <w:rPr>
          <w:rFonts w:ascii="仿宋_GB2312" w:hAnsi="仿宋_GB2312" w:eastAsia="仿宋_GB2312" w:cs="仿宋_GB2312"/>
          <w:b w:val="0"/>
          <w:bCs w:val="0"/>
          <w:kern w:val="2"/>
          <w:sz w:val="28"/>
          <w:szCs w:val="28"/>
          <w:lang w:val="en-US" w:eastAsia="zh-CN" w:bidi="ar-SA"/>
        </w:rPr>
        <w:t>预算</w:t>
      </w:r>
      <w:r>
        <w:rPr>
          <w:rFonts w:hint="eastAsia" w:ascii="仿宋_GB2312" w:hAnsi="仿宋_GB2312" w:eastAsia="仿宋_GB2312" w:cs="仿宋_GB2312"/>
          <w:b w:val="0"/>
          <w:bCs w:val="0"/>
          <w:kern w:val="2"/>
          <w:sz w:val="28"/>
          <w:szCs w:val="28"/>
          <w:lang w:val="en-US" w:eastAsia="zh-CN" w:bidi="ar-SA"/>
        </w:rPr>
        <w:t>金额为143788.04元，</w:t>
      </w:r>
      <w:r>
        <w:rPr>
          <w:rFonts w:hint="eastAsia" w:ascii="仿宋_GB2312" w:hAnsi="仿宋_GB2312" w:eastAsia="仿宋_GB2312" w:cs="仿宋_GB2312"/>
          <w:kern w:val="0"/>
          <w:sz w:val="28"/>
          <w:szCs w:val="28"/>
          <w:lang w:val="en-US" w:eastAsia="zh-CN" w:bidi="ar-SA"/>
        </w:rPr>
        <w:t>此</w:t>
      </w:r>
      <w:r>
        <w:rPr>
          <w:rFonts w:ascii="仿宋_GB2312" w:hAnsi="仿宋_GB2312" w:eastAsia="仿宋_GB2312" w:cs="仿宋_GB2312"/>
          <w:b w:val="0"/>
          <w:bCs w:val="0"/>
          <w:kern w:val="2"/>
          <w:sz w:val="28"/>
          <w:szCs w:val="28"/>
        </w:rPr>
        <w:t>预算金额为合同期内最高支付上限。</w:t>
      </w:r>
    </w:p>
    <w:p>
      <w:pPr>
        <w:pStyle w:val="27"/>
        <w:keepNext w:val="0"/>
        <w:keepLines w:val="0"/>
        <w:pageBreakBefore w:val="0"/>
        <w:kinsoku/>
        <w:wordWrap/>
        <w:overflowPunct/>
        <w:topLinePunct w:val="0"/>
        <w:autoSpaceDE/>
        <w:autoSpaceDN/>
        <w:bidi w:val="0"/>
        <w:adjustRightInd/>
        <w:snapToGrid/>
        <w:spacing w:line="560" w:lineRule="exact"/>
        <w:ind w:firstLine="562" w:firstLineChars="200"/>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三、采购活动时间要求：</w:t>
      </w:r>
    </w:p>
    <w:p>
      <w:pPr>
        <w:pStyle w:val="27"/>
        <w:keepNext w:val="0"/>
        <w:keepLines w:val="0"/>
        <w:pageBreakBefore w:val="0"/>
        <w:kinsoku/>
        <w:wordWrap/>
        <w:overflowPunct/>
        <w:topLinePunct w:val="0"/>
        <w:autoSpaceDE/>
        <w:autoSpaceDN/>
        <w:bidi w:val="0"/>
        <w:adjustRightInd/>
        <w:snapToGrid/>
        <w:spacing w:line="5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四、采购组织形式（</w:t>
      </w:r>
      <w:r>
        <w:rPr>
          <w:rFonts w:hint="eastAsia" w:ascii="仿宋_GB2312" w:hAnsi="仿宋_GB2312" w:eastAsia="仿宋_GB2312" w:cs="仿宋_GB2312"/>
          <w:b/>
          <w:bCs/>
          <w:color w:val="FF0000"/>
          <w:sz w:val="28"/>
          <w:szCs w:val="28"/>
        </w:rPr>
        <w:t>勾选</w:t>
      </w:r>
      <w:r>
        <w:rPr>
          <w:rFonts w:hint="eastAsia" w:ascii="仿宋_GB2312" w:hAnsi="仿宋_GB2312" w:eastAsia="仿宋_GB2312" w:cs="仿宋_GB2312"/>
          <w:b/>
          <w:bCs/>
          <w:sz w:val="28"/>
          <w:szCs w:val="28"/>
        </w:rPr>
        <w:t>）：</w:t>
      </w:r>
      <w:r>
        <w:rPr>
          <w:rFonts w:hint="eastAsia" w:ascii="仿宋_GB2312" w:hAnsi="仿宋_GB2312" w:eastAsia="仿宋_GB2312" w:cs="仿宋_GB2312"/>
          <w:sz w:val="28"/>
          <w:szCs w:val="28"/>
        </w:rPr>
        <w:t>政府集中采购□、院内集中采购☑、院内委托代理采购□ 、集团联合采购□、其他□。</w:t>
      </w:r>
    </w:p>
    <w:p>
      <w:pPr>
        <w:keepNext w:val="0"/>
        <w:keepLines w:val="0"/>
        <w:pageBreakBefore w:val="0"/>
        <w:kinsoku/>
        <w:wordWrap/>
        <w:overflowPunct/>
        <w:topLinePunct w:val="0"/>
        <w:autoSpaceDE/>
        <w:autoSpaceDN/>
        <w:bidi w:val="0"/>
        <w:adjustRightInd/>
        <w:snapToGrid/>
        <w:spacing w:line="560" w:lineRule="exact"/>
      </w:pPr>
      <w:r>
        <w:rPr>
          <w:rFonts w:hint="eastAsia" w:ascii="仿宋_GB2312" w:hAnsi="仿宋_GB2312" w:eastAsia="仿宋_GB2312" w:cs="仿宋_GB2312"/>
          <w:b/>
          <w:bCs/>
          <w:sz w:val="28"/>
          <w:szCs w:val="28"/>
        </w:rPr>
        <w:t xml:space="preserve">    五、采购方式（</w:t>
      </w:r>
      <w:r>
        <w:rPr>
          <w:rFonts w:hint="eastAsia" w:ascii="仿宋_GB2312" w:hAnsi="仿宋_GB2312" w:eastAsia="仿宋_GB2312" w:cs="仿宋_GB2312"/>
          <w:b/>
          <w:bCs/>
          <w:color w:val="FF0000"/>
          <w:sz w:val="28"/>
          <w:szCs w:val="28"/>
        </w:rPr>
        <w:t>勾选</w:t>
      </w:r>
      <w:r>
        <w:rPr>
          <w:rFonts w:hint="eastAsia" w:ascii="仿宋_GB2312" w:hAnsi="仿宋_GB2312" w:eastAsia="仿宋_GB2312" w:cs="仿宋_GB2312"/>
          <w:b/>
          <w:bCs/>
          <w:sz w:val="28"/>
          <w:szCs w:val="28"/>
        </w:rPr>
        <w:t>）：</w:t>
      </w:r>
      <w:r>
        <w:rPr>
          <w:rFonts w:hint="eastAsia" w:ascii="仿宋_GB2312" w:hAnsi="仿宋_GB2312" w:eastAsia="仿宋_GB2312" w:cs="仿宋_GB2312"/>
          <w:sz w:val="28"/>
          <w:szCs w:val="28"/>
        </w:rPr>
        <w:t>院内招标☑、院内竞价□、院内邀标□、院内询价□、竞争性磋商□、院内直接议价□、其他□。</w:t>
      </w:r>
    </w:p>
    <w:p>
      <w:pPr>
        <w:keepNext w:val="0"/>
        <w:keepLines w:val="0"/>
        <w:pageBreakBefore w:val="0"/>
        <w:widowControl/>
        <w:kinsoku/>
        <w:wordWrap/>
        <w:overflowPunct/>
        <w:topLinePunct w:val="0"/>
        <w:autoSpaceDE/>
        <w:autoSpaceDN/>
        <w:bidi w:val="0"/>
        <w:adjustRightInd/>
        <w:snapToGrid/>
        <w:spacing w:line="560" w:lineRule="exact"/>
        <w:ind w:firstLine="562" w:firstLineChars="200"/>
        <w:jc w:val="left"/>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六、投标人资格要求</w:t>
      </w:r>
    </w:p>
    <w:p>
      <w:pPr>
        <w:pStyle w:val="29"/>
        <w:spacing w:line="42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1.具有独立法人资格或具有独立承担民事责任的能力的其</w:t>
      </w:r>
      <w:r>
        <w:rPr>
          <w:rFonts w:hint="eastAsia" w:ascii="仿宋_GB2312" w:hAnsi="仿宋_GB2312" w:eastAsia="仿宋_GB2312" w:cs="仿宋_GB2312"/>
          <w:sz w:val="28"/>
          <w:szCs w:val="28"/>
          <w:lang w:val="en-US" w:eastAsia="zh-CN"/>
        </w:rPr>
        <w:t>他</w:t>
      </w:r>
      <w:r>
        <w:rPr>
          <w:rFonts w:hint="eastAsia" w:ascii="仿宋_GB2312" w:hAnsi="仿宋_GB2312" w:eastAsia="仿宋_GB2312" w:cs="仿宋_GB2312"/>
          <w:sz w:val="28"/>
          <w:szCs w:val="28"/>
        </w:rPr>
        <w:t>组织（提供营业执照或事业单位法人证等法人证明扫描件，原件备查）；</w:t>
      </w:r>
    </w:p>
    <w:p>
      <w:pPr>
        <w:pStyle w:val="29"/>
        <w:spacing w:line="42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2.满足《中华人民共和国政府采购法》第二十二条规定；</w:t>
      </w:r>
    </w:p>
    <w:p>
      <w:pPr>
        <w:pStyle w:val="29"/>
        <w:spacing w:line="42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3.落实政府采购政策需满足的资格要求：按照相关规定执行，详见采购需求标准。</w:t>
      </w:r>
    </w:p>
    <w:p>
      <w:pPr>
        <w:pStyle w:val="29"/>
        <w:spacing w:line="42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4.本项目不接受联合体投标，不允许分包、转包，不接受进口产品；</w:t>
      </w:r>
    </w:p>
    <w:p>
      <w:pPr>
        <w:pStyle w:val="29"/>
        <w:spacing w:line="42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5.参与本项目投标前三年内，在经营活动中没有重大违法记录；</w:t>
      </w:r>
    </w:p>
    <w:p>
      <w:pPr>
        <w:pStyle w:val="29"/>
        <w:spacing w:line="42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6.参与本项目政府采购活动时不存在被有关部门禁止参与政府采购活动且在有效期内的情况；</w:t>
      </w:r>
    </w:p>
    <w:p>
      <w:pPr>
        <w:pStyle w:val="29"/>
        <w:spacing w:line="42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7.未被列入失信被执行人、重大税收违法案件当事人名单、政府采购严重违法失信行为记录名单；</w:t>
      </w:r>
    </w:p>
    <w:p>
      <w:pPr>
        <w:pStyle w:val="29"/>
        <w:spacing w:line="420" w:lineRule="exact"/>
        <w:ind w:firstLine="560"/>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8.与其他投标供应商不存在单位负责人为同一人或者存在直接控股、管理关系</w:t>
      </w:r>
      <w:r>
        <w:rPr>
          <w:rFonts w:hint="eastAsia" w:ascii="仿宋_GB2312" w:hAnsi="仿宋_GB2312" w:eastAsia="仿宋_GB2312" w:cs="仿宋_GB2312"/>
          <w:sz w:val="28"/>
          <w:szCs w:val="28"/>
          <w:lang w:eastAsia="zh-CN"/>
        </w:rPr>
        <w:t>；</w:t>
      </w:r>
    </w:p>
    <w:p>
      <w:pPr>
        <w:pStyle w:val="29"/>
        <w:spacing w:line="420" w:lineRule="exact"/>
        <w:ind w:firstLine="560"/>
        <w:jc w:val="lef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lang w:val="zh-CN"/>
        </w:rPr>
        <w:t>投标人须具备住房和建设局颁发的环保工程专业承包三级</w:t>
      </w:r>
      <w:r>
        <w:rPr>
          <w:rFonts w:hint="eastAsia" w:ascii="仿宋_GB2312" w:hAnsi="仿宋_GB2312" w:eastAsia="仿宋_GB2312" w:cs="仿宋_GB2312"/>
          <w:sz w:val="28"/>
          <w:szCs w:val="28"/>
          <w:lang w:val="en-US" w:eastAsia="zh-CN"/>
        </w:rPr>
        <w:t>或以上</w:t>
      </w:r>
      <w:r>
        <w:rPr>
          <w:rFonts w:hint="eastAsia" w:ascii="仿宋_GB2312" w:hAnsi="仿宋_GB2312" w:eastAsia="仿宋_GB2312" w:cs="仿宋_GB2312"/>
          <w:sz w:val="28"/>
          <w:szCs w:val="28"/>
          <w:lang w:val="zh-CN"/>
        </w:rPr>
        <w:t>证书(提供相关证明材料)。</w:t>
      </w:r>
    </w:p>
    <w:p>
      <w:pPr>
        <w:pStyle w:val="29"/>
        <w:spacing w:line="360" w:lineRule="exact"/>
        <w:ind w:firstLine="560"/>
        <w:jc w:val="left"/>
        <w:rPr>
          <w:rFonts w:hint="eastAsia" w:ascii="宋体" w:hAnsi="宋体" w:eastAsia="宋体" w:cs="黑体"/>
          <w:kern w:val="2"/>
          <w:sz w:val="24"/>
          <w:szCs w:val="24"/>
          <w:lang w:val="en-US" w:eastAsia="zh-CN" w:bidi="ar-SA"/>
        </w:rPr>
      </w:pPr>
      <w:r>
        <w:rPr>
          <w:rFonts w:hint="eastAsia" w:ascii="仿宋_GB2312" w:hAnsi="仿宋_GB2312" w:eastAsia="仿宋_GB2312" w:cs="仿宋_GB2312"/>
          <w:sz w:val="28"/>
          <w:szCs w:val="28"/>
        </w:rPr>
        <w:t>以上</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至</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条须供应商在《投标及履约承诺函》中作出声明。</w:t>
      </w:r>
    </w:p>
    <w:p>
      <w:pPr>
        <w:pStyle w:val="7"/>
        <w:numPr>
          <w:ilvl w:val="0"/>
          <w:numId w:val="0"/>
        </w:numPr>
        <w:ind w:leftChars="0" w:firstLine="562" w:firstLineChars="200"/>
        <w:rPr>
          <w:rFonts w:hint="default"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七、需求内容</w:t>
      </w:r>
    </w:p>
    <w:tbl>
      <w:tblPr>
        <w:tblStyle w:val="21"/>
        <w:tblW w:w="9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442"/>
        <w:gridCol w:w="7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 w:val="21"/>
                <w:szCs w:val="21"/>
                <w:lang w:val="zh-CN"/>
              </w:rPr>
            </w:pPr>
            <w:r>
              <w:rPr>
                <w:rFonts w:hint="eastAsia" w:ascii="宋体" w:hAnsi="宋体" w:eastAsia="宋体" w:cs="宋体"/>
                <w:b/>
                <w:bCs/>
                <w:sz w:val="21"/>
                <w:szCs w:val="21"/>
                <w:lang w:val="zh-CN"/>
              </w:rPr>
              <w:t>序号</w:t>
            </w:r>
          </w:p>
        </w:tc>
        <w:tc>
          <w:tcPr>
            <w:tcW w:w="14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 w:val="21"/>
                <w:szCs w:val="21"/>
                <w:lang w:val="zh-CN"/>
              </w:rPr>
            </w:pPr>
            <w:r>
              <w:rPr>
                <w:rFonts w:hint="eastAsia" w:ascii="宋体" w:hAnsi="宋体" w:eastAsia="宋体" w:cs="宋体"/>
                <w:b/>
                <w:bCs/>
                <w:sz w:val="21"/>
                <w:szCs w:val="21"/>
                <w:lang w:val="zh-CN"/>
              </w:rPr>
              <w:t>名  称</w:t>
            </w:r>
          </w:p>
        </w:tc>
        <w:tc>
          <w:tcPr>
            <w:tcW w:w="71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 w:val="21"/>
                <w:szCs w:val="21"/>
                <w:lang w:val="zh-CN"/>
              </w:rPr>
            </w:pPr>
            <w:r>
              <w:rPr>
                <w:rFonts w:hint="eastAsia" w:ascii="宋体" w:hAnsi="宋体" w:eastAsia="宋体" w:cs="宋体"/>
                <w:b/>
                <w:bCs/>
                <w:sz w:val="21"/>
                <w:szCs w:val="21"/>
                <w:lang w:val="zh-CN"/>
              </w:rPr>
              <w:t>主 要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sz w:val="21"/>
                <w:szCs w:val="21"/>
                <w:lang w:val="zh-CN"/>
              </w:rPr>
            </w:pPr>
            <w:r>
              <w:rPr>
                <w:rFonts w:hint="eastAsia" w:ascii="宋体" w:hAnsi="宋体" w:eastAsia="宋体" w:cs="宋体"/>
                <w:sz w:val="21"/>
                <w:szCs w:val="21"/>
                <w:lang w:val="zh-CN"/>
              </w:rPr>
              <w:t>1</w:t>
            </w:r>
          </w:p>
        </w:tc>
        <w:tc>
          <w:tcPr>
            <w:tcW w:w="144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sz w:val="21"/>
                <w:szCs w:val="21"/>
                <w:lang w:val="zh-CN"/>
              </w:rPr>
            </w:pPr>
            <w:r>
              <w:rPr>
                <w:rFonts w:hint="eastAsia" w:ascii="宋体" w:hAnsi="宋体" w:eastAsia="宋体" w:cs="宋体"/>
                <w:sz w:val="21"/>
                <w:szCs w:val="21"/>
                <w:lang w:val="zh-CN"/>
              </w:rPr>
              <w:t>项目名称</w:t>
            </w:r>
          </w:p>
        </w:tc>
        <w:tc>
          <w:tcPr>
            <w:tcW w:w="71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spacing w:line="460" w:lineRule="exact"/>
              <w:rPr>
                <w:rFonts w:hint="eastAsia" w:ascii="宋体" w:hAnsi="宋体" w:eastAsia="宋体" w:cs="宋体"/>
                <w:sz w:val="21"/>
                <w:szCs w:val="21"/>
                <w:lang w:val="zh-CN"/>
              </w:rPr>
            </w:pPr>
            <w:r>
              <w:rPr>
                <w:rFonts w:hint="eastAsia" w:ascii="宋体" w:hAnsi="宋体" w:eastAsia="宋体" w:cs="宋体"/>
                <w:kern w:val="0"/>
                <w:sz w:val="21"/>
                <w:szCs w:val="21"/>
                <w:lang w:val="en-US" w:eastAsia="zh-CN" w:bidi="ar-SA"/>
              </w:rPr>
              <w:t>医用污水处理设施保养维护、运行管理服务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lang w:val="zh-CN"/>
              </w:rPr>
            </w:pPr>
            <w:r>
              <w:rPr>
                <w:rFonts w:hint="eastAsia" w:ascii="宋体" w:hAnsi="宋体" w:eastAsia="宋体" w:cs="宋体"/>
                <w:sz w:val="21"/>
                <w:szCs w:val="21"/>
                <w:lang w:val="zh-CN"/>
              </w:rPr>
              <w:t>2</w:t>
            </w:r>
          </w:p>
        </w:tc>
        <w:tc>
          <w:tcPr>
            <w:tcW w:w="14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lang w:val="zh-CN"/>
              </w:rPr>
            </w:pPr>
            <w:r>
              <w:rPr>
                <w:rFonts w:hint="eastAsia" w:ascii="宋体" w:hAnsi="宋体" w:eastAsia="宋体" w:cs="宋体"/>
                <w:sz w:val="21"/>
                <w:szCs w:val="21"/>
                <w:lang w:val="zh-CN"/>
              </w:rPr>
              <w:t>采购单位</w:t>
            </w:r>
          </w:p>
        </w:tc>
        <w:tc>
          <w:tcPr>
            <w:tcW w:w="7106" w:type="dxa"/>
            <w:tcBorders>
              <w:top w:val="single" w:color="auto" w:sz="4" w:space="0"/>
              <w:left w:val="single" w:color="auto" w:sz="4" w:space="0"/>
              <w:bottom w:val="single" w:color="auto" w:sz="4" w:space="0"/>
              <w:right w:val="single" w:color="auto" w:sz="4" w:space="0"/>
            </w:tcBorders>
            <w:vAlign w:val="center"/>
          </w:tcPr>
          <w:p>
            <w:pPr>
              <w:pStyle w:val="9"/>
              <w:rPr>
                <w:rFonts w:hint="eastAsia" w:ascii="宋体" w:hAnsi="宋体" w:eastAsia="宋体" w:cs="宋体"/>
                <w:sz w:val="21"/>
                <w:szCs w:val="21"/>
                <w:lang w:val="zh-CN"/>
              </w:rPr>
            </w:pPr>
            <w:r>
              <w:rPr>
                <w:rFonts w:hint="eastAsia" w:ascii="宋体" w:hAnsi="宋体" w:eastAsia="宋体" w:cs="宋体"/>
                <w:sz w:val="21"/>
                <w:szCs w:val="21"/>
                <w:lang w:val="zh-CN"/>
              </w:rPr>
              <w:t>深圳市龙岗区第七人民医院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lang w:val="zh-CN"/>
              </w:rPr>
            </w:pPr>
            <w:r>
              <w:rPr>
                <w:rFonts w:hint="eastAsia" w:ascii="宋体" w:hAnsi="宋体" w:eastAsia="宋体" w:cs="宋体"/>
                <w:sz w:val="21"/>
                <w:szCs w:val="21"/>
                <w:lang w:val="zh-CN"/>
              </w:rPr>
              <w:t>3</w:t>
            </w:r>
          </w:p>
        </w:tc>
        <w:tc>
          <w:tcPr>
            <w:tcW w:w="14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lang w:val="zh-CN"/>
              </w:rPr>
            </w:pPr>
            <w:r>
              <w:rPr>
                <w:rFonts w:hint="eastAsia" w:ascii="宋体" w:hAnsi="宋体" w:eastAsia="宋体" w:cs="宋体"/>
                <w:sz w:val="21"/>
                <w:szCs w:val="21"/>
                <w:lang w:val="zh-CN"/>
              </w:rPr>
              <w:t>服务范围</w:t>
            </w:r>
          </w:p>
        </w:tc>
        <w:tc>
          <w:tcPr>
            <w:tcW w:w="7106"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sz w:val="21"/>
                <w:szCs w:val="21"/>
                <w:lang w:val="en-US"/>
              </w:rPr>
            </w:pPr>
            <w:r>
              <w:rPr>
                <w:rFonts w:hint="eastAsia" w:ascii="宋体" w:hAnsi="宋体" w:cs="宋体"/>
                <w:kern w:val="0"/>
                <w:sz w:val="21"/>
                <w:szCs w:val="21"/>
                <w:lang w:val="en-US" w:eastAsia="zh-CN" w:bidi="ar-SA"/>
              </w:rPr>
              <w:t>维持</w:t>
            </w:r>
            <w:r>
              <w:rPr>
                <w:rFonts w:hint="eastAsia" w:ascii="宋体" w:hAnsi="宋体" w:eastAsia="宋体" w:cs="宋体"/>
                <w:kern w:val="0"/>
                <w:sz w:val="21"/>
                <w:szCs w:val="21"/>
                <w:lang w:val="en-US" w:eastAsia="zh-CN" w:bidi="ar-SA"/>
              </w:rPr>
              <w:t>护理院及</w:t>
            </w:r>
            <w:r>
              <w:rPr>
                <w:rFonts w:hint="eastAsia" w:ascii="宋体" w:hAnsi="宋体" w:cs="宋体"/>
                <w:kern w:val="0"/>
                <w:sz w:val="21"/>
                <w:szCs w:val="21"/>
                <w:lang w:val="en-US" w:eastAsia="zh-CN" w:bidi="ar-SA"/>
              </w:rPr>
              <w:t>樟树布</w:t>
            </w:r>
            <w:r>
              <w:rPr>
                <w:rFonts w:hint="eastAsia" w:ascii="宋体" w:hAnsi="宋体" w:eastAsia="宋体" w:cs="宋体"/>
                <w:kern w:val="0"/>
                <w:sz w:val="21"/>
                <w:szCs w:val="21"/>
                <w:lang w:val="en-US" w:eastAsia="zh-CN" w:bidi="ar-SA"/>
              </w:rPr>
              <w:t>社康有关污水处理</w:t>
            </w:r>
            <w:r>
              <w:rPr>
                <w:rFonts w:hint="eastAsia" w:ascii="宋体" w:hAnsi="宋体" w:cs="宋体"/>
                <w:kern w:val="0"/>
                <w:sz w:val="21"/>
                <w:szCs w:val="21"/>
                <w:lang w:val="en-US" w:eastAsia="zh-CN" w:bidi="ar-SA"/>
              </w:rPr>
              <w:t>系统正常运作及相关事项处理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lang w:val="zh-CN"/>
              </w:rPr>
            </w:pPr>
            <w:r>
              <w:rPr>
                <w:rFonts w:hint="eastAsia" w:ascii="宋体" w:hAnsi="宋体" w:eastAsia="宋体" w:cs="宋体"/>
                <w:sz w:val="21"/>
                <w:szCs w:val="21"/>
                <w:lang w:val="zh-CN"/>
              </w:rPr>
              <w:t>4</w:t>
            </w:r>
          </w:p>
        </w:tc>
        <w:tc>
          <w:tcPr>
            <w:tcW w:w="14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lang w:val="zh-CN"/>
              </w:rPr>
            </w:pPr>
            <w:r>
              <w:rPr>
                <w:rFonts w:hint="eastAsia" w:ascii="宋体" w:hAnsi="宋体" w:eastAsia="宋体" w:cs="宋体"/>
                <w:sz w:val="21"/>
                <w:szCs w:val="21"/>
                <w:lang w:val="zh-CN"/>
              </w:rPr>
              <w:t>服务内容</w:t>
            </w:r>
          </w:p>
        </w:tc>
        <w:tc>
          <w:tcPr>
            <w:tcW w:w="7106" w:type="dxa"/>
            <w:tcBorders>
              <w:top w:val="single" w:color="auto" w:sz="4" w:space="0"/>
              <w:left w:val="single" w:color="auto" w:sz="4" w:space="0"/>
              <w:bottom w:val="single" w:color="auto" w:sz="4" w:space="0"/>
              <w:right w:val="single" w:color="auto" w:sz="4" w:space="0"/>
            </w:tcBorders>
            <w:vAlign w:val="center"/>
          </w:tcPr>
          <w:p>
            <w:pPr>
              <w:numPr>
                <w:ilvl w:val="0"/>
                <w:numId w:val="0"/>
              </w:numPr>
              <w:rPr>
                <w:rFonts w:hint="eastAsia"/>
                <w:lang w:val="en-US" w:eastAsia="zh-CN"/>
              </w:rPr>
            </w:pPr>
            <w:r>
              <w:rPr>
                <w:rFonts w:hint="eastAsia"/>
                <w:lang w:val="en-US" w:eastAsia="zh-CN"/>
              </w:rPr>
              <w:t>1.工艺系统机电设备维护（季度维保）</w:t>
            </w:r>
          </w:p>
          <w:p>
            <w:pPr>
              <w:numPr>
                <w:ilvl w:val="0"/>
                <w:numId w:val="0"/>
              </w:numPr>
              <w:rPr>
                <w:rFonts w:hint="default"/>
                <w:lang w:val="en-US" w:eastAsia="zh-CN"/>
              </w:rPr>
            </w:pPr>
            <w:r>
              <w:rPr>
                <w:rFonts w:hint="eastAsia"/>
                <w:lang w:val="en-US" w:eastAsia="zh-CN"/>
              </w:rPr>
              <w:t>2.</w:t>
            </w:r>
            <w:r>
              <w:rPr>
                <w:rFonts w:hint="default"/>
                <w:lang w:val="en-US" w:eastAsia="zh-CN"/>
              </w:rPr>
              <w:t>工艺系统机电设备维护（月度维保</w:t>
            </w:r>
            <w:r>
              <w:rPr>
                <w:rFonts w:hint="eastAsia"/>
                <w:lang w:val="en-US" w:eastAsia="zh-CN"/>
              </w:rPr>
              <w:t>）</w:t>
            </w:r>
          </w:p>
          <w:p>
            <w:pPr>
              <w:numPr>
                <w:ilvl w:val="0"/>
                <w:numId w:val="0"/>
              </w:numPr>
              <w:rPr>
                <w:rFonts w:hint="eastAsia"/>
                <w:lang w:val="en-US" w:eastAsia="zh-CN"/>
              </w:rPr>
            </w:pPr>
            <w:r>
              <w:rPr>
                <w:rFonts w:hint="eastAsia"/>
                <w:lang w:val="en-US" w:eastAsia="zh-CN"/>
              </w:rPr>
              <w:t>3.数据填写（日报、季度、年度）</w:t>
            </w:r>
          </w:p>
          <w:p>
            <w:pPr>
              <w:numPr>
                <w:ilvl w:val="0"/>
                <w:numId w:val="0"/>
              </w:numPr>
              <w:rPr>
                <w:rFonts w:hint="eastAsia"/>
                <w:lang w:val="en-US" w:eastAsia="zh-CN"/>
              </w:rPr>
            </w:pPr>
            <w:r>
              <w:rPr>
                <w:rFonts w:hint="eastAsia"/>
                <w:lang w:val="en-US" w:eastAsia="zh-CN"/>
              </w:rPr>
              <w:t>4.简竹护理院及樟树布社康每月1次的第三方检测</w:t>
            </w:r>
          </w:p>
          <w:p>
            <w:pPr>
              <w:numPr>
                <w:ilvl w:val="0"/>
                <w:numId w:val="0"/>
              </w:numPr>
              <w:rPr>
                <w:rFonts w:hint="eastAsia"/>
                <w:lang w:val="en-US" w:eastAsia="zh-CN"/>
              </w:rPr>
            </w:pPr>
            <w:r>
              <w:rPr>
                <w:rFonts w:hint="eastAsia"/>
                <w:lang w:val="en-US" w:eastAsia="zh-CN"/>
              </w:rPr>
              <w:t>5.在</w:t>
            </w:r>
            <w:r>
              <w:rPr>
                <w:rFonts w:hint="default"/>
                <w:lang w:val="en-US" w:eastAsia="zh-CN"/>
              </w:rPr>
              <w:t>合同有效期内</w:t>
            </w:r>
            <w:r>
              <w:rPr>
                <w:rFonts w:hint="eastAsia"/>
                <w:lang w:val="en-US" w:eastAsia="zh-CN"/>
              </w:rPr>
              <w:t>，保障污水排放符合要求（含</w:t>
            </w:r>
            <w:r>
              <w:rPr>
                <w:rFonts w:hint="default"/>
                <w:lang w:val="en-US" w:eastAsia="zh-CN"/>
              </w:rPr>
              <w:t>药剂投加</w:t>
            </w:r>
            <w:r>
              <w:rPr>
                <w:rFonts w:hint="eastAsia"/>
                <w:lang w:val="en-US" w:eastAsia="zh-CN"/>
              </w:rPr>
              <w:t>）</w:t>
            </w:r>
          </w:p>
          <w:p>
            <w:pPr>
              <w:pStyle w:val="9"/>
              <w:rPr>
                <w:rFonts w:hint="default"/>
                <w:lang w:val="en-US" w:eastAsia="zh-CN"/>
              </w:rPr>
            </w:pPr>
            <w:r>
              <w:rPr>
                <w:rFonts w:hint="eastAsia" w:ascii="Calibri" w:hAnsi="Calibri" w:eastAsia="宋体" w:cs="黑体"/>
                <w:kern w:val="2"/>
                <w:sz w:val="21"/>
                <w:szCs w:val="24"/>
                <w:lang w:val="en-US" w:eastAsia="zh-CN" w:bidi="ar-SA"/>
              </w:rPr>
              <w:t>6.其他</w:t>
            </w:r>
            <w:r>
              <w:rPr>
                <w:rFonts w:hint="eastAsia" w:ascii="宋体" w:hAnsi="宋体" w:cs="宋体"/>
                <w:kern w:val="0"/>
                <w:sz w:val="21"/>
                <w:szCs w:val="21"/>
                <w:lang w:val="en-US" w:eastAsia="zh-CN" w:bidi="ar-SA"/>
              </w:rPr>
              <w:t>相关事项处理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lang w:val="zh-CN" w:eastAsia="zh-CN"/>
              </w:rPr>
            </w:pPr>
            <w:r>
              <w:rPr>
                <w:rFonts w:hint="eastAsia" w:ascii="宋体" w:hAnsi="宋体" w:cs="宋体"/>
                <w:sz w:val="21"/>
                <w:szCs w:val="21"/>
                <w:lang w:val="en-US" w:eastAsia="zh-CN"/>
              </w:rPr>
              <w:t>5</w:t>
            </w:r>
          </w:p>
        </w:tc>
        <w:tc>
          <w:tcPr>
            <w:tcW w:w="14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lang w:val="zh-CN"/>
              </w:rPr>
            </w:pPr>
            <w:r>
              <w:rPr>
                <w:rFonts w:hint="eastAsia" w:ascii="宋体" w:hAnsi="宋体" w:eastAsia="宋体" w:cs="宋体"/>
                <w:sz w:val="21"/>
                <w:szCs w:val="21"/>
                <w:lang w:val="zh-CN"/>
              </w:rPr>
              <w:t>服务期</w:t>
            </w:r>
          </w:p>
        </w:tc>
        <w:tc>
          <w:tcPr>
            <w:tcW w:w="7106" w:type="dxa"/>
            <w:tcBorders>
              <w:top w:val="single" w:color="auto" w:sz="4" w:space="0"/>
              <w:left w:val="single" w:color="auto" w:sz="4" w:space="0"/>
              <w:bottom w:val="single" w:color="auto" w:sz="4" w:space="0"/>
              <w:right w:val="single" w:color="auto" w:sz="4" w:space="0"/>
            </w:tcBorders>
            <w:vAlign w:val="center"/>
          </w:tcPr>
          <w:p>
            <w:pPr>
              <w:pStyle w:val="9"/>
              <w:rPr>
                <w:rFonts w:hint="eastAsia" w:ascii="宋体" w:hAnsi="宋体" w:eastAsia="宋体" w:cs="宋体"/>
                <w:sz w:val="21"/>
                <w:szCs w:val="21"/>
                <w:lang w:val="zh-CN"/>
              </w:rPr>
            </w:pPr>
            <w:r>
              <w:rPr>
                <w:rFonts w:hint="eastAsia" w:cs="宋体"/>
                <w:sz w:val="21"/>
                <w:szCs w:val="21"/>
                <w:lang w:val="en-US"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lang w:val="zh-CN" w:eastAsia="zh-CN"/>
              </w:rPr>
            </w:pPr>
            <w:r>
              <w:rPr>
                <w:rFonts w:hint="eastAsia" w:ascii="宋体" w:hAnsi="宋体" w:cs="宋体"/>
                <w:sz w:val="21"/>
                <w:szCs w:val="21"/>
                <w:lang w:val="en-US" w:eastAsia="zh-CN"/>
              </w:rPr>
              <w:t>6</w:t>
            </w:r>
          </w:p>
        </w:tc>
        <w:tc>
          <w:tcPr>
            <w:tcW w:w="1442" w:type="dxa"/>
            <w:tcBorders>
              <w:top w:val="single" w:color="auto" w:sz="4" w:space="0"/>
              <w:left w:val="single" w:color="auto" w:sz="4" w:space="0"/>
              <w:bottom w:val="single" w:color="auto" w:sz="4" w:space="0"/>
              <w:right w:val="single" w:color="auto" w:sz="4" w:space="0"/>
            </w:tcBorders>
            <w:vAlign w:val="center"/>
          </w:tcPr>
          <w:p>
            <w:pPr>
              <w:tabs>
                <w:tab w:val="left" w:pos="346"/>
              </w:tabs>
              <w:spacing w:beforeLines="30" w:afterLines="30"/>
              <w:jc w:val="center"/>
              <w:rPr>
                <w:rFonts w:hint="eastAsia" w:ascii="宋体" w:hAnsi="宋体" w:eastAsia="宋体" w:cs="宋体"/>
                <w:sz w:val="21"/>
                <w:szCs w:val="21"/>
                <w:lang w:val="zh-CN"/>
              </w:rPr>
            </w:pPr>
            <w:r>
              <w:rPr>
                <w:rFonts w:hint="eastAsia" w:ascii="宋体" w:hAnsi="宋体" w:eastAsia="宋体" w:cs="宋体"/>
                <w:sz w:val="21"/>
                <w:szCs w:val="21"/>
                <w:lang w:val="zh-CN"/>
              </w:rPr>
              <w:t>报价方式</w:t>
            </w:r>
          </w:p>
        </w:tc>
        <w:tc>
          <w:tcPr>
            <w:tcW w:w="710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lang w:val="zh-CN"/>
              </w:rPr>
            </w:pPr>
            <w:r>
              <w:rPr>
                <w:rFonts w:hint="eastAsia" w:ascii="宋体" w:hAnsi="宋体" w:eastAsia="宋体" w:cs="宋体"/>
                <w:sz w:val="21"/>
                <w:szCs w:val="21"/>
                <w:lang w:val="zh-CN"/>
              </w:rPr>
              <w:t>固定总价包干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lang w:val="zh-CN" w:eastAsia="zh-CN"/>
              </w:rPr>
            </w:pPr>
            <w:r>
              <w:rPr>
                <w:rFonts w:hint="eastAsia" w:ascii="宋体" w:hAnsi="宋体" w:cs="宋体"/>
                <w:sz w:val="21"/>
                <w:szCs w:val="21"/>
                <w:lang w:val="en-US" w:eastAsia="zh-CN"/>
              </w:rPr>
              <w:t>7</w:t>
            </w:r>
          </w:p>
        </w:tc>
        <w:tc>
          <w:tcPr>
            <w:tcW w:w="1442" w:type="dxa"/>
            <w:tcBorders>
              <w:top w:val="single" w:color="auto" w:sz="4" w:space="0"/>
              <w:left w:val="single" w:color="auto" w:sz="4" w:space="0"/>
              <w:bottom w:val="single" w:color="auto" w:sz="4" w:space="0"/>
              <w:right w:val="single" w:color="auto" w:sz="4" w:space="0"/>
            </w:tcBorders>
            <w:vAlign w:val="center"/>
          </w:tcPr>
          <w:p>
            <w:pPr>
              <w:tabs>
                <w:tab w:val="left" w:pos="346"/>
              </w:tabs>
              <w:spacing w:beforeLines="30" w:afterLines="30"/>
              <w:jc w:val="center"/>
              <w:rPr>
                <w:rFonts w:hint="eastAsia" w:ascii="宋体" w:hAnsi="宋体" w:eastAsia="宋体" w:cs="宋体"/>
                <w:sz w:val="21"/>
                <w:szCs w:val="21"/>
                <w:lang w:val="zh-CN"/>
              </w:rPr>
            </w:pPr>
            <w:r>
              <w:rPr>
                <w:rFonts w:hint="eastAsia" w:ascii="宋体" w:hAnsi="宋体" w:eastAsia="宋体" w:cs="宋体"/>
                <w:sz w:val="21"/>
                <w:szCs w:val="21"/>
                <w:lang w:val="zh-CN"/>
              </w:rPr>
              <w:t>支付方式</w:t>
            </w:r>
          </w:p>
        </w:tc>
        <w:tc>
          <w:tcPr>
            <w:tcW w:w="710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lang w:val="zh-CN"/>
              </w:rPr>
            </w:pPr>
            <w:r>
              <w:rPr>
                <w:rFonts w:hint="eastAsia" w:ascii="宋体" w:hAnsi="宋体" w:eastAsia="宋体" w:cs="宋体"/>
                <w:sz w:val="21"/>
                <w:szCs w:val="21"/>
                <w:lang w:val="zh-CN"/>
              </w:rPr>
              <w:t>按月度支付费用，乙方向甲方提供相应的金额发票，甲方在收到乙方开具的合规税务发票和检测报告后，15日工作日内支付给乙方</w:t>
            </w:r>
            <w:r>
              <w:rPr>
                <w:rFonts w:hint="eastAsia" w:ascii="宋体" w:hAnsi="宋体" w:cs="宋体"/>
                <w:sz w:val="21"/>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lang w:val="zh-CN" w:eastAsia="zh-CN"/>
              </w:rPr>
            </w:pPr>
            <w:r>
              <w:rPr>
                <w:rFonts w:hint="eastAsia" w:ascii="宋体" w:hAnsi="宋体" w:cs="宋体"/>
                <w:sz w:val="21"/>
                <w:szCs w:val="21"/>
                <w:lang w:val="en-US" w:eastAsia="zh-CN"/>
              </w:rPr>
              <w:t>8</w:t>
            </w:r>
          </w:p>
        </w:tc>
        <w:tc>
          <w:tcPr>
            <w:tcW w:w="14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lang w:val="zh-CN"/>
              </w:rPr>
            </w:pPr>
            <w:r>
              <w:rPr>
                <w:rFonts w:hint="eastAsia" w:ascii="宋体" w:hAnsi="宋体" w:eastAsia="宋体" w:cs="宋体"/>
                <w:sz w:val="21"/>
                <w:szCs w:val="21"/>
                <w:lang w:val="zh-CN"/>
              </w:rPr>
              <w:t>中选评定</w:t>
            </w:r>
          </w:p>
          <w:p>
            <w:pPr>
              <w:snapToGrid w:val="0"/>
              <w:jc w:val="center"/>
              <w:rPr>
                <w:rFonts w:hint="eastAsia" w:ascii="宋体" w:hAnsi="宋体" w:eastAsia="宋体" w:cs="宋体"/>
                <w:sz w:val="21"/>
                <w:szCs w:val="21"/>
                <w:lang w:val="zh-CN"/>
              </w:rPr>
            </w:pPr>
            <w:r>
              <w:rPr>
                <w:rFonts w:hint="eastAsia" w:ascii="宋体" w:hAnsi="宋体" w:eastAsia="宋体" w:cs="宋体"/>
                <w:sz w:val="21"/>
                <w:szCs w:val="21"/>
                <w:lang w:val="zh-CN"/>
              </w:rPr>
              <w:t>方法</w:t>
            </w:r>
          </w:p>
        </w:tc>
        <w:tc>
          <w:tcPr>
            <w:tcW w:w="710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lang w:val="zh-CN"/>
              </w:rPr>
            </w:pPr>
            <w:r>
              <w:rPr>
                <w:rFonts w:hint="eastAsia" w:ascii="宋体" w:hAnsi="宋体" w:eastAsia="宋体" w:cs="宋体"/>
                <w:sz w:val="21"/>
                <w:szCs w:val="21"/>
                <w:lang w:val="zh-CN"/>
              </w:rPr>
              <w:t>采用综合评分法，在最大限度地满足招标文件实质性要求的投标人中，评标总得分最高的投标人作为中标人。</w:t>
            </w:r>
          </w:p>
        </w:tc>
      </w:tr>
    </w:tbl>
    <w:p>
      <w:pPr>
        <w:pStyle w:val="27"/>
        <w:spacing w:line="56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八</w:t>
      </w:r>
      <w:r>
        <w:rPr>
          <w:rFonts w:hint="eastAsia" w:ascii="仿宋_GB2312" w:hAnsi="仿宋_GB2312" w:eastAsia="仿宋_GB2312" w:cs="仿宋_GB2312"/>
          <w:b/>
          <w:bCs/>
          <w:sz w:val="28"/>
          <w:szCs w:val="28"/>
        </w:rPr>
        <w:t>、报价要求</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报价人总价包干。</w:t>
      </w:r>
      <w:r>
        <w:rPr>
          <w:rFonts w:ascii="仿宋_GB2312" w:hAnsi="仿宋_GB2312" w:eastAsia="仿宋_GB2312" w:cs="仿宋_GB2312"/>
          <w:b w:val="0"/>
          <w:bCs w:val="0"/>
          <w:kern w:val="2"/>
          <w:sz w:val="28"/>
          <w:szCs w:val="28"/>
        </w:rPr>
        <w:t>预算</w:t>
      </w:r>
      <w:r>
        <w:rPr>
          <w:rFonts w:hint="eastAsia" w:ascii="仿宋_GB2312" w:hAnsi="仿宋_GB2312" w:eastAsia="仿宋_GB2312" w:cs="仿宋_GB2312"/>
          <w:kern w:val="0"/>
          <w:sz w:val="28"/>
          <w:szCs w:val="28"/>
          <w:lang w:val="en-US" w:eastAsia="zh-CN" w:bidi="ar-SA"/>
        </w:rPr>
        <w:t>金额为143788.04元，此</w:t>
      </w:r>
      <w:r>
        <w:rPr>
          <w:rFonts w:ascii="仿宋_GB2312" w:hAnsi="仿宋_GB2312" w:eastAsia="仿宋_GB2312" w:cs="仿宋_GB2312"/>
          <w:b w:val="0"/>
          <w:bCs w:val="0"/>
          <w:kern w:val="2"/>
          <w:sz w:val="28"/>
          <w:szCs w:val="28"/>
        </w:rPr>
        <w:t>预算金额为合同期内最高支付上限</w:t>
      </w:r>
      <w:r>
        <w:rPr>
          <w:rFonts w:hint="eastAsia" w:ascii="仿宋_GB2312" w:hAnsi="仿宋_GB2312" w:eastAsia="仿宋_GB2312" w:cs="仿宋_GB2312"/>
          <w:b w:val="0"/>
          <w:bCs w:val="0"/>
          <w:kern w:val="2"/>
          <w:sz w:val="28"/>
          <w:szCs w:val="28"/>
          <w:lang w:eastAsia="zh-CN"/>
        </w:rPr>
        <w:t>，</w:t>
      </w:r>
      <w:r>
        <w:rPr>
          <w:rFonts w:ascii="仿宋_GB2312" w:hAnsi="仿宋_GB2312" w:eastAsia="仿宋_GB2312" w:cs="仿宋_GB2312"/>
          <w:b w:val="0"/>
          <w:bCs w:val="0"/>
          <w:kern w:val="2"/>
          <w:sz w:val="28"/>
          <w:szCs w:val="28"/>
        </w:rPr>
        <w:t>报价高于标的，本次投标视为无效投标</w:t>
      </w:r>
      <w:r>
        <w:rPr>
          <w:rFonts w:hint="eastAsia" w:ascii="仿宋_GB2312" w:hAnsi="仿宋_GB2312" w:eastAsia="仿宋_GB2312" w:cs="仿宋_GB2312"/>
          <w:b w:val="0"/>
          <w:bCs w:val="0"/>
          <w:kern w:val="2"/>
          <w:sz w:val="28"/>
          <w:szCs w:val="28"/>
          <w:lang w:eastAsia="zh-CN"/>
        </w:rPr>
        <w:t>。</w:t>
      </w:r>
    </w:p>
    <w:p>
      <w:pPr>
        <w:pStyle w:val="27"/>
        <w:numPr>
          <w:ilvl w:val="0"/>
          <w:numId w:val="0"/>
        </w:numPr>
        <w:spacing w:line="56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kern w:val="0"/>
          <w:sz w:val="28"/>
          <w:szCs w:val="28"/>
          <w:lang w:val="en-US" w:eastAsia="zh-CN" w:bidi="ar-SA"/>
        </w:rPr>
        <w:t>九、</w:t>
      </w:r>
      <w:r>
        <w:rPr>
          <w:rFonts w:hint="eastAsia" w:ascii="仿宋_GB2312" w:hAnsi="仿宋_GB2312" w:eastAsia="仿宋_GB2312" w:cs="仿宋_GB2312"/>
          <w:b/>
          <w:bCs/>
          <w:sz w:val="28"/>
          <w:szCs w:val="28"/>
        </w:rPr>
        <w:t>服务（售后）条款</w:t>
      </w:r>
    </w:p>
    <w:p>
      <w:pPr>
        <w:pStyle w:val="27"/>
        <w:spacing w:line="560" w:lineRule="exact"/>
        <w:ind w:firstLine="560" w:firstLineChars="200"/>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对深圳市龙岗区第七人民医院医用废水处理设施保养维护、运行管理工程，监测周期：暂定监测一年，每个月监测一次并出具检测报告，具体每次检测工作内容如下：</w:t>
      </w:r>
    </w:p>
    <w:p>
      <w:pPr>
        <w:pStyle w:val="27"/>
        <w:spacing w:line="560" w:lineRule="exact"/>
        <w:ind w:firstLine="560" w:firstLineChars="200"/>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1.保证处理后的污水达到排放标准：中华人民共和国国家标准《医疗机构水污染物排放标准》，并承担出水不达标所造成的一切责任。</w:t>
      </w:r>
    </w:p>
    <w:p>
      <w:pPr>
        <w:pStyle w:val="27"/>
        <w:spacing w:line="560" w:lineRule="exact"/>
        <w:ind w:firstLine="560" w:firstLineChars="200"/>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2.遵守甲方的管理制度并根据污水处理站操作规程编制设备保养。</w:t>
      </w:r>
    </w:p>
    <w:p>
      <w:pPr>
        <w:pStyle w:val="27"/>
        <w:spacing w:line="560" w:lineRule="exact"/>
        <w:ind w:firstLine="560" w:firstLineChars="200"/>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3.编制每日运行记录，将每日记录存档以备查验（含药品的加注及环保监察记录），年终一并交由院方存档保管。</w:t>
      </w:r>
    </w:p>
    <w:p>
      <w:pPr>
        <w:pStyle w:val="27"/>
        <w:spacing w:line="560" w:lineRule="exact"/>
        <w:ind w:firstLine="560" w:firstLineChars="200"/>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4.负责环保部门下发的各项文件表格的处理，处理完成后呈报院方审阅盖章并上缴环保部门。</w:t>
      </w:r>
    </w:p>
    <w:p>
      <w:pPr>
        <w:pStyle w:val="27"/>
        <w:spacing w:line="560" w:lineRule="exact"/>
        <w:ind w:firstLine="560" w:firstLineChars="200"/>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5.负责及时处理污泥，确保各处理器具容积不受影响，负责日常机械设备的维护。</w:t>
      </w:r>
    </w:p>
    <w:p>
      <w:pPr>
        <w:pStyle w:val="27"/>
        <w:spacing w:line="560" w:lineRule="exact"/>
        <w:ind w:firstLine="560" w:firstLineChars="200"/>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6.根据设施运行需要，派员工对设施实施全方位管理，确保设施正常运转，杜绝人为设备事故发生，并承担因操作不当引起的事故和损坏及其设备的责任。</w:t>
      </w:r>
    </w:p>
    <w:p>
      <w:pPr>
        <w:pStyle w:val="27"/>
        <w:spacing w:line="560" w:lineRule="exact"/>
        <w:ind w:firstLine="560" w:firstLineChars="200"/>
        <w:rPr>
          <w:rFonts w:hint="default"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7.安排工作人员对污水处理系统进行维护保养、信息填报等工作及每日药物投放等工作，保障项目服务正常运行。</w:t>
      </w:r>
    </w:p>
    <w:p>
      <w:pPr>
        <w:pStyle w:val="27"/>
        <w:spacing w:line="560" w:lineRule="exact"/>
        <w:ind w:firstLine="560" w:firstLineChars="200"/>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8.服务期满后，在后续服务单位未到位前的过渡期间仍按原合同服务承诺提供运营服务。运营费用按原合同金额按月执行，直到新运营单位完全接手。</w:t>
      </w:r>
    </w:p>
    <w:p>
      <w:pPr>
        <w:pStyle w:val="27"/>
        <w:numPr>
          <w:ilvl w:val="0"/>
          <w:numId w:val="0"/>
        </w:numPr>
        <w:spacing w:line="560" w:lineRule="exact"/>
        <w:ind w:firstLine="562"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kern w:val="0"/>
          <w:sz w:val="28"/>
          <w:szCs w:val="28"/>
          <w:lang w:val="en-US" w:eastAsia="zh-CN" w:bidi="ar-SA"/>
        </w:rPr>
        <w:t>十、</w:t>
      </w:r>
      <w:r>
        <w:rPr>
          <w:rFonts w:hint="eastAsia" w:ascii="仿宋_GB2312" w:hAnsi="仿宋_GB2312" w:eastAsia="仿宋_GB2312" w:cs="仿宋_GB2312"/>
          <w:b/>
          <w:bCs/>
          <w:sz w:val="28"/>
          <w:szCs w:val="28"/>
          <w:lang w:val="en-US" w:eastAsia="zh-CN"/>
        </w:rPr>
        <w:t>验收方案：</w:t>
      </w:r>
    </w:p>
    <w:p>
      <w:pPr>
        <w:pStyle w:val="27"/>
        <w:spacing w:line="560" w:lineRule="exact"/>
        <w:ind w:firstLine="560" w:firstLineChars="200"/>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1.乙方派驻相关技术人员到现场负责污水处理站的运营，出水需要达到《医疗机构水污染物排放标准(GB18466-2005)》相应标准;</w:t>
      </w:r>
    </w:p>
    <w:p>
      <w:pPr>
        <w:pStyle w:val="27"/>
        <w:spacing w:line="560" w:lineRule="exact"/>
        <w:ind w:firstLine="560" w:firstLineChars="200"/>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2、水质检验是由乙方委托具有相应检测资质的第三方水质检测机构对设备出水水质进行检测，送检样品务必在甲方污水处理站排放口提取，提交的检测报告必须是合格、正规、有效的纸质报告和电子版报告。</w:t>
      </w:r>
    </w:p>
    <w:p>
      <w:pPr>
        <w:spacing w:line="46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十</w:t>
      </w:r>
      <w:r>
        <w:rPr>
          <w:rFonts w:hint="eastAsia" w:ascii="仿宋_GB2312" w:hAnsi="仿宋_GB2312" w:eastAsia="仿宋_GB2312" w:cs="仿宋_GB2312"/>
          <w:b/>
          <w:bCs/>
          <w:sz w:val="28"/>
          <w:szCs w:val="28"/>
          <w:lang w:val="en-US" w:eastAsia="zh-CN"/>
        </w:rPr>
        <w:t>一</w:t>
      </w:r>
      <w:r>
        <w:rPr>
          <w:rFonts w:hint="eastAsia" w:ascii="仿宋_GB2312" w:hAnsi="仿宋_GB2312" w:eastAsia="仿宋_GB2312" w:cs="仿宋_GB2312"/>
          <w:b/>
          <w:bCs/>
          <w:sz w:val="28"/>
          <w:szCs w:val="28"/>
        </w:rPr>
        <w:t>、交货时间：</w:t>
      </w:r>
      <w:r>
        <w:rPr>
          <w:rFonts w:hint="eastAsia" w:ascii="仿宋_GB2312" w:hAnsi="仿宋_GB2312" w:eastAsia="仿宋_GB2312" w:cs="仿宋_GB2312"/>
          <w:kern w:val="0"/>
          <w:sz w:val="28"/>
          <w:szCs w:val="28"/>
          <w:lang w:val="en-US" w:eastAsia="zh-CN" w:bidi="ar-SA"/>
        </w:rPr>
        <w:t>自合同签订之日起一年。</w:t>
      </w:r>
    </w:p>
    <w:p>
      <w:pPr>
        <w:pStyle w:val="27"/>
        <w:numPr>
          <w:ilvl w:val="0"/>
          <w:numId w:val="0"/>
        </w:numPr>
        <w:spacing w:line="56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十二、项目地点：</w:t>
      </w:r>
      <w:r>
        <w:rPr>
          <w:rFonts w:hint="eastAsia" w:ascii="仿宋_GB2312" w:hAnsi="仿宋_GB2312" w:eastAsia="仿宋_GB2312" w:cs="仿宋_GB2312"/>
          <w:sz w:val="28"/>
          <w:szCs w:val="28"/>
        </w:rPr>
        <w:t>深圳市</w:t>
      </w:r>
      <w:r>
        <w:rPr>
          <w:rFonts w:hint="eastAsia" w:ascii="仿宋_GB2312" w:hAnsi="仿宋_GB2312" w:eastAsia="仿宋_GB2312" w:cs="仿宋_GB2312"/>
          <w:kern w:val="2"/>
          <w:sz w:val="28"/>
          <w:szCs w:val="28"/>
        </w:rPr>
        <w:t>龙岗区</w:t>
      </w:r>
      <w:r>
        <w:rPr>
          <w:rFonts w:hint="eastAsia" w:ascii="仿宋_GB2312" w:hAnsi="仿宋_GB2312" w:eastAsia="仿宋_GB2312" w:cs="仿宋_GB2312"/>
          <w:sz w:val="28"/>
          <w:szCs w:val="28"/>
        </w:rPr>
        <w:t>第七人民医院指定地点。</w:t>
      </w:r>
    </w:p>
    <w:p>
      <w:pPr>
        <w:spacing w:line="560" w:lineRule="exact"/>
        <w:ind w:firstLine="562" w:firstLineChars="200"/>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十</w:t>
      </w:r>
      <w:r>
        <w:rPr>
          <w:rFonts w:hint="eastAsia" w:ascii="仿宋_GB2312" w:hAnsi="仿宋_GB2312" w:eastAsia="仿宋_GB2312" w:cs="仿宋_GB2312"/>
          <w:b/>
          <w:bCs/>
          <w:kern w:val="0"/>
          <w:sz w:val="28"/>
          <w:szCs w:val="28"/>
          <w:lang w:val="en-US" w:eastAsia="zh-CN"/>
        </w:rPr>
        <w:t>三</w:t>
      </w:r>
      <w:r>
        <w:rPr>
          <w:rFonts w:hint="eastAsia" w:ascii="仿宋_GB2312" w:hAnsi="仿宋_GB2312" w:eastAsia="仿宋_GB2312" w:cs="仿宋_GB2312"/>
          <w:b/>
          <w:bCs/>
          <w:kern w:val="0"/>
          <w:sz w:val="28"/>
          <w:szCs w:val="28"/>
        </w:rPr>
        <w:t>、评</w:t>
      </w:r>
      <w:r>
        <w:rPr>
          <w:rFonts w:hint="eastAsia" w:ascii="仿宋_GB2312" w:hAnsi="仿宋_GB2312" w:eastAsia="仿宋_GB2312" w:cs="仿宋_GB2312"/>
          <w:b/>
          <w:bCs/>
          <w:kern w:val="0"/>
          <w:sz w:val="28"/>
          <w:szCs w:val="28"/>
          <w:lang w:val="en-US" w:eastAsia="zh-CN"/>
        </w:rPr>
        <w:t>标</w:t>
      </w:r>
      <w:r>
        <w:rPr>
          <w:rFonts w:hint="eastAsia" w:ascii="仿宋_GB2312" w:hAnsi="仿宋_GB2312" w:eastAsia="仿宋_GB2312" w:cs="仿宋_GB2312"/>
          <w:b/>
          <w:bCs/>
          <w:kern w:val="0"/>
          <w:sz w:val="28"/>
          <w:szCs w:val="28"/>
        </w:rPr>
        <w:t>标准</w:t>
      </w:r>
    </w:p>
    <w:tbl>
      <w:tblPr>
        <w:tblStyle w:val="21"/>
        <w:tblW w:w="986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20" w:type="dxa"/>
          <w:left w:w="108" w:type="dxa"/>
          <w:bottom w:w="20" w:type="dxa"/>
          <w:right w:w="108" w:type="dxa"/>
        </w:tblCellMar>
      </w:tblPr>
      <w:tblGrid>
        <w:gridCol w:w="461"/>
        <w:gridCol w:w="364"/>
        <w:gridCol w:w="336"/>
        <w:gridCol w:w="1364"/>
        <w:gridCol w:w="749"/>
        <w:gridCol w:w="2851"/>
        <w:gridCol w:w="930"/>
        <w:gridCol w:w="1065"/>
        <w:gridCol w:w="17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717" w:hRule="atLeast"/>
          <w:jc w:val="center"/>
        </w:trPr>
        <w:tc>
          <w:tcPr>
            <w:tcW w:w="46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2813"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评分项</w:t>
            </w:r>
          </w:p>
        </w:tc>
        <w:tc>
          <w:tcPr>
            <w:tcW w:w="6590"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20" w:type="dxa"/>
            <w:left w:w="108" w:type="dxa"/>
            <w:bottom w:w="20" w:type="dxa"/>
            <w:right w:w="108" w:type="dxa"/>
          </w:tblCellMar>
        </w:tblPrEx>
        <w:trPr>
          <w:trHeight w:val="519" w:hRule="atLeast"/>
          <w:jc w:val="center"/>
        </w:trPr>
        <w:tc>
          <w:tcPr>
            <w:tcW w:w="46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b/>
                <w:bCs/>
                <w:color w:val="auto"/>
                <w:sz w:val="21"/>
                <w:szCs w:val="21"/>
              </w:rPr>
            </w:pPr>
          </w:p>
        </w:tc>
        <w:tc>
          <w:tcPr>
            <w:tcW w:w="2813" w:type="dxa"/>
            <w:gridSpan w:val="4"/>
            <w:tcBorders>
              <w:top w:val="single" w:color="000000" w:sz="8" w:space="0"/>
              <w:left w:val="single" w:color="000000" w:sz="8" w:space="0"/>
              <w:bottom w:val="single" w:color="000000" w:sz="8" w:space="0"/>
              <w:right w:val="single" w:color="000000" w:sz="8" w:space="0"/>
            </w:tcBorders>
            <w:shd w:val="clear" w:color="auto" w:fill="BDD6EE" w:themeFill="accent1" w:themeFillTint="66"/>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总分</w:t>
            </w:r>
          </w:p>
        </w:tc>
        <w:tc>
          <w:tcPr>
            <w:tcW w:w="6590" w:type="dxa"/>
            <w:gridSpan w:val="4"/>
            <w:tcBorders>
              <w:top w:val="single" w:color="000000" w:sz="8" w:space="0"/>
              <w:left w:val="single" w:color="000000" w:sz="8" w:space="0"/>
              <w:bottom w:val="single" w:color="000000" w:sz="8" w:space="0"/>
              <w:right w:val="single" w:color="000000" w:sz="8" w:space="0"/>
            </w:tcBorders>
            <w:shd w:val="clear" w:color="auto" w:fill="BDD6EE" w:themeFill="accent1" w:themeFillTint="66"/>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（100分）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20" w:type="dxa"/>
            <w:left w:w="108" w:type="dxa"/>
            <w:bottom w:w="20" w:type="dxa"/>
            <w:right w:w="108" w:type="dxa"/>
          </w:tblCellMar>
        </w:tblPrEx>
        <w:trPr>
          <w:trHeight w:val="293" w:hRule="atLeast"/>
          <w:jc w:val="center"/>
        </w:trPr>
        <w:tc>
          <w:tcPr>
            <w:tcW w:w="461" w:type="dxa"/>
            <w:vMerge w:val="restart"/>
            <w:tcBorders>
              <w:top w:val="single" w:color="000000" w:sz="8" w:space="0"/>
              <w:left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1</w:t>
            </w:r>
          </w:p>
        </w:tc>
        <w:tc>
          <w:tcPr>
            <w:tcW w:w="2813"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rPr>
              <w:t>价格</w:t>
            </w:r>
            <w:r>
              <w:rPr>
                <w:rFonts w:hint="eastAsia" w:asciiTheme="minorEastAsia" w:hAnsiTheme="minorEastAsia" w:eastAsiaTheme="minorEastAsia" w:cstheme="minorEastAsia"/>
                <w:b/>
                <w:bCs/>
                <w:color w:val="auto"/>
                <w:sz w:val="21"/>
                <w:szCs w:val="21"/>
                <w:lang w:val="en-US" w:eastAsia="zh-CN"/>
              </w:rPr>
              <w:t>部分</w:t>
            </w:r>
          </w:p>
        </w:tc>
        <w:tc>
          <w:tcPr>
            <w:tcW w:w="6590"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20" w:type="dxa"/>
            <w:left w:w="108" w:type="dxa"/>
            <w:bottom w:w="20" w:type="dxa"/>
            <w:right w:w="108" w:type="dxa"/>
          </w:tblCellMar>
        </w:tblPrEx>
        <w:trPr>
          <w:trHeight w:val="404" w:hRule="atLeast"/>
          <w:jc w:val="center"/>
        </w:trPr>
        <w:tc>
          <w:tcPr>
            <w:tcW w:w="461" w:type="dxa"/>
            <w:vMerge w:val="continue"/>
            <w:tcBorders>
              <w:left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b/>
                <w:bCs/>
                <w:color w:val="auto"/>
                <w:sz w:val="21"/>
                <w:szCs w:val="21"/>
              </w:rPr>
            </w:pPr>
          </w:p>
        </w:tc>
        <w:tc>
          <w:tcPr>
            <w:tcW w:w="70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color w:val="auto"/>
                <w:sz w:val="21"/>
                <w:szCs w:val="21"/>
              </w:rPr>
              <w:t>序号</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color w:val="auto"/>
                <w:sz w:val="21"/>
                <w:szCs w:val="21"/>
              </w:rPr>
              <w:t>评分因素</w:t>
            </w:r>
          </w:p>
        </w:tc>
        <w:tc>
          <w:tcPr>
            <w:tcW w:w="74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color w:val="auto"/>
                <w:sz w:val="21"/>
                <w:szCs w:val="21"/>
              </w:rPr>
              <w:t>权重(%)</w:t>
            </w:r>
          </w:p>
        </w:tc>
        <w:tc>
          <w:tcPr>
            <w:tcW w:w="6590"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color w:val="auto"/>
                <w:sz w:val="21"/>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1355" w:hRule="atLeast"/>
          <w:jc w:val="center"/>
        </w:trPr>
        <w:tc>
          <w:tcPr>
            <w:tcW w:w="461"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b/>
                <w:bCs/>
                <w:color w:val="auto"/>
                <w:sz w:val="21"/>
                <w:szCs w:val="21"/>
              </w:rPr>
            </w:pPr>
          </w:p>
        </w:tc>
        <w:tc>
          <w:tcPr>
            <w:tcW w:w="70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pStyle w:val="35"/>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1</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5"/>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价格</w:t>
            </w:r>
          </w:p>
        </w:tc>
        <w:tc>
          <w:tcPr>
            <w:tcW w:w="74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5"/>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20</w:t>
            </w:r>
          </w:p>
        </w:tc>
        <w:tc>
          <w:tcPr>
            <w:tcW w:w="6590"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pStyle w:val="18"/>
              <w:spacing w:beforeAutospacing="0" w:afterAutospacing="0" w:line="324" w:lineRule="auto"/>
              <w:ind w:firstLine="420"/>
              <w:jc w:val="both"/>
              <w:rPr>
                <w:rFonts w:ascii="Times New Roman" w:hAnsi="Times New Roman"/>
                <w:kern w:val="2"/>
                <w:sz w:val="21"/>
                <w:szCs w:val="21"/>
              </w:rPr>
            </w:pPr>
            <w:r>
              <w:rPr>
                <w:rFonts w:hint="eastAsia" w:ascii="Times New Roman" w:hAnsi="Times New Roman"/>
                <w:kern w:val="2"/>
                <w:sz w:val="21"/>
                <w:szCs w:val="21"/>
              </w:rPr>
              <w:t>一、价格分应当采用低价优先法计算，即满足招标文件要求且投标价格最低的投标报价为评标基准价，其价格分为满分。其他投标人的价格分统一按照下列公式计算：</w:t>
            </w:r>
          </w:p>
          <w:p>
            <w:pPr>
              <w:pStyle w:val="18"/>
              <w:spacing w:beforeAutospacing="0" w:afterAutospacing="0" w:line="324" w:lineRule="auto"/>
              <w:ind w:firstLine="420"/>
              <w:jc w:val="both"/>
              <w:rPr>
                <w:rFonts w:ascii="Times New Roman" w:hAnsi="Times New Roman"/>
                <w:kern w:val="2"/>
                <w:sz w:val="21"/>
                <w:szCs w:val="21"/>
              </w:rPr>
            </w:pPr>
            <w:r>
              <w:rPr>
                <w:rFonts w:hint="eastAsia" w:ascii="Times New Roman" w:hAnsi="Times New Roman"/>
                <w:kern w:val="2"/>
                <w:sz w:val="21"/>
                <w:szCs w:val="21"/>
              </w:rPr>
              <w:t>投标报价得分=(评标基准价／投标报价)×100</w:t>
            </w:r>
            <w:r>
              <w:rPr>
                <w:rFonts w:ascii="Times New Roman" w:hAnsi="Times New Roman"/>
                <w:kern w:val="2"/>
                <w:sz w:val="21"/>
                <w:szCs w:val="21"/>
              </w:rPr>
              <w:tab/>
            </w:r>
          </w:p>
          <w:p>
            <w:pPr>
              <w:pStyle w:val="18"/>
              <w:spacing w:beforeAutospacing="0" w:afterAutospacing="0" w:line="324" w:lineRule="auto"/>
              <w:ind w:firstLine="420"/>
              <w:jc w:val="both"/>
              <w:rPr>
                <w:rFonts w:ascii="Times New Roman" w:hAnsi="Times New Roman"/>
                <w:kern w:val="2"/>
                <w:sz w:val="21"/>
                <w:szCs w:val="21"/>
              </w:rPr>
            </w:pPr>
            <w:r>
              <w:rPr>
                <w:rFonts w:hint="eastAsia" w:ascii="Times New Roman" w:hAnsi="Times New Roman"/>
                <w:kern w:val="2"/>
                <w:sz w:val="21"/>
                <w:szCs w:val="21"/>
              </w:rPr>
              <w:t>评标总得分＝F1×A1＋F2×A2＋……＋Fn×An</w:t>
            </w:r>
          </w:p>
          <w:p>
            <w:pPr>
              <w:pStyle w:val="18"/>
              <w:spacing w:beforeAutospacing="0" w:afterAutospacing="0" w:line="324" w:lineRule="auto"/>
              <w:ind w:firstLine="420"/>
              <w:jc w:val="both"/>
              <w:rPr>
                <w:rFonts w:ascii="Times New Roman" w:hAnsi="Times New Roman"/>
                <w:kern w:val="2"/>
                <w:sz w:val="21"/>
                <w:szCs w:val="21"/>
              </w:rPr>
            </w:pPr>
            <w:r>
              <w:rPr>
                <w:rFonts w:hint="eastAsia" w:ascii="Times New Roman" w:hAnsi="Times New Roman"/>
                <w:kern w:val="2"/>
                <w:sz w:val="21"/>
                <w:szCs w:val="21"/>
              </w:rPr>
              <w:t>F1、F2……Fn分别为各项评审因素的得分；</w:t>
            </w:r>
          </w:p>
          <w:p>
            <w:pPr>
              <w:pStyle w:val="18"/>
              <w:spacing w:beforeAutospacing="0" w:afterAutospacing="0" w:line="324" w:lineRule="auto"/>
              <w:ind w:firstLine="420"/>
              <w:jc w:val="both"/>
              <w:rPr>
                <w:rFonts w:ascii="Times New Roman" w:hAnsi="Times New Roman"/>
                <w:kern w:val="2"/>
                <w:sz w:val="21"/>
                <w:szCs w:val="21"/>
              </w:rPr>
            </w:pPr>
            <w:r>
              <w:rPr>
                <w:rFonts w:hint="eastAsia" w:ascii="Times New Roman" w:hAnsi="Times New Roman"/>
                <w:kern w:val="2"/>
                <w:sz w:val="21"/>
                <w:szCs w:val="21"/>
              </w:rPr>
              <w:t>A1、A2、……An 分别为各项评审因素所占的权重(A1＋A2＋……＋An＝1)。</w:t>
            </w:r>
          </w:p>
          <w:p>
            <w:pPr>
              <w:pStyle w:val="18"/>
              <w:spacing w:beforeAutospacing="0" w:afterAutospacing="0" w:line="324" w:lineRule="auto"/>
              <w:ind w:firstLine="420"/>
              <w:jc w:val="both"/>
              <w:rPr>
                <w:rFonts w:ascii="Times New Roman" w:hAnsi="Times New Roman"/>
                <w:kern w:val="2"/>
                <w:sz w:val="21"/>
                <w:szCs w:val="21"/>
              </w:rPr>
            </w:pPr>
            <w:r>
              <w:rPr>
                <w:rFonts w:hint="eastAsia" w:ascii="Times New Roman" w:hAnsi="Times New Roman"/>
                <w:kern w:val="2"/>
                <w:sz w:val="21"/>
                <w:szCs w:val="21"/>
              </w:rPr>
              <w:t>评标过程中，不得去掉报价中的最高报价和最低报价。</w:t>
            </w:r>
          </w:p>
          <w:p>
            <w:pPr>
              <w:keepNext w:val="0"/>
              <w:keepLines w:val="0"/>
              <w:pageBreakBefore w:val="0"/>
              <w:kinsoku/>
              <w:wordWrap/>
              <w:overflowPunct/>
              <w:topLinePunct w:val="0"/>
              <w:bidi w:val="0"/>
              <w:spacing w:line="300" w:lineRule="exact"/>
              <w:jc w:val="both"/>
              <w:rPr>
                <w:rFonts w:hint="eastAsia" w:asciiTheme="minorEastAsia" w:hAnsiTheme="minorEastAsia" w:eastAsiaTheme="minorEastAsia" w:cstheme="minorEastAsia"/>
                <w:color w:val="auto"/>
                <w:sz w:val="21"/>
                <w:szCs w:val="21"/>
                <w:lang w:eastAsia="zh-CN"/>
              </w:rPr>
            </w:pPr>
            <w:r>
              <w:rPr>
                <w:rFonts w:hint="eastAsia" w:ascii="Times New Roman" w:hAnsi="Times New Roman"/>
                <w:kern w:val="2"/>
                <w:sz w:val="21"/>
                <w:szCs w:val="21"/>
              </w:rPr>
              <w:t>因落实政府采购政策进行价格调整的，以调整后的价格计算评标基准价和投标报价。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404" w:hRule="atLeast"/>
          <w:jc w:val="center"/>
        </w:trPr>
        <w:tc>
          <w:tcPr>
            <w:tcW w:w="461" w:type="dxa"/>
            <w:vMerge w:val="restart"/>
            <w:tcBorders>
              <w:top w:val="single" w:color="000000" w:sz="8" w:space="0"/>
              <w:left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2</w:t>
            </w:r>
          </w:p>
        </w:tc>
        <w:tc>
          <w:tcPr>
            <w:tcW w:w="2813" w:type="dxa"/>
            <w:gridSpan w:val="4"/>
            <w:tcBorders>
              <w:top w:val="single" w:color="000000" w:sz="8" w:space="0"/>
              <w:left w:val="single" w:color="000000" w:sz="8" w:space="0"/>
              <w:bottom w:val="single" w:color="000000" w:sz="8" w:space="0"/>
              <w:right w:val="single" w:color="000000" w:sz="8" w:space="0"/>
            </w:tcBorders>
            <w:shd w:val="clear" w:color="auto" w:fill="auto"/>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技术服务部分</w:t>
            </w:r>
          </w:p>
        </w:tc>
        <w:tc>
          <w:tcPr>
            <w:tcW w:w="6590"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（42分）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20" w:type="dxa"/>
            <w:left w:w="108" w:type="dxa"/>
            <w:bottom w:w="20" w:type="dxa"/>
            <w:right w:w="108" w:type="dxa"/>
          </w:tblCellMar>
        </w:tblPrEx>
        <w:trPr>
          <w:jc w:val="center"/>
        </w:trPr>
        <w:tc>
          <w:tcPr>
            <w:tcW w:w="461" w:type="dxa"/>
            <w:vMerge w:val="continue"/>
            <w:tcBorders>
              <w:left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b/>
                <w:bCs/>
                <w:color w:val="auto"/>
                <w:sz w:val="21"/>
                <w:szCs w:val="21"/>
              </w:rPr>
            </w:pPr>
          </w:p>
        </w:tc>
        <w:tc>
          <w:tcPr>
            <w:tcW w:w="70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序号</w:t>
            </w:r>
          </w:p>
        </w:tc>
        <w:tc>
          <w:tcPr>
            <w:tcW w:w="136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评分因素</w:t>
            </w:r>
          </w:p>
        </w:tc>
        <w:tc>
          <w:tcPr>
            <w:tcW w:w="749"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权重(%)</w:t>
            </w:r>
          </w:p>
        </w:tc>
        <w:tc>
          <w:tcPr>
            <w:tcW w:w="659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20" w:type="dxa"/>
            <w:left w:w="108" w:type="dxa"/>
            <w:bottom w:w="20" w:type="dxa"/>
            <w:right w:w="108" w:type="dxa"/>
          </w:tblCellMar>
        </w:tblPrEx>
        <w:trPr>
          <w:trHeight w:val="322" w:hRule="atLeast"/>
          <w:jc w:val="center"/>
        </w:trPr>
        <w:tc>
          <w:tcPr>
            <w:tcW w:w="461" w:type="dxa"/>
            <w:vMerge w:val="continue"/>
            <w:tcBorders>
              <w:left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b/>
                <w:bCs/>
                <w:color w:val="auto"/>
                <w:sz w:val="21"/>
                <w:szCs w:val="21"/>
              </w:rPr>
            </w:pPr>
          </w:p>
        </w:tc>
        <w:tc>
          <w:tcPr>
            <w:tcW w:w="70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pacing w:line="300" w:lineRule="exact"/>
              <w:jc w:val="center"/>
              <w:rPr>
                <w:rFonts w:hint="eastAsia" w:asciiTheme="minorEastAsia" w:hAnsiTheme="minorEastAsia" w:eastAsiaTheme="minorEastAsia" w:cstheme="minorEastAsia"/>
                <w:b/>
                <w:bCs/>
                <w:color w:val="auto"/>
                <w:kern w:val="44"/>
                <w:sz w:val="21"/>
                <w:szCs w:val="21"/>
              </w:rPr>
            </w:pPr>
            <w:r>
              <w:rPr>
                <w:rFonts w:hint="eastAsia" w:asciiTheme="minorEastAsia" w:hAnsiTheme="minorEastAsia" w:eastAsiaTheme="minorEastAsia" w:cstheme="minorEastAsia"/>
                <w:color w:val="auto"/>
                <w:sz w:val="21"/>
                <w:szCs w:val="21"/>
                <w:lang w:val="en-US" w:eastAsia="zh-CN"/>
              </w:rPr>
              <w:t>项目</w:t>
            </w:r>
            <w:r>
              <w:rPr>
                <w:rFonts w:hint="eastAsia" w:asciiTheme="minorEastAsia" w:hAnsiTheme="minorEastAsia" w:eastAsiaTheme="minorEastAsia" w:cstheme="minorEastAsia"/>
                <w:color w:val="auto"/>
                <w:sz w:val="21"/>
                <w:szCs w:val="21"/>
              </w:rPr>
              <w:t>实施方案</w:t>
            </w:r>
          </w:p>
        </w:tc>
        <w:tc>
          <w:tcPr>
            <w:tcW w:w="74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pacing w:line="30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12</w:t>
            </w:r>
          </w:p>
        </w:tc>
        <w:tc>
          <w:tcPr>
            <w:tcW w:w="6590"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pacing w:line="300" w:lineRule="exact"/>
              <w:rPr>
                <w:rFonts w:hint="eastAsia" w:asciiTheme="minorEastAsia" w:hAnsiTheme="minorEastAsia" w:eastAsiaTheme="minorEastAsia" w:cstheme="minorEastAsia"/>
                <w:b/>
                <w:bCs/>
                <w:color w:val="auto"/>
                <w:sz w:val="21"/>
                <w:szCs w:val="21"/>
                <w:lang w:eastAsia="zh-CN"/>
              </w:rPr>
            </w:pPr>
            <w:r>
              <w:rPr>
                <w:rFonts w:hint="eastAsia" w:asciiTheme="minorEastAsia" w:hAnsiTheme="minorEastAsia" w:eastAsiaTheme="minorEastAsia" w:cstheme="minorEastAsia"/>
                <w:b/>
                <w:bCs/>
                <w:color w:val="auto"/>
                <w:sz w:val="21"/>
                <w:szCs w:val="21"/>
                <w:lang w:eastAsia="zh-CN"/>
              </w:rPr>
              <w:t>（一）评分内容：</w:t>
            </w:r>
            <w:r>
              <w:rPr>
                <w:rFonts w:hint="eastAsia" w:ascii="宋体" w:hAnsi="宋体" w:eastAsia="宋体" w:cs="宋体"/>
                <w:sz w:val="21"/>
                <w:szCs w:val="21"/>
                <w:lang w:val="zh-CN"/>
              </w:rPr>
              <w:t>投标人提供的</w:t>
            </w:r>
            <w:r>
              <w:rPr>
                <w:rFonts w:hint="eastAsia" w:ascii="宋体" w:hAnsi="宋体" w:cs="宋体"/>
                <w:sz w:val="21"/>
                <w:szCs w:val="21"/>
                <w:lang w:val="en-US" w:eastAsia="zh-CN"/>
              </w:rPr>
              <w:t>实施方案</w:t>
            </w:r>
            <w:r>
              <w:rPr>
                <w:rFonts w:hint="eastAsia" w:ascii="宋体" w:hAnsi="宋体" w:eastAsia="宋体" w:cs="宋体"/>
                <w:sz w:val="21"/>
                <w:szCs w:val="21"/>
                <w:lang w:val="zh-CN"/>
              </w:rPr>
              <w:t>须包含以下内容：</w:t>
            </w:r>
          </w:p>
          <w:p>
            <w:pPr>
              <w:keepNext w:val="0"/>
              <w:keepLines w:val="0"/>
              <w:pageBreakBefore w:val="0"/>
              <w:numPr>
                <w:ilvl w:val="0"/>
                <w:numId w:val="0"/>
              </w:numPr>
              <w:kinsoku/>
              <w:wordWrap/>
              <w:overflowPunct/>
              <w:topLinePunct w:val="0"/>
              <w:autoSpaceDE w:val="0"/>
              <w:autoSpaceDN w:val="0"/>
              <w:bidi w:val="0"/>
              <w:adjustRightInd w:val="0"/>
              <w:spacing w:line="300" w:lineRule="exact"/>
              <w:ind w:leftChars="0"/>
              <w:jc w:val="left"/>
              <w:rPr>
                <w:rFonts w:hint="eastAsia"/>
                <w:lang w:eastAsia="zh-CN"/>
              </w:rPr>
            </w:pPr>
            <w:r>
              <w:rPr>
                <w:rFonts w:hint="eastAsia" w:asciiTheme="minorEastAsia" w:hAnsiTheme="minorEastAsia" w:eastAsiaTheme="minorEastAsia" w:cstheme="minorEastAsia"/>
                <w:color w:val="auto"/>
                <w:kern w:val="0"/>
                <w:sz w:val="21"/>
                <w:szCs w:val="21"/>
                <w:lang w:val="en-US" w:eastAsia="zh-CN"/>
              </w:rPr>
              <w:t>1.</w:t>
            </w:r>
            <w:r>
              <w:rPr>
                <w:rFonts w:hint="eastAsia"/>
              </w:rPr>
              <w:t>总体概述及理解</w:t>
            </w:r>
            <w:r>
              <w:rPr>
                <w:rFonts w:hint="eastAsia"/>
                <w:lang w:eastAsia="zh-CN"/>
              </w:rPr>
              <w:t>；</w:t>
            </w:r>
          </w:p>
          <w:p>
            <w:pPr>
              <w:keepNext w:val="0"/>
              <w:keepLines w:val="0"/>
              <w:pageBreakBefore w:val="0"/>
              <w:numPr>
                <w:ilvl w:val="0"/>
                <w:numId w:val="0"/>
              </w:numPr>
              <w:kinsoku/>
              <w:wordWrap/>
              <w:overflowPunct/>
              <w:topLinePunct w:val="0"/>
              <w:autoSpaceDE w:val="0"/>
              <w:autoSpaceDN w:val="0"/>
              <w:bidi w:val="0"/>
              <w:adjustRightInd w:val="0"/>
              <w:spacing w:line="300" w:lineRule="exact"/>
              <w:ind w:leftChars="0"/>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2.</w:t>
            </w:r>
            <w:r>
              <w:rPr>
                <w:rFonts w:hint="eastAsia" w:asciiTheme="minorEastAsia" w:hAnsiTheme="minorEastAsia" w:eastAsiaTheme="minorEastAsia" w:cstheme="minorEastAsia"/>
                <w:color w:val="auto"/>
                <w:kern w:val="0"/>
                <w:sz w:val="21"/>
                <w:szCs w:val="21"/>
              </w:rPr>
              <w:t>具有进度计划；</w:t>
            </w:r>
          </w:p>
          <w:p>
            <w:pPr>
              <w:keepNext w:val="0"/>
              <w:keepLines w:val="0"/>
              <w:pageBreakBefore w:val="0"/>
              <w:numPr>
                <w:ilvl w:val="0"/>
                <w:numId w:val="0"/>
              </w:numPr>
              <w:kinsoku/>
              <w:wordWrap/>
              <w:overflowPunct/>
              <w:topLinePunct w:val="0"/>
              <w:autoSpaceDE w:val="0"/>
              <w:autoSpaceDN w:val="0"/>
              <w:bidi w:val="0"/>
              <w:adjustRightInd w:val="0"/>
              <w:spacing w:line="300" w:lineRule="exact"/>
              <w:ind w:leftChars="0"/>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3.</w:t>
            </w:r>
            <w:r>
              <w:rPr>
                <w:rFonts w:hint="eastAsia" w:asciiTheme="minorEastAsia" w:hAnsiTheme="minorEastAsia" w:eastAsiaTheme="minorEastAsia" w:cstheme="minorEastAsia"/>
                <w:color w:val="auto"/>
                <w:kern w:val="0"/>
                <w:sz w:val="21"/>
                <w:szCs w:val="21"/>
              </w:rPr>
              <w:t>具有操作方案；</w:t>
            </w:r>
          </w:p>
          <w:p>
            <w:pPr>
              <w:keepNext w:val="0"/>
              <w:keepLines w:val="0"/>
              <w:pageBreakBefore w:val="0"/>
              <w:numPr>
                <w:ilvl w:val="0"/>
                <w:numId w:val="0"/>
              </w:numPr>
              <w:kinsoku/>
              <w:wordWrap/>
              <w:overflowPunct/>
              <w:topLinePunct w:val="0"/>
              <w:autoSpaceDE w:val="0"/>
              <w:autoSpaceDN w:val="0"/>
              <w:bidi w:val="0"/>
              <w:adjustRightInd w:val="0"/>
              <w:spacing w:line="300" w:lineRule="exact"/>
              <w:ind w:leftChars="0"/>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日常管理工作具体工作流程、人员配备、服务标准</w:t>
            </w:r>
            <w:r>
              <w:rPr>
                <w:rFonts w:hint="eastAsia" w:asciiTheme="minorEastAsia" w:hAnsiTheme="minorEastAsia" w:eastAsiaTheme="minorEastAsia" w:cstheme="minorEastAsia"/>
                <w:color w:val="auto"/>
                <w:sz w:val="21"/>
                <w:szCs w:val="21"/>
                <w:lang w:eastAsia="zh-CN"/>
              </w:rPr>
              <w:t>。</w:t>
            </w:r>
          </w:p>
          <w:p>
            <w:pPr>
              <w:keepNext w:val="0"/>
              <w:keepLines w:val="0"/>
              <w:pageBreakBefore w:val="0"/>
              <w:kinsoku/>
              <w:wordWrap/>
              <w:overflowPunct/>
              <w:topLinePunct w:val="0"/>
              <w:bidi w:val="0"/>
              <w:spacing w:line="300" w:lineRule="exact"/>
              <w:rPr>
                <w:rFonts w:hint="eastAsia" w:asciiTheme="minorEastAsia" w:hAnsiTheme="minorEastAsia" w:eastAsiaTheme="minorEastAsia" w:cstheme="minorEastAsia"/>
                <w:b/>
                <w:bCs/>
                <w:color w:val="auto"/>
                <w:sz w:val="21"/>
                <w:szCs w:val="21"/>
                <w:lang w:eastAsia="zh-CN"/>
              </w:rPr>
            </w:pPr>
            <w:r>
              <w:rPr>
                <w:rFonts w:hint="eastAsia" w:asciiTheme="minorEastAsia" w:hAnsiTheme="minorEastAsia" w:eastAsiaTheme="minorEastAsia" w:cstheme="minorEastAsia"/>
                <w:b/>
                <w:bCs/>
                <w:color w:val="auto"/>
                <w:sz w:val="21"/>
                <w:szCs w:val="21"/>
                <w:lang w:eastAsia="zh-CN"/>
              </w:rPr>
              <w:t>（二）评分依据：</w:t>
            </w:r>
          </w:p>
          <w:p>
            <w:pPr>
              <w:keepNext w:val="0"/>
              <w:keepLines w:val="0"/>
              <w:pageBreakBefore w:val="0"/>
              <w:kinsoku/>
              <w:wordWrap/>
              <w:overflowPunct/>
              <w:topLinePunct w:val="0"/>
              <w:bidi w:val="0"/>
              <w:spacing w:line="300" w:lineRule="exact"/>
              <w:jc w:val="both"/>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b/>
                <w:bCs/>
                <w:color w:val="auto"/>
                <w:sz w:val="21"/>
                <w:szCs w:val="21"/>
                <w:lang w:val="en-US" w:eastAsia="zh-CN"/>
              </w:rPr>
              <w:t>1.</w:t>
            </w:r>
            <w:r>
              <w:rPr>
                <w:rFonts w:hint="eastAsia" w:asciiTheme="minorEastAsia" w:hAnsiTheme="minorEastAsia" w:eastAsiaTheme="minorEastAsia" w:cstheme="minorEastAsia"/>
                <w:color w:val="auto"/>
                <w:sz w:val="21"/>
                <w:szCs w:val="21"/>
              </w:rPr>
              <w:t>提供的方案同时满足上述</w:t>
            </w:r>
            <w:r>
              <w:rPr>
                <w:rFonts w:hint="eastAsia" w:asciiTheme="minorEastAsia" w:hAnsiTheme="minorEastAsia" w:eastAsiaTheme="minorEastAsia" w:cstheme="minorEastAsia"/>
                <w:color w:val="auto"/>
                <w:sz w:val="21"/>
                <w:szCs w:val="21"/>
                <w:lang w:eastAsia="zh-CN"/>
              </w:rPr>
              <w:t>四</w:t>
            </w:r>
            <w:r>
              <w:rPr>
                <w:rFonts w:hint="eastAsia" w:asciiTheme="minorEastAsia" w:hAnsiTheme="minorEastAsia" w:eastAsiaTheme="minorEastAsia" w:cstheme="minorEastAsia"/>
                <w:color w:val="auto"/>
                <w:sz w:val="21"/>
                <w:szCs w:val="21"/>
              </w:rPr>
              <w:t>点得</w:t>
            </w: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分，满足任意</w:t>
            </w:r>
            <w:r>
              <w:rPr>
                <w:rFonts w:hint="eastAsia" w:asciiTheme="minorEastAsia" w:hAnsiTheme="minorEastAsia" w:cstheme="minorEastAsia"/>
                <w:color w:val="auto"/>
                <w:sz w:val="21"/>
                <w:szCs w:val="21"/>
                <w:lang w:eastAsia="zh-CN"/>
              </w:rPr>
              <w:t>三</w:t>
            </w:r>
            <w:r>
              <w:rPr>
                <w:rFonts w:hint="eastAsia" w:asciiTheme="minorEastAsia" w:hAnsiTheme="minorEastAsia" w:eastAsiaTheme="minorEastAsia" w:cstheme="minorEastAsia"/>
                <w:color w:val="auto"/>
                <w:sz w:val="21"/>
                <w:szCs w:val="21"/>
              </w:rPr>
              <w:t>点得</w:t>
            </w:r>
            <w:r>
              <w:rPr>
                <w:rFonts w:hint="eastAsia" w:asciiTheme="minorEastAsia" w:hAnsi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分</w:t>
            </w:r>
            <w:r>
              <w:rPr>
                <w:rFonts w:hint="eastAsia" w:asciiTheme="minorEastAsia" w:hAnsi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满足任意</w:t>
            </w:r>
            <w:r>
              <w:rPr>
                <w:rFonts w:hint="eastAsia" w:asciiTheme="minorEastAsia" w:hAnsiTheme="minorEastAsia" w:eastAsiaTheme="minorEastAsia" w:cstheme="minorEastAsia"/>
                <w:color w:val="auto"/>
                <w:sz w:val="21"/>
                <w:szCs w:val="21"/>
                <w:lang w:eastAsia="zh-CN"/>
              </w:rPr>
              <w:t>二</w:t>
            </w:r>
            <w:r>
              <w:rPr>
                <w:rFonts w:hint="eastAsia" w:asciiTheme="minorEastAsia" w:hAnsiTheme="minorEastAsia" w:eastAsiaTheme="minorEastAsia" w:cstheme="minorEastAsia"/>
                <w:color w:val="auto"/>
                <w:sz w:val="21"/>
                <w:szCs w:val="21"/>
              </w:rPr>
              <w:t>点得</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分，满足</w:t>
            </w:r>
            <w:r>
              <w:rPr>
                <w:rFonts w:hint="eastAsia" w:asciiTheme="minorEastAsia" w:hAnsiTheme="minorEastAsia" w:eastAsiaTheme="minorEastAsia" w:cstheme="minorEastAsia"/>
                <w:color w:val="auto"/>
                <w:sz w:val="21"/>
                <w:szCs w:val="21"/>
                <w:lang w:eastAsia="zh-CN"/>
              </w:rPr>
              <w:t>一</w:t>
            </w:r>
            <w:r>
              <w:rPr>
                <w:rFonts w:hint="eastAsia" w:asciiTheme="minorEastAsia" w:hAnsiTheme="minorEastAsia" w:eastAsiaTheme="minorEastAsia" w:cstheme="minorEastAsia"/>
                <w:color w:val="auto"/>
                <w:sz w:val="21"/>
                <w:szCs w:val="21"/>
              </w:rPr>
              <w:t>点得</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分，未提供不得分</w:t>
            </w:r>
            <w:r>
              <w:rPr>
                <w:rFonts w:hint="eastAsia" w:asciiTheme="minorEastAsia" w:hAnsiTheme="minorEastAsia" w:eastAsiaTheme="minorEastAsia" w:cstheme="minorEastAsia"/>
                <w:color w:val="auto"/>
                <w:sz w:val="21"/>
                <w:szCs w:val="21"/>
                <w:lang w:eastAsia="zh-CN"/>
              </w:rPr>
              <w:t>：</w:t>
            </w:r>
          </w:p>
          <w:p>
            <w:pPr>
              <w:keepNext w:val="0"/>
              <w:keepLines w:val="0"/>
              <w:pageBreakBefore w:val="0"/>
              <w:kinsoku/>
              <w:wordWrap/>
              <w:overflowPunct/>
              <w:topLinePunct w:val="0"/>
              <w:bidi w:val="0"/>
              <w:spacing w:line="300" w:lineRule="exact"/>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w:t>
            </w:r>
            <w:r>
              <w:rPr>
                <w:rFonts w:hint="eastAsia" w:asciiTheme="minorEastAsia" w:hAnsiTheme="minorEastAsia" w:eastAsiaTheme="minorEastAsia" w:cstheme="minorEastAsia"/>
                <w:color w:val="auto"/>
                <w:sz w:val="21"/>
                <w:szCs w:val="21"/>
                <w:lang w:val="en-US" w:eastAsia="zh-CN"/>
              </w:rPr>
              <w:t>在第1点的基础上，评审专家根据各供应商的具体响应内容按照量化的评审因素指标进一步评审：</w:t>
            </w:r>
          </w:p>
          <w:p>
            <w:pPr>
              <w:keepNext w:val="0"/>
              <w:keepLines w:val="0"/>
              <w:pageBreakBefore w:val="0"/>
              <w:kinsoku/>
              <w:wordWrap/>
              <w:overflowPunct/>
              <w:topLinePunct w:val="0"/>
              <w:bidi w:val="0"/>
              <w:spacing w:line="300" w:lineRule="exact"/>
              <w:jc w:val="both"/>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w:t>
            </w:r>
            <w:r>
              <w:rPr>
                <w:rFonts w:hint="eastAsia" w:asciiTheme="minorEastAsia" w:hAnsiTheme="minorEastAsia" w:eastAsiaTheme="minorEastAsia" w:cstheme="minorEastAsia"/>
                <w:color w:val="auto"/>
                <w:sz w:val="21"/>
                <w:szCs w:val="21"/>
                <w:lang w:val="en-US" w:eastAsia="zh-CN"/>
              </w:rPr>
              <w:t>实施</w:t>
            </w:r>
            <w:r>
              <w:rPr>
                <w:rFonts w:hint="eastAsia" w:asciiTheme="minorEastAsia" w:hAnsiTheme="minorEastAsia" w:eastAsiaTheme="minorEastAsia" w:cstheme="minorEastAsia"/>
                <w:color w:val="auto"/>
                <w:sz w:val="21"/>
                <w:szCs w:val="21"/>
                <w:lang w:eastAsia="zh-CN"/>
              </w:rPr>
              <w:t>方案详实具体、科学合理、条理清晰、可操作性强的，</w:t>
            </w:r>
            <w:r>
              <w:rPr>
                <w:rFonts w:hint="eastAsia" w:asciiTheme="minorEastAsia" w:hAnsiTheme="minorEastAsia" w:cstheme="minorEastAsia"/>
                <w:color w:val="auto"/>
                <w:sz w:val="21"/>
                <w:szCs w:val="21"/>
                <w:lang w:val="en-US" w:eastAsia="zh-CN"/>
              </w:rPr>
              <w:t>加</w:t>
            </w:r>
            <w:r>
              <w:rPr>
                <w:rFonts w:hint="eastAsia" w:asciiTheme="minorEastAsia" w:hAnsiTheme="minorEastAsia" w:eastAsiaTheme="minorEastAsia" w:cstheme="minorEastAsia"/>
                <w:color w:val="auto"/>
                <w:sz w:val="21"/>
                <w:szCs w:val="21"/>
                <w:lang w:val="en-US" w:eastAsia="zh-CN"/>
              </w:rPr>
              <w:t>8分</w:t>
            </w:r>
            <w:r>
              <w:rPr>
                <w:rFonts w:hint="eastAsia" w:asciiTheme="minorEastAsia" w:hAnsiTheme="minorEastAsia" w:eastAsiaTheme="minorEastAsia" w:cstheme="minorEastAsia"/>
                <w:color w:val="auto"/>
                <w:sz w:val="21"/>
                <w:szCs w:val="21"/>
                <w:lang w:eastAsia="zh-CN"/>
              </w:rPr>
              <w:t>；</w:t>
            </w:r>
          </w:p>
          <w:p>
            <w:pPr>
              <w:keepNext w:val="0"/>
              <w:keepLines w:val="0"/>
              <w:pageBreakBefore w:val="0"/>
              <w:kinsoku/>
              <w:wordWrap/>
              <w:overflowPunct/>
              <w:topLinePunct w:val="0"/>
              <w:bidi w:val="0"/>
              <w:spacing w:line="300" w:lineRule="exact"/>
              <w:jc w:val="both"/>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w:t>
            </w:r>
            <w:r>
              <w:rPr>
                <w:rFonts w:hint="eastAsia" w:asciiTheme="minorEastAsia" w:hAnsiTheme="minorEastAsia" w:eastAsiaTheme="minorEastAsia" w:cstheme="minorEastAsia"/>
                <w:color w:val="auto"/>
                <w:sz w:val="21"/>
                <w:szCs w:val="21"/>
                <w:lang w:val="en-US" w:eastAsia="zh-CN"/>
              </w:rPr>
              <w:t>实施</w:t>
            </w:r>
            <w:r>
              <w:rPr>
                <w:rFonts w:hint="eastAsia" w:asciiTheme="minorEastAsia" w:hAnsiTheme="minorEastAsia" w:eastAsiaTheme="minorEastAsia" w:cstheme="minorEastAsia"/>
                <w:color w:val="auto"/>
                <w:sz w:val="21"/>
                <w:szCs w:val="21"/>
                <w:lang w:eastAsia="zh-CN"/>
              </w:rPr>
              <w:t>方案</w:t>
            </w:r>
            <w:r>
              <w:rPr>
                <w:rFonts w:hint="eastAsia" w:asciiTheme="minorEastAsia" w:hAnsiTheme="minorEastAsia" w:eastAsiaTheme="minorEastAsia" w:cstheme="minorEastAsia"/>
                <w:color w:val="auto"/>
                <w:sz w:val="21"/>
                <w:szCs w:val="21"/>
                <w:lang w:val="en-US" w:eastAsia="zh-CN"/>
              </w:rPr>
              <w:t>较</w:t>
            </w:r>
            <w:r>
              <w:rPr>
                <w:rFonts w:hint="eastAsia" w:asciiTheme="minorEastAsia" w:hAnsiTheme="minorEastAsia" w:eastAsiaTheme="minorEastAsia" w:cstheme="minorEastAsia"/>
                <w:color w:val="auto"/>
                <w:sz w:val="21"/>
                <w:szCs w:val="21"/>
                <w:lang w:eastAsia="zh-CN"/>
              </w:rPr>
              <w:t>详实具体、科学合理、条理清晰、可操作性</w:t>
            </w:r>
            <w:r>
              <w:rPr>
                <w:rFonts w:hint="eastAsia" w:asciiTheme="minorEastAsia" w:hAnsiTheme="minorEastAsia" w:eastAsiaTheme="minorEastAsia" w:cstheme="minorEastAsia"/>
                <w:color w:val="auto"/>
                <w:sz w:val="21"/>
                <w:szCs w:val="21"/>
                <w:lang w:val="en-US" w:eastAsia="zh-CN"/>
              </w:rPr>
              <w:t>较</w:t>
            </w:r>
            <w:r>
              <w:rPr>
                <w:rFonts w:hint="eastAsia" w:asciiTheme="minorEastAsia" w:hAnsiTheme="minorEastAsia" w:eastAsiaTheme="minorEastAsia" w:cstheme="minorEastAsia"/>
                <w:color w:val="auto"/>
                <w:sz w:val="21"/>
                <w:szCs w:val="21"/>
                <w:lang w:eastAsia="zh-CN"/>
              </w:rPr>
              <w:t>强的，</w:t>
            </w:r>
            <w:r>
              <w:rPr>
                <w:rFonts w:hint="eastAsia" w:asciiTheme="minorEastAsia" w:hAnsiTheme="minorEastAsia" w:cstheme="minorEastAsia"/>
                <w:color w:val="auto"/>
                <w:sz w:val="21"/>
                <w:szCs w:val="21"/>
                <w:lang w:val="en-US" w:eastAsia="zh-CN"/>
              </w:rPr>
              <w:t>加</w:t>
            </w:r>
            <w:r>
              <w:rPr>
                <w:rFonts w:hint="eastAsia" w:asciiTheme="minorEastAsia" w:hAnsiTheme="minorEastAsia" w:eastAsiaTheme="minorEastAsia" w:cstheme="minorEastAsia"/>
                <w:color w:val="auto"/>
                <w:sz w:val="21"/>
                <w:szCs w:val="21"/>
                <w:lang w:val="en-US" w:eastAsia="zh-CN"/>
              </w:rPr>
              <w:t>5分</w:t>
            </w:r>
            <w:r>
              <w:rPr>
                <w:rFonts w:hint="eastAsia" w:asciiTheme="minorEastAsia" w:hAnsiTheme="minorEastAsia" w:eastAsiaTheme="minorEastAsia" w:cstheme="minorEastAsia"/>
                <w:color w:val="auto"/>
                <w:sz w:val="21"/>
                <w:szCs w:val="21"/>
                <w:lang w:eastAsia="zh-CN"/>
              </w:rPr>
              <w:t>；</w:t>
            </w:r>
          </w:p>
          <w:p>
            <w:pPr>
              <w:keepNext w:val="0"/>
              <w:keepLines w:val="0"/>
              <w:pageBreakBefore w:val="0"/>
              <w:kinsoku/>
              <w:wordWrap/>
              <w:overflowPunct/>
              <w:topLinePunct w:val="0"/>
              <w:bidi w:val="0"/>
              <w:spacing w:line="300" w:lineRule="exact"/>
              <w:jc w:val="both"/>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（3）实施</w:t>
            </w:r>
            <w:r>
              <w:rPr>
                <w:rFonts w:hint="eastAsia" w:asciiTheme="minorEastAsia" w:hAnsiTheme="minorEastAsia" w:eastAsiaTheme="minorEastAsia" w:cstheme="minorEastAsia"/>
                <w:color w:val="auto"/>
                <w:sz w:val="21"/>
                <w:szCs w:val="21"/>
                <w:lang w:eastAsia="zh-CN"/>
              </w:rPr>
              <w:t>方案</w:t>
            </w:r>
            <w:r>
              <w:rPr>
                <w:rFonts w:hint="eastAsia" w:asciiTheme="minorEastAsia" w:hAnsiTheme="minorEastAsia" w:eastAsiaTheme="minorEastAsia" w:cstheme="minorEastAsia"/>
                <w:color w:val="auto"/>
                <w:sz w:val="21"/>
                <w:szCs w:val="21"/>
                <w:lang w:val="en-US" w:eastAsia="zh-CN"/>
              </w:rPr>
              <w:t>合理性、</w:t>
            </w:r>
            <w:r>
              <w:rPr>
                <w:rFonts w:hint="eastAsia" w:asciiTheme="minorEastAsia" w:hAnsiTheme="minorEastAsia" w:eastAsiaTheme="minorEastAsia" w:cstheme="minorEastAsia"/>
                <w:color w:val="auto"/>
                <w:sz w:val="21"/>
                <w:szCs w:val="21"/>
                <w:lang w:eastAsia="zh-CN"/>
              </w:rPr>
              <w:t>条理性、针对性、可操作性一般</w:t>
            </w:r>
            <w:r>
              <w:rPr>
                <w:rFonts w:hint="eastAsia" w:asciiTheme="minorEastAsia" w:hAnsiTheme="minorEastAsia" w:eastAsiaTheme="minorEastAsia" w:cstheme="minorEastAsia"/>
                <w:color w:val="auto"/>
                <w:sz w:val="21"/>
                <w:szCs w:val="21"/>
                <w:lang w:val="en-US" w:eastAsia="zh-CN"/>
              </w:rPr>
              <w:t>的，</w:t>
            </w:r>
            <w:r>
              <w:rPr>
                <w:rFonts w:hint="eastAsia" w:asciiTheme="minorEastAsia" w:hAnsiTheme="minorEastAsia" w:cstheme="minorEastAsia"/>
                <w:color w:val="auto"/>
                <w:sz w:val="21"/>
                <w:szCs w:val="21"/>
                <w:lang w:val="en-US" w:eastAsia="zh-CN"/>
              </w:rPr>
              <w:t>加</w:t>
            </w:r>
            <w:r>
              <w:rPr>
                <w:rFonts w:hint="eastAsia" w:asciiTheme="minorEastAsia" w:hAnsiTheme="minorEastAsia" w:eastAsiaTheme="minorEastAsia" w:cstheme="minorEastAsia"/>
                <w:color w:val="auto"/>
                <w:sz w:val="21"/>
                <w:szCs w:val="21"/>
                <w:lang w:val="en-US" w:eastAsia="zh-CN"/>
              </w:rPr>
              <w:t>3分</w:t>
            </w:r>
            <w:r>
              <w:rPr>
                <w:rFonts w:hint="eastAsia" w:asciiTheme="minorEastAsia" w:hAnsiTheme="minorEastAsia" w:eastAsiaTheme="minorEastAsia" w:cstheme="minorEastAsia"/>
                <w:color w:val="auto"/>
                <w:sz w:val="21"/>
                <w:szCs w:val="21"/>
                <w:lang w:eastAsia="zh-CN"/>
              </w:rPr>
              <w:t>；</w:t>
            </w:r>
          </w:p>
          <w:p>
            <w:pPr>
              <w:keepNext w:val="0"/>
              <w:keepLines w:val="0"/>
              <w:pageBreakBefore w:val="0"/>
              <w:kinsoku/>
              <w:wordWrap/>
              <w:overflowPunct/>
              <w:topLinePunct w:val="0"/>
              <w:bidi w:val="0"/>
              <w:spacing w:line="300" w:lineRule="exact"/>
              <w:jc w:val="both"/>
              <w:rPr>
                <w:rFonts w:hint="eastAsia"/>
                <w:lang w:eastAsia="zh-CN"/>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实施</w:t>
            </w:r>
            <w:r>
              <w:rPr>
                <w:rFonts w:hint="eastAsia" w:asciiTheme="minorEastAsia" w:hAnsiTheme="minorEastAsia" w:eastAsiaTheme="minorEastAsia" w:cstheme="minorEastAsia"/>
                <w:color w:val="auto"/>
                <w:sz w:val="21"/>
                <w:szCs w:val="21"/>
                <w:lang w:eastAsia="zh-CN"/>
              </w:rPr>
              <w:t>方案不完整、不合理、无可操作性的或不提供的不</w:t>
            </w:r>
            <w:r>
              <w:rPr>
                <w:rFonts w:hint="eastAsia" w:asciiTheme="minorEastAsia" w:hAnsiTheme="minorEastAsia" w:cstheme="minorEastAsia"/>
                <w:color w:val="auto"/>
                <w:sz w:val="21"/>
                <w:szCs w:val="21"/>
                <w:lang w:val="en-US" w:eastAsia="zh-CN"/>
              </w:rPr>
              <w:t>加</w:t>
            </w:r>
            <w:r>
              <w:rPr>
                <w:rFonts w:hint="eastAsia" w:asciiTheme="minorEastAsia" w:hAnsiTheme="minorEastAsia" w:eastAsiaTheme="minorEastAsia" w:cstheme="minorEastAsia"/>
                <w:color w:val="auto"/>
                <w:sz w:val="21"/>
                <w:szCs w:val="21"/>
                <w:lang w:eastAsia="zh-CN"/>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20" w:type="dxa"/>
            <w:left w:w="108" w:type="dxa"/>
            <w:bottom w:w="20" w:type="dxa"/>
            <w:right w:w="108" w:type="dxa"/>
          </w:tblCellMar>
        </w:tblPrEx>
        <w:trPr>
          <w:trHeight w:val="4190" w:hRule="atLeast"/>
          <w:jc w:val="center"/>
        </w:trPr>
        <w:tc>
          <w:tcPr>
            <w:tcW w:w="461" w:type="dxa"/>
            <w:vMerge w:val="continue"/>
            <w:tcBorders>
              <w:left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b/>
                <w:bCs/>
                <w:color w:val="auto"/>
                <w:sz w:val="21"/>
                <w:szCs w:val="21"/>
              </w:rPr>
            </w:pPr>
          </w:p>
        </w:tc>
        <w:tc>
          <w:tcPr>
            <w:tcW w:w="70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2</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pacing w:line="300" w:lineRule="exact"/>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重点难点分析、应对措施及合理化建议</w:t>
            </w:r>
          </w:p>
        </w:tc>
        <w:tc>
          <w:tcPr>
            <w:tcW w:w="74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pacing w:line="300" w:lineRule="exact"/>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9</w:t>
            </w:r>
          </w:p>
        </w:tc>
        <w:tc>
          <w:tcPr>
            <w:tcW w:w="6590" w:type="dxa"/>
            <w:gridSpan w:val="4"/>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b/>
                <w:bCs/>
                <w:color w:val="auto"/>
                <w:sz w:val="21"/>
                <w:szCs w:val="21"/>
                <w:lang w:eastAsia="zh-CN"/>
              </w:rPr>
            </w:pPr>
            <w:r>
              <w:rPr>
                <w:rFonts w:hint="eastAsia" w:asciiTheme="minorEastAsia" w:hAnsiTheme="minorEastAsia" w:eastAsiaTheme="minorEastAsia" w:cstheme="minorEastAsia"/>
                <w:b/>
                <w:bCs/>
                <w:color w:val="auto"/>
                <w:sz w:val="21"/>
                <w:szCs w:val="21"/>
                <w:lang w:eastAsia="zh-CN"/>
              </w:rPr>
              <w:t>（一）评分内容：</w:t>
            </w:r>
          </w:p>
          <w:p>
            <w:pPr>
              <w:keepNext w:val="0"/>
              <w:keepLines w:val="0"/>
              <w:pageBreakBefore w:val="0"/>
              <w:numPr>
                <w:ilvl w:val="0"/>
                <w:numId w:val="0"/>
              </w:numPr>
              <w:kinsoku/>
              <w:wordWrap/>
              <w:overflowPunct/>
              <w:topLinePunct w:val="0"/>
              <w:autoSpaceDE w:val="0"/>
              <w:autoSpaceDN w:val="0"/>
              <w:bidi w:val="0"/>
              <w:adjustRightInd w:val="0"/>
              <w:spacing w:line="300" w:lineRule="exact"/>
              <w:ind w:leftChars="0"/>
              <w:jc w:val="left"/>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1.对项目难点重点进行分析；</w:t>
            </w:r>
          </w:p>
          <w:p>
            <w:pPr>
              <w:keepNext w:val="0"/>
              <w:keepLines w:val="0"/>
              <w:pageBreakBefore w:val="0"/>
              <w:numPr>
                <w:ilvl w:val="0"/>
                <w:numId w:val="0"/>
              </w:numPr>
              <w:kinsoku/>
              <w:wordWrap/>
              <w:overflowPunct/>
              <w:topLinePunct w:val="0"/>
              <w:autoSpaceDE w:val="0"/>
              <w:autoSpaceDN w:val="0"/>
              <w:bidi w:val="0"/>
              <w:adjustRightInd w:val="0"/>
              <w:spacing w:line="300" w:lineRule="exact"/>
              <w:ind w:leftChars="0"/>
              <w:jc w:val="left"/>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2.针对重、难点的相关应对措施；</w:t>
            </w:r>
          </w:p>
          <w:p>
            <w:pPr>
              <w:keepNext w:val="0"/>
              <w:keepLines w:val="0"/>
              <w:pageBreakBefore w:val="0"/>
              <w:numPr>
                <w:ilvl w:val="0"/>
                <w:numId w:val="0"/>
              </w:numPr>
              <w:kinsoku/>
              <w:wordWrap/>
              <w:overflowPunct/>
              <w:topLinePunct w:val="0"/>
              <w:autoSpaceDE w:val="0"/>
              <w:autoSpaceDN w:val="0"/>
              <w:bidi w:val="0"/>
              <w:adjustRightInd w:val="0"/>
              <w:spacing w:line="300" w:lineRule="exact"/>
              <w:ind w:leftChars="0"/>
              <w:jc w:val="left"/>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3.日常服务的合理化建议；</w:t>
            </w:r>
          </w:p>
          <w:p>
            <w:pPr>
              <w:keepNext w:val="0"/>
              <w:keepLines w:val="0"/>
              <w:pageBreakBefore w:val="0"/>
              <w:kinsoku/>
              <w:wordWrap/>
              <w:overflowPunct/>
              <w:topLinePunct w:val="0"/>
              <w:bidi w:val="0"/>
              <w:spacing w:line="300" w:lineRule="exact"/>
              <w:rPr>
                <w:rFonts w:hint="eastAsia" w:asciiTheme="minorEastAsia" w:hAnsiTheme="minorEastAsia" w:eastAsiaTheme="minorEastAsia" w:cstheme="minorEastAsia"/>
                <w:b/>
                <w:bCs/>
                <w:color w:val="auto"/>
                <w:sz w:val="21"/>
                <w:szCs w:val="21"/>
                <w:lang w:eastAsia="zh-CN"/>
              </w:rPr>
            </w:pPr>
            <w:r>
              <w:rPr>
                <w:rFonts w:hint="eastAsia" w:asciiTheme="minorEastAsia" w:hAnsiTheme="minorEastAsia" w:eastAsiaTheme="minorEastAsia" w:cstheme="minorEastAsia"/>
                <w:b/>
                <w:bCs/>
                <w:color w:val="auto"/>
                <w:sz w:val="21"/>
                <w:szCs w:val="21"/>
                <w:lang w:eastAsia="zh-CN"/>
              </w:rPr>
              <w:t>（二）评分依据：</w:t>
            </w:r>
          </w:p>
          <w:p>
            <w:pPr>
              <w:pStyle w:val="8"/>
              <w:keepNext w:val="0"/>
              <w:keepLines w:val="0"/>
              <w:pageBreakBefore w:val="0"/>
              <w:kinsoku/>
              <w:wordWrap/>
              <w:overflowPunct/>
              <w:topLinePunct w:val="0"/>
              <w:bidi w:val="0"/>
              <w:spacing w:line="300" w:lineRule="exact"/>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1.提供的方案同时满足上述三点得3分，满足任意二点得2分，满足一点得1分，未提供不得分。</w:t>
            </w:r>
          </w:p>
          <w:p>
            <w:pPr>
              <w:pStyle w:val="8"/>
              <w:keepNext w:val="0"/>
              <w:keepLines w:val="0"/>
              <w:pageBreakBefore w:val="0"/>
              <w:kinsoku/>
              <w:wordWrap/>
              <w:overflowPunct/>
              <w:topLinePunct w:val="0"/>
              <w:bidi w:val="0"/>
              <w:spacing w:line="300" w:lineRule="exact"/>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2.在第1点的基础上，评审专家根据各供应商的具体响应内容按照量化的评审因素指标进一步评审：</w:t>
            </w:r>
          </w:p>
          <w:p>
            <w:pPr>
              <w:pStyle w:val="8"/>
              <w:keepNext w:val="0"/>
              <w:keepLines w:val="0"/>
              <w:pageBreakBefore w:val="0"/>
              <w:kinsoku/>
              <w:wordWrap/>
              <w:overflowPunct/>
              <w:topLinePunct w:val="0"/>
              <w:bidi w:val="0"/>
              <w:spacing w:line="300" w:lineRule="exact"/>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（1）内容详实具体、科学合理、条理清晰、可操作性强的，加6分；</w:t>
            </w:r>
          </w:p>
          <w:p>
            <w:pPr>
              <w:pStyle w:val="8"/>
              <w:keepNext w:val="0"/>
              <w:keepLines w:val="0"/>
              <w:pageBreakBefore w:val="0"/>
              <w:kinsoku/>
              <w:wordWrap/>
              <w:overflowPunct/>
              <w:topLinePunct w:val="0"/>
              <w:bidi w:val="0"/>
              <w:spacing w:line="300" w:lineRule="exact"/>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（2）内容较详实具体、科学合理、条理清晰、可操作性较强的，加4分；</w:t>
            </w:r>
          </w:p>
          <w:p>
            <w:pPr>
              <w:pStyle w:val="8"/>
              <w:keepNext w:val="0"/>
              <w:keepLines w:val="0"/>
              <w:pageBreakBefore w:val="0"/>
              <w:kinsoku/>
              <w:wordWrap/>
              <w:overflowPunct/>
              <w:topLinePunct w:val="0"/>
              <w:bidi w:val="0"/>
              <w:spacing w:line="300" w:lineRule="exact"/>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（3）内容完整性、合理性、条理性、针对性、可操作性一般的，加2分；</w:t>
            </w:r>
          </w:p>
          <w:p>
            <w:pPr>
              <w:pStyle w:val="8"/>
              <w:keepNext w:val="0"/>
              <w:keepLines w:val="0"/>
              <w:pageBreakBefore w:val="0"/>
              <w:kinsoku/>
              <w:wordWrap/>
              <w:overflowPunct/>
              <w:topLinePunct w:val="0"/>
              <w:bidi w:val="0"/>
              <w:spacing w:line="300" w:lineRule="exact"/>
              <w:jc w:val="both"/>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（4）内容不完整、不合理、无可操作性的或不提供的不得分。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1169" w:hRule="atLeast"/>
          <w:jc w:val="center"/>
        </w:trPr>
        <w:tc>
          <w:tcPr>
            <w:tcW w:w="461" w:type="dxa"/>
            <w:vMerge w:val="continue"/>
            <w:tcBorders>
              <w:left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b/>
                <w:bCs/>
                <w:color w:val="auto"/>
                <w:sz w:val="21"/>
                <w:szCs w:val="21"/>
              </w:rPr>
            </w:pPr>
          </w:p>
        </w:tc>
        <w:tc>
          <w:tcPr>
            <w:tcW w:w="70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3</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pacing w:line="300" w:lineRule="exact"/>
              <w:jc w:val="center"/>
              <w:rPr>
                <w:rFonts w:hint="eastAsia" w:asciiTheme="minorEastAsia" w:hAnsiTheme="minorEastAsia" w:eastAsiaTheme="minorEastAsia" w:cstheme="minorEastAsia"/>
                <w:b/>
                <w:bCs/>
                <w:color w:val="auto"/>
                <w:kern w:val="44"/>
                <w:sz w:val="21"/>
                <w:szCs w:val="21"/>
                <w:lang w:val="en-US" w:eastAsia="zh-CN" w:bidi="ar-SA"/>
              </w:rPr>
            </w:pPr>
            <w:r>
              <w:rPr>
                <w:rFonts w:hint="eastAsia" w:asciiTheme="minorEastAsia" w:hAnsiTheme="minorEastAsia" w:eastAsiaTheme="minorEastAsia" w:cstheme="minorEastAsia"/>
                <w:color w:val="auto"/>
                <w:sz w:val="21"/>
                <w:szCs w:val="21"/>
              </w:rPr>
              <w:t>维修应急能力</w:t>
            </w:r>
          </w:p>
        </w:tc>
        <w:tc>
          <w:tcPr>
            <w:tcW w:w="74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pacing w:line="300" w:lineRule="exact"/>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5</w:t>
            </w:r>
          </w:p>
        </w:tc>
        <w:tc>
          <w:tcPr>
            <w:tcW w:w="6590"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pacing w:line="300" w:lineRule="exact"/>
              <w:rPr>
                <w:rFonts w:hint="eastAsia" w:asciiTheme="minorEastAsia" w:hAnsiTheme="minorEastAsia" w:eastAsiaTheme="minorEastAsia" w:cstheme="minorEastAsia"/>
                <w:b/>
                <w:bCs/>
                <w:color w:val="auto"/>
                <w:sz w:val="21"/>
                <w:szCs w:val="21"/>
                <w:lang w:eastAsia="zh-CN"/>
              </w:rPr>
            </w:pPr>
            <w:r>
              <w:rPr>
                <w:rFonts w:hint="eastAsia" w:asciiTheme="minorEastAsia" w:hAnsiTheme="minorEastAsia" w:eastAsiaTheme="minorEastAsia" w:cstheme="minorEastAsia"/>
                <w:b/>
                <w:bCs/>
                <w:color w:val="auto"/>
                <w:sz w:val="21"/>
                <w:szCs w:val="21"/>
                <w:lang w:eastAsia="zh-CN"/>
              </w:rPr>
              <w:t>（一）评分内容：</w:t>
            </w:r>
          </w:p>
          <w:p>
            <w:pPr>
              <w:pStyle w:val="8"/>
              <w:keepNext w:val="0"/>
              <w:keepLines w:val="0"/>
              <w:pageBreakBefore w:val="0"/>
              <w:kinsoku/>
              <w:wordWrap/>
              <w:overflowPunct/>
              <w:topLinePunct w:val="0"/>
              <w:bidi w:val="0"/>
              <w:spacing w:line="300" w:lineRule="exact"/>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1.到达现场维修响应时间</w:t>
            </w:r>
            <w:r>
              <w:rPr>
                <w:rFonts w:hint="default" w:ascii="Arial" w:hAnsi="Arial" w:eastAsia="宋体" w:cs="Arial"/>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2小时的，得5分；</w:t>
            </w:r>
          </w:p>
          <w:p>
            <w:pPr>
              <w:pStyle w:val="8"/>
              <w:keepNext w:val="0"/>
              <w:keepLines w:val="0"/>
              <w:pageBreakBefore w:val="0"/>
              <w:kinsoku/>
              <w:wordWrap/>
              <w:overflowPunct/>
              <w:topLinePunct w:val="0"/>
              <w:bidi w:val="0"/>
              <w:spacing w:line="300" w:lineRule="exact"/>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2.到达现场维修响应时间</w:t>
            </w:r>
            <w:r>
              <w:rPr>
                <w:rFonts w:hint="default" w:ascii="Arial" w:hAnsi="Arial" w:eastAsia="宋体" w:cs="Arial"/>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3小时，得2.5分；</w:t>
            </w:r>
          </w:p>
          <w:p>
            <w:pPr>
              <w:keepNext w:val="0"/>
              <w:keepLines w:val="0"/>
              <w:pageBreakBefore w:val="0"/>
              <w:kinsoku/>
              <w:wordWrap/>
              <w:overflowPunct/>
              <w:topLinePunct w:val="0"/>
              <w:bidi w:val="0"/>
              <w:spacing w:line="300" w:lineRule="exac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3.到达现场维修响应时间</w:t>
            </w:r>
            <w:r>
              <w:rPr>
                <w:rFonts w:hint="default" w:ascii="Arial" w:hAnsi="Arial" w:eastAsia="宋体" w:cs="Arial"/>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4小时或不能到达现场不得分。</w:t>
            </w:r>
          </w:p>
          <w:p>
            <w:pPr>
              <w:keepNext w:val="0"/>
              <w:keepLines w:val="0"/>
              <w:pageBreakBefore w:val="0"/>
              <w:kinsoku/>
              <w:wordWrap/>
              <w:overflowPunct/>
              <w:topLinePunct w:val="0"/>
              <w:bidi w:val="0"/>
              <w:spacing w:line="300" w:lineRule="exact"/>
              <w:rPr>
                <w:rFonts w:hint="eastAsia" w:asciiTheme="minorEastAsia" w:hAnsiTheme="minorEastAsia" w:eastAsiaTheme="minorEastAsia" w:cstheme="minorEastAsia"/>
                <w:b/>
                <w:bCs/>
                <w:color w:val="auto"/>
                <w:sz w:val="21"/>
                <w:szCs w:val="21"/>
                <w:lang w:eastAsia="zh-CN"/>
              </w:rPr>
            </w:pPr>
            <w:r>
              <w:rPr>
                <w:rFonts w:hint="eastAsia" w:asciiTheme="minorEastAsia" w:hAnsiTheme="minorEastAsia" w:eastAsiaTheme="minorEastAsia" w:cstheme="minorEastAsia"/>
                <w:b/>
                <w:bCs/>
                <w:color w:val="auto"/>
                <w:sz w:val="21"/>
                <w:szCs w:val="21"/>
                <w:lang w:eastAsia="zh-CN"/>
              </w:rPr>
              <w:t>（二）评分依据：</w:t>
            </w:r>
          </w:p>
          <w:p>
            <w:pPr>
              <w:pStyle w:val="8"/>
              <w:keepNext w:val="0"/>
              <w:keepLines w:val="0"/>
              <w:pageBreakBefore w:val="0"/>
              <w:kinsoku/>
              <w:wordWrap/>
              <w:overflowPunct/>
              <w:topLinePunct w:val="0"/>
              <w:bidi w:val="0"/>
              <w:spacing w:line="300" w:lineRule="exact"/>
              <w:rPr>
                <w:rFonts w:hint="default" w:asciiTheme="minorEastAsia" w:hAnsiTheme="minorEastAsia" w:eastAsiaTheme="minorEastAsia" w:cstheme="minorEastAsia"/>
                <w:color w:val="auto"/>
                <w:kern w:val="2"/>
                <w:sz w:val="21"/>
                <w:szCs w:val="21"/>
                <w:lang w:val="en-US" w:eastAsia="zh-CN" w:bidi="ar-SA"/>
              </w:rPr>
            </w:pPr>
            <w:r>
              <w:rPr>
                <w:rFonts w:hint="eastAsia" w:ascii="宋体" w:hAnsi="宋体" w:eastAsia="宋体" w:cs="宋体"/>
                <w:b w:val="0"/>
                <w:bCs w:val="0"/>
                <w:kern w:val="2"/>
                <w:sz w:val="22"/>
                <w:szCs w:val="22"/>
                <w:lang w:val="en-US" w:eastAsia="zh-CN" w:bidi="ar-SA"/>
              </w:rPr>
              <w:t>要求提供承诺（格式自定）作为得分依据，未提供承诺或承诺内容不满足要求不得分。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20" w:type="dxa"/>
            <w:left w:w="108" w:type="dxa"/>
            <w:bottom w:w="20" w:type="dxa"/>
            <w:right w:w="108" w:type="dxa"/>
          </w:tblCellMar>
        </w:tblPrEx>
        <w:trPr>
          <w:trHeight w:val="538" w:hRule="atLeast"/>
          <w:jc w:val="center"/>
        </w:trPr>
        <w:tc>
          <w:tcPr>
            <w:tcW w:w="461" w:type="dxa"/>
            <w:vMerge w:val="continue"/>
            <w:tcBorders>
              <w:left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b/>
                <w:bCs/>
                <w:color w:val="auto"/>
                <w:sz w:val="21"/>
                <w:szCs w:val="21"/>
              </w:rPr>
            </w:pPr>
          </w:p>
        </w:tc>
        <w:tc>
          <w:tcPr>
            <w:tcW w:w="70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4</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pacing w:line="30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履约评价</w:t>
            </w:r>
          </w:p>
        </w:tc>
        <w:tc>
          <w:tcPr>
            <w:tcW w:w="74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pacing w:line="300" w:lineRule="exact"/>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6</w:t>
            </w:r>
          </w:p>
        </w:tc>
        <w:tc>
          <w:tcPr>
            <w:tcW w:w="6590"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pacing w:line="300" w:lineRule="exact"/>
              <w:rPr>
                <w:rFonts w:hint="eastAsia" w:asciiTheme="minorEastAsia" w:hAnsiTheme="minorEastAsia" w:eastAsiaTheme="minorEastAsia" w:cstheme="minorEastAsia"/>
                <w:b/>
                <w:bCs/>
                <w:color w:val="auto"/>
                <w:sz w:val="21"/>
                <w:szCs w:val="21"/>
                <w:lang w:eastAsia="zh-CN"/>
              </w:rPr>
            </w:pPr>
            <w:r>
              <w:rPr>
                <w:rFonts w:hint="eastAsia" w:asciiTheme="minorEastAsia" w:hAnsiTheme="minorEastAsia" w:eastAsiaTheme="minorEastAsia" w:cstheme="minorEastAsia"/>
                <w:b/>
                <w:bCs/>
                <w:color w:val="auto"/>
                <w:sz w:val="21"/>
                <w:szCs w:val="21"/>
                <w:lang w:eastAsia="zh-CN"/>
              </w:rPr>
              <w:t>（一）评分内容：</w:t>
            </w:r>
          </w:p>
          <w:p>
            <w:pPr>
              <w:keepNext w:val="0"/>
              <w:keepLines w:val="0"/>
              <w:pageBreakBefore w:val="0"/>
              <w:kinsoku/>
              <w:wordWrap/>
              <w:overflowPunct/>
              <w:topLinePunct w:val="0"/>
              <w:bidi w:val="0"/>
              <w:spacing w:line="300" w:lineRule="exact"/>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投标人在“同类项目业绩”中，能够提供用户出具的履约评价书，且评价为优（或合格）的，每提供一项得2分，满分得6分。</w:t>
            </w:r>
          </w:p>
          <w:p>
            <w:pPr>
              <w:keepNext w:val="0"/>
              <w:keepLines w:val="0"/>
              <w:pageBreakBefore w:val="0"/>
              <w:kinsoku/>
              <w:wordWrap/>
              <w:overflowPunct/>
              <w:topLinePunct w:val="0"/>
              <w:bidi w:val="0"/>
              <w:spacing w:line="300" w:lineRule="exact"/>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不提供或不能有效证明的，不得分。</w:t>
            </w:r>
          </w:p>
          <w:p>
            <w:pPr>
              <w:keepNext w:val="0"/>
              <w:keepLines w:val="0"/>
              <w:pageBreakBefore w:val="0"/>
              <w:kinsoku/>
              <w:wordWrap/>
              <w:overflowPunct/>
              <w:topLinePunct w:val="0"/>
              <w:bidi w:val="0"/>
              <w:spacing w:line="300" w:lineRule="exact"/>
              <w:rPr>
                <w:rFonts w:hint="eastAsia" w:asciiTheme="minorEastAsia" w:hAnsiTheme="minorEastAsia" w:eastAsiaTheme="minorEastAsia" w:cstheme="minorEastAsia"/>
                <w:b/>
                <w:bCs/>
                <w:color w:val="auto"/>
                <w:sz w:val="21"/>
                <w:szCs w:val="21"/>
                <w:lang w:eastAsia="zh-CN"/>
              </w:rPr>
            </w:pPr>
            <w:r>
              <w:rPr>
                <w:rFonts w:hint="eastAsia" w:asciiTheme="minorEastAsia" w:hAnsiTheme="minorEastAsia" w:eastAsiaTheme="minorEastAsia" w:cstheme="minorEastAsia"/>
                <w:b/>
                <w:bCs/>
                <w:color w:val="auto"/>
                <w:sz w:val="21"/>
                <w:szCs w:val="21"/>
                <w:lang w:eastAsia="zh-CN"/>
              </w:rPr>
              <w:t>（二）评分依据：</w:t>
            </w:r>
          </w:p>
          <w:p>
            <w:pPr>
              <w:keepNext w:val="0"/>
              <w:keepLines w:val="0"/>
              <w:pageBreakBefore w:val="0"/>
              <w:kinsoku/>
              <w:wordWrap/>
              <w:overflowPunct/>
              <w:topLinePunct w:val="0"/>
              <w:bidi w:val="0"/>
              <w:spacing w:line="300" w:lineRule="exac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投标人提供用户出具的履约评价书原件扫描件，原件备查。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20" w:type="dxa"/>
            <w:left w:w="108" w:type="dxa"/>
            <w:bottom w:w="20" w:type="dxa"/>
            <w:right w:w="108" w:type="dxa"/>
          </w:tblCellMar>
        </w:tblPrEx>
        <w:trPr>
          <w:trHeight w:val="769" w:hRule="atLeast"/>
          <w:jc w:val="center"/>
        </w:trPr>
        <w:tc>
          <w:tcPr>
            <w:tcW w:w="461" w:type="dxa"/>
            <w:vMerge w:val="continue"/>
            <w:tcBorders>
              <w:left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b/>
                <w:bCs/>
                <w:color w:val="auto"/>
                <w:sz w:val="21"/>
                <w:szCs w:val="21"/>
              </w:rPr>
            </w:pPr>
          </w:p>
        </w:tc>
        <w:tc>
          <w:tcPr>
            <w:tcW w:w="70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5</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pacing w:line="30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项目完成（服务期满）后的服务承诺</w:t>
            </w:r>
          </w:p>
        </w:tc>
        <w:tc>
          <w:tcPr>
            <w:tcW w:w="74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pacing w:line="300" w:lineRule="exact"/>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5</w:t>
            </w:r>
          </w:p>
        </w:tc>
        <w:tc>
          <w:tcPr>
            <w:tcW w:w="6590"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pacing w:line="300" w:lineRule="exact"/>
              <w:rPr>
                <w:rFonts w:hint="eastAsia" w:asciiTheme="minorEastAsia" w:hAnsiTheme="minorEastAsia" w:eastAsiaTheme="minorEastAsia" w:cstheme="minorEastAsia"/>
                <w:b/>
                <w:bCs/>
                <w:color w:val="auto"/>
                <w:sz w:val="21"/>
                <w:szCs w:val="21"/>
                <w:lang w:eastAsia="zh-CN"/>
              </w:rPr>
            </w:pPr>
            <w:r>
              <w:rPr>
                <w:rFonts w:hint="eastAsia" w:asciiTheme="minorEastAsia" w:hAnsiTheme="minorEastAsia" w:eastAsiaTheme="minorEastAsia" w:cstheme="minorEastAsia"/>
                <w:b/>
                <w:bCs/>
                <w:color w:val="auto"/>
                <w:sz w:val="21"/>
                <w:szCs w:val="21"/>
                <w:lang w:eastAsia="zh-CN"/>
              </w:rPr>
              <w:t>（一）评分内容：</w:t>
            </w:r>
          </w:p>
          <w:p>
            <w:pPr>
              <w:keepNext w:val="0"/>
              <w:keepLines w:val="0"/>
              <w:pageBreakBefore w:val="0"/>
              <w:kinsoku/>
              <w:wordWrap/>
              <w:overflowPunct/>
              <w:topLinePunct w:val="0"/>
              <w:bidi w:val="0"/>
              <w:spacing w:line="300" w:lineRule="exac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1、服务期满后主动离岗承诺； </w:t>
            </w:r>
          </w:p>
          <w:p>
            <w:pPr>
              <w:keepNext w:val="0"/>
              <w:keepLines w:val="0"/>
              <w:pageBreakBefore w:val="0"/>
              <w:kinsoku/>
              <w:wordWrap/>
              <w:overflowPunct/>
              <w:topLinePunct w:val="0"/>
              <w:bidi w:val="0"/>
              <w:spacing w:line="300" w:lineRule="exac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2、服务期满后与后续服务</w:t>
            </w:r>
            <w:r>
              <w:rPr>
                <w:rFonts w:hint="eastAsia" w:asciiTheme="minorEastAsia" w:hAnsiTheme="minorEastAsia" w:eastAsiaTheme="minorEastAsia" w:cstheme="minorEastAsia"/>
                <w:color w:val="auto"/>
                <w:sz w:val="21"/>
                <w:szCs w:val="21"/>
                <w:lang w:val="en-US" w:eastAsia="zh-CN"/>
              </w:rPr>
              <w:t>公司</w:t>
            </w:r>
            <w:r>
              <w:rPr>
                <w:rFonts w:hint="eastAsia" w:asciiTheme="minorEastAsia" w:hAnsiTheme="minorEastAsia" w:eastAsiaTheme="minorEastAsia" w:cstheme="minorEastAsia"/>
                <w:color w:val="auto"/>
                <w:sz w:val="21"/>
                <w:szCs w:val="21"/>
              </w:rPr>
              <w:t>做好交接承诺；</w:t>
            </w:r>
          </w:p>
          <w:p>
            <w:pPr>
              <w:keepNext w:val="0"/>
              <w:keepLines w:val="0"/>
              <w:pageBreakBefore w:val="0"/>
              <w:kinsoku/>
              <w:wordWrap/>
              <w:overflowPunct/>
              <w:topLinePunct w:val="0"/>
              <w:bidi w:val="0"/>
              <w:spacing w:line="300" w:lineRule="exac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3、服务期满后，在后续服务单位未到位前的过渡期间仍按原合同服务承诺提供运营服务的承诺。</w:t>
            </w:r>
          </w:p>
          <w:p>
            <w:pPr>
              <w:keepNext w:val="0"/>
              <w:keepLines w:val="0"/>
              <w:pageBreakBefore w:val="0"/>
              <w:kinsoku/>
              <w:wordWrap/>
              <w:overflowPunct/>
              <w:topLinePunct w:val="0"/>
              <w:bidi w:val="0"/>
              <w:spacing w:line="300" w:lineRule="exact"/>
              <w:rPr>
                <w:rFonts w:hint="eastAsia" w:asciiTheme="minorEastAsia" w:hAnsiTheme="minorEastAsia" w:eastAsiaTheme="minorEastAsia" w:cstheme="minorEastAsia"/>
                <w:b/>
                <w:bCs/>
                <w:color w:val="auto"/>
                <w:sz w:val="21"/>
                <w:szCs w:val="21"/>
                <w:lang w:eastAsia="zh-CN"/>
              </w:rPr>
            </w:pPr>
            <w:r>
              <w:rPr>
                <w:rFonts w:hint="eastAsia" w:asciiTheme="minorEastAsia" w:hAnsiTheme="minorEastAsia" w:eastAsiaTheme="minorEastAsia" w:cstheme="minorEastAsia"/>
                <w:b/>
                <w:bCs/>
                <w:color w:val="auto"/>
                <w:sz w:val="21"/>
                <w:szCs w:val="21"/>
                <w:lang w:eastAsia="zh-CN"/>
              </w:rPr>
              <w:t>（二）评分依据：</w:t>
            </w:r>
          </w:p>
          <w:p>
            <w:pPr>
              <w:keepNext w:val="0"/>
              <w:keepLines w:val="0"/>
              <w:pageBreakBefore w:val="0"/>
              <w:kinsoku/>
              <w:wordWrap/>
              <w:overflowPunct/>
              <w:topLinePunct w:val="0"/>
              <w:bidi w:val="0"/>
              <w:spacing w:line="300" w:lineRule="exac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提供承诺的（格式自拟）得100%；不提供的不得分。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20" w:type="dxa"/>
            <w:left w:w="108" w:type="dxa"/>
            <w:bottom w:w="20" w:type="dxa"/>
            <w:right w:w="108" w:type="dxa"/>
          </w:tblCellMar>
        </w:tblPrEx>
        <w:trPr>
          <w:trHeight w:val="424" w:hRule="atLeast"/>
          <w:jc w:val="center"/>
        </w:trPr>
        <w:tc>
          <w:tcPr>
            <w:tcW w:w="461" w:type="dxa"/>
            <w:vMerge w:val="continue"/>
            <w:tcBorders>
              <w:left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b/>
                <w:bCs/>
                <w:color w:val="auto"/>
                <w:sz w:val="21"/>
                <w:szCs w:val="21"/>
              </w:rPr>
            </w:pPr>
          </w:p>
        </w:tc>
        <w:tc>
          <w:tcPr>
            <w:tcW w:w="70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6</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pacing w:line="30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诚信</w:t>
            </w:r>
          </w:p>
        </w:tc>
        <w:tc>
          <w:tcPr>
            <w:tcW w:w="74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pacing w:line="300" w:lineRule="exact"/>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5</w:t>
            </w:r>
          </w:p>
        </w:tc>
        <w:tc>
          <w:tcPr>
            <w:tcW w:w="6590"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pacing w:line="300" w:lineRule="exact"/>
              <w:rPr>
                <w:rFonts w:hint="eastAsia" w:asciiTheme="minorEastAsia" w:hAnsiTheme="minorEastAsia" w:eastAsiaTheme="minorEastAsia" w:cstheme="minorEastAsia"/>
                <w:b/>
                <w:color w:val="auto"/>
                <w:sz w:val="21"/>
                <w:szCs w:val="21"/>
                <w:lang w:eastAsia="zh-CN"/>
              </w:rPr>
            </w:pPr>
            <w:r>
              <w:rPr>
                <w:rFonts w:hint="eastAsia" w:asciiTheme="minorEastAsia" w:hAnsiTheme="minorEastAsia" w:eastAsiaTheme="minorEastAsia" w:cstheme="minorEastAsia"/>
                <w:color w:val="auto"/>
                <w:sz w:val="21"/>
                <w:szCs w:val="21"/>
              </w:rPr>
              <w:t>根据《深圳市财政委员会关于印发〈深圳市政府采购供应商诚信管理暂行办法操作细则〉的通知》（深财购[2017]42号）的要求，投标人在参与政府采购活动中存在被记入诚信档案的情形（被禁止参与政府采购活动除外）且在主管部门相关处理措施实施期限内的，本项不得分。投标人必须提供《</w:t>
            </w:r>
            <w:r>
              <w:rPr>
                <w:rFonts w:hint="eastAsia" w:asciiTheme="minorEastAsia" w:hAnsiTheme="minorEastAsia" w:eastAsiaTheme="minorEastAsia" w:cstheme="minorEastAsia"/>
                <w:color w:val="auto"/>
                <w:sz w:val="21"/>
                <w:szCs w:val="21"/>
                <w:lang w:val="en-US" w:eastAsia="zh-CN"/>
              </w:rPr>
              <w:t>投标及履约承诺函</w:t>
            </w:r>
            <w:r>
              <w:rPr>
                <w:rFonts w:hint="eastAsia" w:asciiTheme="minorEastAsia" w:hAnsiTheme="minorEastAsia" w:eastAsiaTheme="minorEastAsia" w:cstheme="minorEastAsia"/>
                <w:color w:val="auto"/>
                <w:sz w:val="21"/>
                <w:szCs w:val="21"/>
              </w:rPr>
              <w:t>》（按投标文件格式要求填写），未按要求提供不得分。</w:t>
            </w:r>
            <w:r>
              <w:rPr>
                <w:rFonts w:hint="eastAsia" w:asciiTheme="minorEastAsia" w:hAnsiTheme="minorEastAsia" w:eastAsiaTheme="minorEastAsia" w:cstheme="minorEastAsia"/>
                <w:color w:val="auto"/>
                <w:sz w:val="21"/>
                <w:szCs w:val="21"/>
                <w:lang w:val="en-US" w:eastAsia="zh-CN"/>
              </w:rPr>
              <w:t>由</w:t>
            </w:r>
            <w:r>
              <w:rPr>
                <w:szCs w:val="21"/>
              </w:rPr>
              <w:t>工作人员向评审委员会提供相关</w:t>
            </w:r>
            <w:r>
              <w:rPr>
                <w:rFonts w:hint="eastAsia"/>
                <w:szCs w:val="21"/>
                <w:lang w:val="en-US" w:eastAsia="zh-CN"/>
              </w:rPr>
              <w:t>查询</w:t>
            </w:r>
            <w:r>
              <w:rPr>
                <w:szCs w:val="21"/>
              </w:rPr>
              <w:t>信息</w:t>
            </w:r>
            <w:r>
              <w:rPr>
                <w:rFonts w:hint="eastAsia"/>
                <w:szCs w:val="21"/>
                <w:lang w:eastAsia="zh-CN"/>
              </w:rPr>
              <w:t>，</w:t>
            </w:r>
            <w:r>
              <w:rPr>
                <w:rFonts w:hint="eastAsia" w:asciiTheme="minorEastAsia" w:hAnsiTheme="minorEastAsia" w:eastAsiaTheme="minorEastAsia" w:cstheme="minorEastAsia"/>
                <w:color w:val="auto"/>
                <w:sz w:val="21"/>
                <w:szCs w:val="21"/>
              </w:rPr>
              <w:t>如若投标人承诺与实际情况不相符，将按照虚假投标的情况报相关主管部门处理。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20" w:type="dxa"/>
            <w:left w:w="108" w:type="dxa"/>
            <w:bottom w:w="20" w:type="dxa"/>
            <w:right w:w="108" w:type="dxa"/>
          </w:tblCellMar>
        </w:tblPrEx>
        <w:trPr>
          <w:jc w:val="center"/>
        </w:trPr>
        <w:tc>
          <w:tcPr>
            <w:tcW w:w="46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3</w:t>
            </w:r>
          </w:p>
        </w:tc>
        <w:tc>
          <w:tcPr>
            <w:tcW w:w="2813" w:type="dxa"/>
            <w:gridSpan w:val="4"/>
            <w:tcBorders>
              <w:top w:val="single" w:color="000000" w:sz="8" w:space="0"/>
              <w:left w:val="single" w:color="000000" w:sz="8" w:space="0"/>
              <w:bottom w:val="single" w:color="000000" w:sz="8" w:space="0"/>
              <w:right w:val="single" w:color="000000" w:sz="8" w:space="0"/>
            </w:tcBorders>
            <w:shd w:val="clear" w:color="auto" w:fill="auto"/>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lang w:val="en-US" w:eastAsia="zh-CN"/>
              </w:rPr>
              <w:t>商务</w:t>
            </w:r>
            <w:r>
              <w:rPr>
                <w:rFonts w:hint="eastAsia" w:asciiTheme="minorEastAsia" w:hAnsiTheme="minorEastAsia" w:eastAsiaTheme="minorEastAsia" w:cstheme="minorEastAsia"/>
                <w:b/>
                <w:bCs/>
                <w:color w:val="auto"/>
                <w:sz w:val="21"/>
                <w:szCs w:val="21"/>
              </w:rPr>
              <w:t>部分</w:t>
            </w:r>
          </w:p>
        </w:tc>
        <w:tc>
          <w:tcPr>
            <w:tcW w:w="6590" w:type="dxa"/>
            <w:gridSpan w:val="4"/>
            <w:tcBorders>
              <w:top w:val="single" w:color="000000" w:sz="8" w:space="0"/>
              <w:left w:val="single" w:color="000000" w:sz="8" w:space="0"/>
              <w:bottom w:val="single" w:color="000000" w:sz="8" w:space="0"/>
              <w:right w:val="single" w:color="000000" w:sz="8" w:space="0"/>
            </w:tcBorders>
            <w:shd w:val="clear" w:color="auto" w:fill="auto"/>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（38分）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20" w:type="dxa"/>
            <w:left w:w="108" w:type="dxa"/>
            <w:bottom w:w="20" w:type="dxa"/>
            <w:right w:w="108" w:type="dxa"/>
          </w:tblCellMar>
        </w:tblPrEx>
        <w:trPr>
          <w:jc w:val="center"/>
        </w:trPr>
        <w:tc>
          <w:tcPr>
            <w:tcW w:w="46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b/>
                <w:bCs/>
                <w:color w:val="auto"/>
                <w:sz w:val="21"/>
                <w:szCs w:val="21"/>
              </w:rPr>
            </w:pPr>
          </w:p>
        </w:tc>
        <w:tc>
          <w:tcPr>
            <w:tcW w:w="70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序号</w:t>
            </w:r>
          </w:p>
        </w:tc>
        <w:tc>
          <w:tcPr>
            <w:tcW w:w="136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评分因素</w:t>
            </w:r>
          </w:p>
        </w:tc>
        <w:tc>
          <w:tcPr>
            <w:tcW w:w="749"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权重(%)</w:t>
            </w:r>
          </w:p>
        </w:tc>
        <w:tc>
          <w:tcPr>
            <w:tcW w:w="659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20" w:type="dxa"/>
            <w:left w:w="108" w:type="dxa"/>
            <w:bottom w:w="20" w:type="dxa"/>
            <w:right w:w="108" w:type="dxa"/>
          </w:tblCellMar>
        </w:tblPrEx>
        <w:trPr>
          <w:trHeight w:val="408" w:hRule="atLeast"/>
          <w:jc w:val="center"/>
        </w:trPr>
        <w:tc>
          <w:tcPr>
            <w:tcW w:w="46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b/>
                <w:bCs/>
                <w:color w:val="auto"/>
                <w:sz w:val="21"/>
                <w:szCs w:val="21"/>
              </w:rPr>
            </w:pPr>
          </w:p>
        </w:tc>
        <w:tc>
          <w:tcPr>
            <w:tcW w:w="70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pacing w:line="30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认证证书</w:t>
            </w:r>
          </w:p>
        </w:tc>
        <w:tc>
          <w:tcPr>
            <w:tcW w:w="74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pacing w:line="30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w:t>
            </w:r>
          </w:p>
        </w:tc>
        <w:tc>
          <w:tcPr>
            <w:tcW w:w="6590"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pacing w:line="300" w:lineRule="exac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（一）评分内容：</w:t>
            </w:r>
          </w:p>
          <w:p>
            <w:pPr>
              <w:keepNext w:val="0"/>
              <w:keepLines w:val="0"/>
              <w:pageBreakBefore w:val="0"/>
              <w:kinsoku/>
              <w:wordWrap/>
              <w:overflowPunct/>
              <w:topLinePunct w:val="0"/>
              <w:bidi w:val="0"/>
              <w:spacing w:line="300" w:lineRule="exac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eastAsia="zh-CN"/>
              </w:rPr>
              <w:t>投标人具有有效的认证证书：①质量管理体系认证证书；②职业健康安全管理体系认证证书；③环境管理体系认证证书，</w:t>
            </w:r>
            <w:r>
              <w:rPr>
                <w:rFonts w:hint="eastAsia" w:asciiTheme="minorEastAsia" w:hAnsiTheme="minorEastAsia" w:eastAsiaTheme="minorEastAsia" w:cstheme="minorEastAsia"/>
                <w:color w:val="auto"/>
                <w:sz w:val="21"/>
                <w:szCs w:val="21"/>
                <w:lang w:val="en-US" w:eastAsia="zh-CN"/>
              </w:rPr>
              <w:t>有1</w:t>
            </w:r>
            <w:r>
              <w:rPr>
                <w:rFonts w:hint="eastAsia" w:asciiTheme="minorEastAsia" w:hAnsiTheme="minorEastAsia" w:eastAsiaTheme="minorEastAsia" w:cstheme="minorEastAsia"/>
                <w:color w:val="auto"/>
                <w:sz w:val="21"/>
                <w:szCs w:val="21"/>
                <w:lang w:eastAsia="zh-CN"/>
              </w:rPr>
              <w:t>项得</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lang w:eastAsia="zh-CN"/>
              </w:rPr>
              <w:t>分，</w:t>
            </w:r>
            <w:r>
              <w:rPr>
                <w:rFonts w:hint="eastAsia" w:asciiTheme="minorEastAsia" w:hAnsiTheme="minorEastAsia" w:eastAsiaTheme="minorEastAsia" w:cstheme="minorEastAsia"/>
                <w:color w:val="auto"/>
                <w:sz w:val="21"/>
                <w:szCs w:val="21"/>
                <w:lang w:val="en-US" w:eastAsia="zh-CN"/>
              </w:rPr>
              <w:t>有2项得6分，有3项得10分。</w:t>
            </w:r>
            <w:r>
              <w:rPr>
                <w:rFonts w:hint="eastAsia" w:asciiTheme="minorEastAsia" w:hAnsiTheme="minorEastAsia" w:eastAsiaTheme="minorEastAsia" w:cstheme="minorEastAsia"/>
                <w:color w:val="auto"/>
                <w:sz w:val="21"/>
                <w:szCs w:val="21"/>
                <w:lang w:eastAsia="zh-CN"/>
              </w:rPr>
              <w:t>最高得分</w:t>
            </w:r>
            <w:r>
              <w:rPr>
                <w:rFonts w:hint="eastAsia" w:asciiTheme="minorEastAsia" w:hAnsiTheme="minorEastAsia" w:eastAsiaTheme="minorEastAsia" w:cstheme="minorEastAsia"/>
                <w:color w:val="auto"/>
                <w:sz w:val="21"/>
                <w:szCs w:val="21"/>
                <w:lang w:val="en-US" w:eastAsia="zh-CN"/>
              </w:rPr>
              <w:t>10分</w:t>
            </w:r>
            <w:r>
              <w:rPr>
                <w:rFonts w:hint="eastAsia" w:asciiTheme="minorEastAsia" w:hAnsiTheme="minorEastAsia" w:eastAsiaTheme="minorEastAsia" w:cstheme="minorEastAsia"/>
                <w:color w:val="auto"/>
                <w:sz w:val="21"/>
                <w:szCs w:val="21"/>
                <w:lang w:eastAsia="zh-CN"/>
              </w:rPr>
              <w:t>；</w:t>
            </w:r>
          </w:p>
          <w:p>
            <w:pPr>
              <w:keepNext w:val="0"/>
              <w:keepLines w:val="0"/>
              <w:pageBreakBefore w:val="0"/>
              <w:kinsoku/>
              <w:wordWrap/>
              <w:overflowPunct/>
              <w:topLinePunct w:val="0"/>
              <w:bidi w:val="0"/>
              <w:spacing w:line="300" w:lineRule="exac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（二）评分依据：</w:t>
            </w:r>
          </w:p>
          <w:p>
            <w:pPr>
              <w:keepNext w:val="0"/>
              <w:keepLines w:val="0"/>
              <w:pageBreakBefore w:val="0"/>
              <w:kinsoku/>
              <w:wordWrap/>
              <w:overflowPunct/>
              <w:topLinePunct w:val="0"/>
              <w:bidi w:val="0"/>
              <w:spacing w:line="300" w:lineRule="exac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1.要求提供有效的证明材料作为得分依据。</w:t>
            </w:r>
          </w:p>
          <w:p>
            <w:pPr>
              <w:keepNext w:val="0"/>
              <w:keepLines w:val="0"/>
              <w:pageBreakBefore w:val="0"/>
              <w:kinsoku/>
              <w:wordWrap/>
              <w:overflowPunct/>
              <w:topLinePunct w:val="0"/>
              <w:bidi w:val="0"/>
              <w:spacing w:line="300" w:lineRule="exac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2.以上资料均要求提供扫描件加盖投标人公章，原件备查。评分中出现无证明资料或专家无法凭所提供资料判断是否得分的情况，一律作不得分处理。</w:t>
            </w:r>
          </w:p>
          <w:p>
            <w:pPr>
              <w:keepNext w:val="0"/>
              <w:keepLines w:val="0"/>
              <w:pageBreakBefore w:val="0"/>
              <w:kinsoku/>
              <w:wordWrap/>
              <w:overflowPunct/>
              <w:topLinePunct w:val="0"/>
              <w:bidi w:val="0"/>
              <w:spacing w:line="300" w:lineRule="exac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3.投标人同时提供在有效期内的认证证书复印件及全国认证认可信息公共服务平台（http://cx.cnca.cn）认证信息查询截图（截图需显示证书状态为有效）；加盖投标人公章，原件备查，未按要求提供或提供不清晰导致专家无法判断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363" w:hRule="atLeast"/>
          <w:jc w:val="center"/>
        </w:trPr>
        <w:tc>
          <w:tcPr>
            <w:tcW w:w="46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b/>
                <w:bCs/>
                <w:color w:val="auto"/>
                <w:sz w:val="21"/>
                <w:szCs w:val="21"/>
              </w:rPr>
            </w:pPr>
          </w:p>
        </w:tc>
        <w:tc>
          <w:tcPr>
            <w:tcW w:w="70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2</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pacing w:line="30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拟安排的项目</w:t>
            </w:r>
            <w:r>
              <w:rPr>
                <w:rFonts w:hint="eastAsia" w:asciiTheme="minorEastAsia" w:hAnsiTheme="minorEastAsia" w:cstheme="minorEastAsia"/>
                <w:color w:val="auto"/>
                <w:sz w:val="21"/>
                <w:szCs w:val="21"/>
                <w:lang w:eastAsia="zh-CN"/>
              </w:rPr>
              <w:t>负责人</w:t>
            </w:r>
            <w:r>
              <w:rPr>
                <w:rFonts w:hint="eastAsia" w:asciiTheme="minorEastAsia" w:hAnsiTheme="minorEastAsia" w:eastAsiaTheme="minorEastAsia" w:cstheme="minorEastAsia"/>
                <w:color w:val="auto"/>
                <w:sz w:val="21"/>
                <w:szCs w:val="21"/>
              </w:rPr>
              <w:t>（主要技术</w:t>
            </w:r>
            <w:r>
              <w:rPr>
                <w:rFonts w:hint="eastAsia" w:asciiTheme="minorEastAsia" w:hAnsiTheme="minorEastAsia" w:cstheme="minorEastAsia"/>
                <w:color w:val="auto"/>
                <w:sz w:val="21"/>
                <w:szCs w:val="21"/>
                <w:lang w:eastAsia="zh-CN"/>
              </w:rPr>
              <w:t>仅一人</w:t>
            </w:r>
            <w:r>
              <w:rPr>
                <w:rFonts w:hint="eastAsia" w:asciiTheme="minorEastAsia" w:hAnsiTheme="minorEastAsia" w:eastAsiaTheme="minorEastAsia" w:cstheme="minorEastAsia"/>
                <w:color w:val="auto"/>
                <w:sz w:val="21"/>
                <w:szCs w:val="21"/>
              </w:rPr>
              <w:t>）</w:t>
            </w:r>
          </w:p>
        </w:tc>
        <w:tc>
          <w:tcPr>
            <w:tcW w:w="74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pacing w:line="300" w:lineRule="exact"/>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5</w:t>
            </w:r>
          </w:p>
        </w:tc>
        <w:tc>
          <w:tcPr>
            <w:tcW w:w="6590"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pacing w:line="300" w:lineRule="exact"/>
              <w:rPr>
                <w:rFonts w:hint="eastAsia" w:asciiTheme="minorEastAsia" w:hAnsiTheme="minorEastAsia" w:eastAsiaTheme="minorEastAsia" w:cstheme="minorEastAsia"/>
                <w:b/>
                <w:color w:val="auto"/>
                <w:sz w:val="21"/>
                <w:szCs w:val="21"/>
                <w:lang w:eastAsia="zh-CN"/>
              </w:rPr>
            </w:pPr>
            <w:r>
              <w:rPr>
                <w:rFonts w:hint="eastAsia" w:asciiTheme="minorEastAsia" w:hAnsiTheme="minorEastAsia" w:eastAsiaTheme="minorEastAsia" w:cstheme="minorEastAsia"/>
                <w:b/>
                <w:color w:val="auto"/>
                <w:sz w:val="21"/>
                <w:szCs w:val="21"/>
                <w:lang w:eastAsia="zh-CN"/>
              </w:rPr>
              <w:t>（一）评分内容：</w:t>
            </w:r>
          </w:p>
          <w:p>
            <w:pPr>
              <w:keepNext w:val="0"/>
              <w:keepLines w:val="0"/>
              <w:pageBreakBefore w:val="0"/>
              <w:kinsoku/>
              <w:wordWrap/>
              <w:overflowPunct/>
              <w:topLinePunct w:val="0"/>
              <w:bidi w:val="0"/>
              <w:spacing w:line="300" w:lineRule="exac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项目负责人(仅限1人）需为投标人正式聘任员工，在此基础上，按以下标准评分：</w:t>
            </w:r>
          </w:p>
          <w:p>
            <w:pPr>
              <w:keepNext w:val="0"/>
              <w:keepLines w:val="0"/>
              <w:pageBreakBefore w:val="0"/>
              <w:kinsoku/>
              <w:wordWrap/>
              <w:overflowPunct/>
              <w:topLinePunct w:val="0"/>
              <w:bidi w:val="0"/>
              <w:spacing w:line="300" w:lineRule="exact"/>
              <w:rPr>
                <w:rFonts w:hint="eastAsia" w:asciiTheme="minorEastAsia" w:hAnsiTheme="minorEastAsia" w:eastAsiaTheme="minorEastAsia" w:cstheme="minorEastAsia"/>
                <w:color w:val="auto"/>
                <w:sz w:val="21"/>
                <w:szCs w:val="21"/>
                <w:highlight w:val="none"/>
                <w:lang w:val="en-US" w:eastAsia="en-US"/>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val="en-US" w:eastAsia="en-US"/>
              </w:rPr>
              <w:t>具</w:t>
            </w:r>
            <w:r>
              <w:rPr>
                <w:rFonts w:hint="eastAsia" w:asciiTheme="minorEastAsia" w:hAnsiTheme="minorEastAsia" w:eastAsiaTheme="minorEastAsia" w:cstheme="minorEastAsia"/>
                <w:color w:val="auto"/>
                <w:sz w:val="21"/>
                <w:szCs w:val="21"/>
                <w:highlight w:val="none"/>
                <w:lang w:val="en-US" w:eastAsia="en-US"/>
              </w:rPr>
              <w:t>有</w:t>
            </w:r>
            <w:r>
              <w:rPr>
                <w:rFonts w:hint="eastAsia" w:asciiTheme="minorEastAsia" w:hAnsiTheme="minorEastAsia" w:eastAsiaTheme="minorEastAsia" w:cstheme="minorEastAsia"/>
                <w:color w:val="auto"/>
                <w:sz w:val="21"/>
                <w:szCs w:val="21"/>
                <w:highlight w:val="none"/>
                <w:lang w:val="en-US" w:eastAsia="zh-CN"/>
              </w:rPr>
              <w:t>高级</w:t>
            </w:r>
            <w:r>
              <w:rPr>
                <w:rFonts w:hint="eastAsia" w:asciiTheme="minorEastAsia" w:hAnsiTheme="minorEastAsia" w:eastAsiaTheme="minorEastAsia" w:cstheme="minorEastAsia"/>
                <w:color w:val="auto"/>
                <w:sz w:val="21"/>
                <w:szCs w:val="21"/>
                <w:highlight w:val="none"/>
                <w:lang w:val="en-US" w:eastAsia="en-US"/>
              </w:rPr>
              <w:t>环保工程师</w:t>
            </w:r>
            <w:r>
              <w:rPr>
                <w:rFonts w:hint="eastAsia" w:asciiTheme="minorEastAsia" w:hAnsiTheme="minorEastAsia" w:cstheme="minorEastAsia"/>
                <w:color w:val="auto"/>
                <w:sz w:val="21"/>
                <w:szCs w:val="21"/>
                <w:highlight w:val="none"/>
                <w:lang w:val="en-US" w:eastAsia="zh-CN"/>
              </w:rPr>
              <w:t>职称</w:t>
            </w:r>
            <w:r>
              <w:rPr>
                <w:rFonts w:hint="eastAsia" w:asciiTheme="minorEastAsia" w:hAnsiTheme="minorEastAsia" w:eastAsiaTheme="minorEastAsia" w:cstheme="minorEastAsia"/>
                <w:color w:val="auto"/>
                <w:sz w:val="21"/>
                <w:szCs w:val="21"/>
                <w:highlight w:val="none"/>
                <w:lang w:val="en-US" w:eastAsia="en-US"/>
              </w:rPr>
              <w:t>证书的得</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lang w:val="en-US" w:eastAsia="en-US"/>
              </w:rPr>
              <w:t>分；</w:t>
            </w:r>
          </w:p>
          <w:p>
            <w:pPr>
              <w:keepNext w:val="0"/>
              <w:keepLines w:val="0"/>
              <w:pageBreakBefore w:val="0"/>
              <w:kinsoku/>
              <w:wordWrap/>
              <w:overflowPunct/>
              <w:topLinePunct w:val="0"/>
              <w:bidi w:val="0"/>
              <w:spacing w:line="300" w:lineRule="exact"/>
              <w:rPr>
                <w:rFonts w:hint="eastAsia" w:asciiTheme="minorEastAsia" w:hAnsiTheme="minorEastAsia" w:eastAsiaTheme="minorEastAsia" w:cstheme="minorEastAsia"/>
                <w:color w:val="auto"/>
                <w:sz w:val="21"/>
                <w:szCs w:val="21"/>
                <w:lang w:val="en-US" w:eastAsia="en-US"/>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lang w:val="en-US" w:eastAsia="en-US"/>
              </w:rPr>
              <w:t>具有环境工程</w:t>
            </w:r>
            <w:r>
              <w:rPr>
                <w:rFonts w:hint="eastAsia" w:asciiTheme="minorEastAsia" w:hAnsiTheme="minorEastAsia" w:eastAsiaTheme="minorEastAsia" w:cstheme="minorEastAsia"/>
                <w:color w:val="auto"/>
                <w:sz w:val="21"/>
                <w:szCs w:val="21"/>
                <w:highlight w:val="none"/>
                <w:lang w:val="en-US" w:eastAsia="zh-CN"/>
              </w:rPr>
              <w:t>相关</w:t>
            </w:r>
            <w:r>
              <w:rPr>
                <w:rFonts w:hint="eastAsia" w:asciiTheme="minorEastAsia" w:hAnsiTheme="minorEastAsia" w:eastAsiaTheme="minorEastAsia" w:cstheme="minorEastAsia"/>
                <w:color w:val="auto"/>
                <w:sz w:val="21"/>
                <w:szCs w:val="21"/>
                <w:highlight w:val="none"/>
                <w:lang w:val="en-US" w:eastAsia="en-US"/>
              </w:rPr>
              <w:t>专业</w:t>
            </w:r>
            <w:r>
              <w:rPr>
                <w:rFonts w:hint="eastAsia" w:asciiTheme="minorEastAsia" w:hAnsiTheme="minorEastAsia" w:eastAsiaTheme="minorEastAsia" w:cstheme="minorEastAsia"/>
                <w:color w:val="auto"/>
                <w:sz w:val="21"/>
                <w:szCs w:val="21"/>
                <w:highlight w:val="none"/>
                <w:lang w:val="en-US" w:eastAsia="zh-CN"/>
              </w:rPr>
              <w:t>中级</w:t>
            </w:r>
            <w:r>
              <w:rPr>
                <w:rFonts w:hint="eastAsia" w:asciiTheme="minorEastAsia" w:hAnsiTheme="minorEastAsia" w:eastAsiaTheme="minorEastAsia" w:cstheme="minorEastAsia"/>
                <w:color w:val="auto"/>
                <w:sz w:val="21"/>
                <w:szCs w:val="21"/>
                <w:highlight w:val="none"/>
                <w:lang w:val="en-US" w:eastAsia="en-US"/>
              </w:rPr>
              <w:t>或以上工程</w:t>
            </w:r>
            <w:r>
              <w:rPr>
                <w:rFonts w:hint="eastAsia" w:asciiTheme="minorEastAsia" w:hAnsiTheme="minorEastAsia" w:eastAsiaTheme="minorEastAsia" w:cstheme="minorEastAsia"/>
                <w:color w:val="auto"/>
                <w:sz w:val="21"/>
                <w:szCs w:val="21"/>
                <w:lang w:val="en-US" w:eastAsia="en-US"/>
              </w:rPr>
              <w:t>师职称证书的得</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val="en-US" w:eastAsia="en-US"/>
              </w:rPr>
              <w:t>分；</w:t>
            </w:r>
          </w:p>
          <w:p>
            <w:pPr>
              <w:keepNext w:val="0"/>
              <w:keepLines w:val="0"/>
              <w:pageBreakBefore w:val="0"/>
              <w:kinsoku/>
              <w:wordWrap/>
              <w:overflowPunct/>
              <w:topLinePunct w:val="0"/>
              <w:bidi w:val="0"/>
              <w:spacing w:line="300" w:lineRule="exact"/>
              <w:rPr>
                <w:rFonts w:hint="eastAsia" w:asciiTheme="minorEastAsia" w:hAnsiTheme="minorEastAsia" w:eastAsiaTheme="minorEastAsia" w:cstheme="minorEastAsia"/>
                <w:b/>
                <w:color w:val="auto"/>
                <w:sz w:val="21"/>
                <w:szCs w:val="21"/>
                <w:lang w:eastAsia="zh-CN"/>
              </w:rPr>
            </w:pPr>
            <w:r>
              <w:rPr>
                <w:rFonts w:hint="eastAsia" w:asciiTheme="minorEastAsia" w:hAnsiTheme="minorEastAsia" w:eastAsiaTheme="minorEastAsia" w:cstheme="minorEastAsia"/>
                <w:b/>
                <w:color w:val="auto"/>
                <w:sz w:val="21"/>
                <w:szCs w:val="21"/>
                <w:lang w:eastAsia="zh-CN"/>
              </w:rPr>
              <w:t>（二）评分依据：</w:t>
            </w:r>
          </w:p>
          <w:p>
            <w:pPr>
              <w:keepNext w:val="0"/>
              <w:keepLines w:val="0"/>
              <w:pageBreakBefore w:val="0"/>
              <w:kinsoku/>
              <w:wordWrap/>
              <w:overflowPunct/>
              <w:topLinePunct w:val="0"/>
              <w:bidi w:val="0"/>
              <w:spacing w:line="300" w:lineRule="exac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1.要求提供相关</w:t>
            </w:r>
            <w:r>
              <w:rPr>
                <w:rFonts w:hint="eastAsia" w:asciiTheme="minorEastAsia" w:hAnsiTheme="minorEastAsia" w:eastAsiaTheme="minorEastAsia" w:cstheme="minorEastAsia"/>
                <w:color w:val="auto"/>
                <w:sz w:val="21"/>
                <w:szCs w:val="21"/>
                <w:lang w:val="en-US" w:eastAsia="zh-CN"/>
              </w:rPr>
              <w:t>证书或职称</w:t>
            </w:r>
            <w:r>
              <w:rPr>
                <w:rFonts w:hint="eastAsia" w:asciiTheme="minorEastAsia" w:hAnsiTheme="minorEastAsia" w:eastAsiaTheme="minorEastAsia" w:cstheme="minorEastAsia"/>
                <w:color w:val="auto"/>
                <w:sz w:val="21"/>
                <w:szCs w:val="21"/>
                <w:lang w:eastAsia="zh-CN"/>
              </w:rPr>
              <w:t>证明资料作为得分依据。</w:t>
            </w:r>
          </w:p>
          <w:p>
            <w:pPr>
              <w:keepNext w:val="0"/>
              <w:keepLines w:val="0"/>
              <w:pageBreakBefore w:val="0"/>
              <w:kinsoku/>
              <w:wordWrap/>
              <w:overflowPunct/>
              <w:topLinePunct w:val="0"/>
              <w:bidi w:val="0"/>
              <w:spacing w:line="300" w:lineRule="exac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2.要求提供通过投标人项目负责人</w:t>
            </w:r>
            <w:r>
              <w:rPr>
                <w:rFonts w:hint="eastAsia" w:asciiTheme="minorEastAsia" w:hAnsiTheme="minorEastAsia" w:eastAsiaTheme="minorEastAsia" w:cstheme="minorEastAsia"/>
                <w:color w:val="auto"/>
                <w:sz w:val="21"/>
                <w:szCs w:val="21"/>
                <w:lang w:val="en-US" w:eastAsia="zh-CN"/>
              </w:rPr>
              <w:t>近</w:t>
            </w:r>
            <w:r>
              <w:rPr>
                <w:rFonts w:hint="eastAsia" w:asciiTheme="minorEastAsia" w:hAnsiTheme="minorEastAsia" w:eastAsiaTheme="minorEastAsia" w:cstheme="minorEastAsia"/>
                <w:color w:val="auto"/>
                <w:sz w:val="21"/>
                <w:szCs w:val="21"/>
                <w:lang w:eastAsia="zh-CN"/>
              </w:rPr>
              <w:t>三个月的社保证明及相关证明资料作为得分依据（如开标日上一个月的社保材料因社保部门原因暂时无法取得，则可以往前顺延一个月；若公司成立不足三个月的，则提供公司自成立之日起的社保证明）。</w:t>
            </w:r>
          </w:p>
          <w:p>
            <w:pPr>
              <w:keepNext w:val="0"/>
              <w:keepLines w:val="0"/>
              <w:pageBreakBefore w:val="0"/>
              <w:kinsoku/>
              <w:wordWrap/>
              <w:overflowPunct/>
              <w:topLinePunct w:val="0"/>
              <w:bidi w:val="0"/>
              <w:spacing w:line="300" w:lineRule="exac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lang w:eastAsia="zh-CN"/>
              </w:rPr>
              <w:t>3.以上资料均要求提供复印件</w:t>
            </w:r>
            <w:r>
              <w:rPr>
                <w:rFonts w:hint="eastAsia" w:asciiTheme="minorEastAsia" w:hAnsiTheme="minorEastAsia" w:eastAsiaTheme="minorEastAsia" w:cstheme="minorEastAsia"/>
                <w:color w:val="auto"/>
                <w:sz w:val="21"/>
                <w:szCs w:val="21"/>
                <w:lang w:val="en-US" w:eastAsia="zh-CN"/>
              </w:rPr>
              <w:t>或扫描件</w:t>
            </w:r>
            <w:r>
              <w:rPr>
                <w:rFonts w:hint="eastAsia" w:asciiTheme="minorEastAsia" w:hAnsiTheme="minorEastAsia" w:eastAsiaTheme="minorEastAsia" w:cstheme="minorEastAsia"/>
                <w:color w:val="auto"/>
                <w:sz w:val="21"/>
                <w:szCs w:val="21"/>
                <w:lang w:eastAsia="zh-CN"/>
              </w:rPr>
              <w:t>加盖投标人公章</w:t>
            </w:r>
            <w:r>
              <w:rPr>
                <w:rFonts w:hint="eastAsia" w:asciiTheme="minorEastAsia" w:hAnsiTheme="minorEastAsia" w:eastAsiaTheme="minorEastAsia" w:cstheme="minorEastAsia"/>
                <w:color w:val="auto"/>
                <w:sz w:val="21"/>
                <w:szCs w:val="21"/>
                <w:lang w:val="en-US" w:eastAsia="zh-CN"/>
              </w:rPr>
              <w:t>，原件备查。</w:t>
            </w:r>
            <w:r>
              <w:rPr>
                <w:rFonts w:hint="eastAsia" w:asciiTheme="minorEastAsia" w:hAnsiTheme="minorEastAsia" w:eastAsiaTheme="minorEastAsia" w:cstheme="minorEastAsia"/>
                <w:color w:val="auto"/>
                <w:sz w:val="21"/>
                <w:szCs w:val="21"/>
                <w:lang w:eastAsia="zh-CN"/>
              </w:rPr>
              <w:t>评分中出现无证明资料或专家无法判断是否得分的情况，一律作不得分处理。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20" w:type="dxa"/>
            <w:left w:w="108" w:type="dxa"/>
            <w:bottom w:w="20" w:type="dxa"/>
            <w:right w:w="108" w:type="dxa"/>
          </w:tblCellMar>
        </w:tblPrEx>
        <w:trPr>
          <w:trHeight w:val="617" w:hRule="atLeast"/>
          <w:jc w:val="center"/>
        </w:trPr>
        <w:tc>
          <w:tcPr>
            <w:tcW w:w="46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b/>
                <w:bCs/>
                <w:color w:val="auto"/>
                <w:sz w:val="21"/>
                <w:szCs w:val="21"/>
              </w:rPr>
            </w:pPr>
          </w:p>
        </w:tc>
        <w:tc>
          <w:tcPr>
            <w:tcW w:w="70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pacing w:line="30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2"/>
                <w:sz w:val="21"/>
                <w:szCs w:val="21"/>
                <w:lang w:val="en-US" w:eastAsia="zh-CN" w:bidi="ar-SA"/>
              </w:rPr>
              <w:t>项目团队成员（项目负责人除外）</w:t>
            </w:r>
          </w:p>
        </w:tc>
        <w:tc>
          <w:tcPr>
            <w:tcW w:w="74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pacing w:line="30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13</w:t>
            </w:r>
          </w:p>
        </w:tc>
        <w:tc>
          <w:tcPr>
            <w:tcW w:w="6590" w:type="dxa"/>
            <w:gridSpan w:val="4"/>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pageBreakBefore w:val="0"/>
              <w:kinsoku/>
              <w:wordWrap/>
              <w:overflowPunct/>
              <w:topLinePunct w:val="0"/>
              <w:bidi w:val="0"/>
              <w:spacing w:line="300" w:lineRule="exact"/>
              <w:jc w:val="both"/>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（一）评分内容：</w:t>
            </w:r>
          </w:p>
          <w:p>
            <w:pPr>
              <w:keepNext w:val="0"/>
              <w:keepLines w:val="0"/>
              <w:pageBreakBefore w:val="0"/>
              <w:kinsoku/>
              <w:wordWrap/>
              <w:overflowPunct/>
              <w:topLinePunct w:val="0"/>
              <w:bidi w:val="0"/>
              <w:spacing w:line="300" w:lineRule="exact"/>
              <w:jc w:val="both"/>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lang w:val="en-US" w:eastAsia="zh-CN"/>
              </w:rPr>
              <w:t>项目团队成员（除项目负责人）需为投标单位正式聘任员工，否则本项不得分</w:t>
            </w:r>
            <w:r>
              <w:rPr>
                <w:rFonts w:hint="eastAsia" w:asciiTheme="minorEastAsia" w:hAnsiTheme="minorEastAsia" w:eastAsiaTheme="minorEastAsia" w:cstheme="minorEastAsia"/>
                <w:color w:val="auto"/>
                <w:sz w:val="21"/>
                <w:szCs w:val="21"/>
                <w:highlight w:val="none"/>
                <w:lang w:val="en-US" w:eastAsia="zh-CN"/>
              </w:rPr>
              <w:t>。在此基础上，按以下标准评分：</w:t>
            </w:r>
          </w:p>
          <w:p>
            <w:pPr>
              <w:keepNext w:val="0"/>
              <w:keepLines w:val="0"/>
              <w:pageBreakBefore w:val="0"/>
              <w:kinsoku/>
              <w:wordWrap/>
              <w:overflowPunct/>
              <w:topLinePunct w:val="0"/>
              <w:bidi w:val="0"/>
              <w:spacing w:line="300" w:lineRule="exact"/>
              <w:jc w:val="both"/>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1.具有高级环保类工程师</w:t>
            </w:r>
            <w:r>
              <w:rPr>
                <w:rFonts w:hint="eastAsia" w:asciiTheme="minorEastAsia" w:hAnsiTheme="minorEastAsia" w:cstheme="minorEastAsia"/>
                <w:color w:val="auto"/>
                <w:sz w:val="21"/>
                <w:szCs w:val="21"/>
                <w:highlight w:val="none"/>
                <w:lang w:val="en-US" w:eastAsia="zh-CN"/>
              </w:rPr>
              <w:t>职称</w:t>
            </w:r>
            <w:r>
              <w:rPr>
                <w:rFonts w:hint="eastAsia" w:asciiTheme="minorEastAsia" w:hAnsiTheme="minorEastAsia" w:eastAsiaTheme="minorEastAsia" w:cstheme="minorEastAsia"/>
                <w:color w:val="auto"/>
                <w:sz w:val="21"/>
                <w:szCs w:val="21"/>
                <w:highlight w:val="none"/>
                <w:lang w:val="en-US" w:eastAsia="zh-CN"/>
              </w:rPr>
              <w:t>证书，每提供一人得3分，最高得3分。</w:t>
            </w:r>
          </w:p>
          <w:p>
            <w:pPr>
              <w:keepNext w:val="0"/>
              <w:keepLines w:val="0"/>
              <w:pageBreakBefore w:val="0"/>
              <w:kinsoku/>
              <w:wordWrap/>
              <w:overflowPunct/>
              <w:topLinePunct w:val="0"/>
              <w:bidi w:val="0"/>
              <w:spacing w:line="300" w:lineRule="exact"/>
              <w:jc w:val="both"/>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2.具有环保类中级或环保类工程师职称证书，每提供一人得2分，最高得2分。</w:t>
            </w:r>
          </w:p>
          <w:p>
            <w:pPr>
              <w:keepNext w:val="0"/>
              <w:keepLines w:val="0"/>
              <w:pageBreakBefore w:val="0"/>
              <w:kinsoku/>
              <w:wordWrap/>
              <w:overflowPunct/>
              <w:topLinePunct w:val="0"/>
              <w:bidi w:val="0"/>
              <w:spacing w:line="300" w:lineRule="exact"/>
              <w:jc w:val="both"/>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3.具有污废水处理工证书的人员，每提供一人得0.5分，最高得2分。</w:t>
            </w:r>
          </w:p>
          <w:p>
            <w:pPr>
              <w:keepNext w:val="0"/>
              <w:keepLines w:val="0"/>
              <w:pageBreakBefore w:val="0"/>
              <w:kinsoku/>
              <w:wordWrap/>
              <w:overflowPunct/>
              <w:topLinePunct w:val="0"/>
              <w:bidi w:val="0"/>
              <w:spacing w:line="300" w:lineRule="exact"/>
              <w:jc w:val="both"/>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4.具有污废水处理工证书，同时有中华人民共和国特种作业操作证（作业类别：危险化学品安全作业）人员，每提供一人得2分，最高得2分。</w:t>
            </w:r>
          </w:p>
          <w:p>
            <w:pPr>
              <w:keepNext w:val="0"/>
              <w:keepLines w:val="0"/>
              <w:pageBreakBefore w:val="0"/>
              <w:kinsoku/>
              <w:wordWrap/>
              <w:overflowPunct/>
              <w:topLinePunct w:val="0"/>
              <w:bidi w:val="0"/>
              <w:spacing w:line="300" w:lineRule="exact"/>
              <w:jc w:val="both"/>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5.具有污废水处理工证书，同时有中华人民共和国特种作业操作证（作业类别：电工作业）人员，每提供一人得2分，最高得2分。</w:t>
            </w:r>
          </w:p>
          <w:p>
            <w:pPr>
              <w:keepNext w:val="0"/>
              <w:keepLines w:val="0"/>
              <w:pageBreakBefore w:val="0"/>
              <w:kinsoku/>
              <w:wordWrap/>
              <w:overflowPunct/>
              <w:topLinePunct w:val="0"/>
              <w:bidi w:val="0"/>
              <w:spacing w:line="300" w:lineRule="exact"/>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highlight w:val="none"/>
                <w:lang w:val="en-US" w:eastAsia="zh-CN"/>
              </w:rPr>
              <w:t>6.具有施工安全员C3证书，同时有工贸企业有限空间现场作业人员证书，每提供一人得2分，最高</w:t>
            </w:r>
            <w:r>
              <w:rPr>
                <w:rFonts w:hint="eastAsia" w:asciiTheme="minorEastAsia" w:hAnsiTheme="minorEastAsia" w:eastAsiaTheme="minorEastAsia" w:cstheme="minorEastAsia"/>
                <w:color w:val="auto"/>
                <w:sz w:val="21"/>
                <w:szCs w:val="21"/>
                <w:lang w:val="en-US" w:eastAsia="zh-CN"/>
              </w:rPr>
              <w:t>2分。</w:t>
            </w:r>
          </w:p>
          <w:p>
            <w:pPr>
              <w:keepNext w:val="0"/>
              <w:keepLines w:val="0"/>
              <w:pageBreakBefore w:val="0"/>
              <w:kinsoku/>
              <w:wordWrap/>
              <w:overflowPunct/>
              <w:topLinePunct w:val="0"/>
              <w:bidi w:val="0"/>
              <w:spacing w:line="300" w:lineRule="exact"/>
              <w:jc w:val="both"/>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（二）评分依据：</w:t>
            </w:r>
          </w:p>
          <w:p>
            <w:pPr>
              <w:keepNext w:val="0"/>
              <w:keepLines w:val="0"/>
              <w:pageBreakBefore w:val="0"/>
              <w:kinsoku/>
              <w:wordWrap/>
              <w:overflowPunct/>
              <w:topLinePunct w:val="0"/>
              <w:bidi w:val="0"/>
              <w:spacing w:line="300" w:lineRule="exact"/>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1.提供项目团队人员上述职称证书，资格证书；</w:t>
            </w:r>
          </w:p>
          <w:p>
            <w:pPr>
              <w:keepNext w:val="0"/>
              <w:keepLines w:val="0"/>
              <w:pageBreakBefore w:val="0"/>
              <w:kinsoku/>
              <w:wordWrap/>
              <w:overflowPunct/>
              <w:topLinePunct w:val="0"/>
              <w:bidi w:val="0"/>
              <w:spacing w:line="300" w:lineRule="exact"/>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2.提供通过投标单位缴纳的载有社保部门公章的近三个月个人社保证明，如开标日前近一个月的社保证明因社保部门原因暂时无法提供，可往前顺延一个月；</w:t>
            </w:r>
            <w:r>
              <w:rPr>
                <w:rFonts w:hint="eastAsia" w:asciiTheme="minorEastAsia" w:hAnsiTheme="minorEastAsia" w:eastAsiaTheme="minorEastAsia" w:cstheme="minorEastAsia"/>
                <w:color w:val="auto"/>
                <w:sz w:val="21"/>
                <w:szCs w:val="21"/>
                <w:lang w:eastAsia="zh-CN"/>
              </w:rPr>
              <w:t>如投标人为新成立企业且成立时间不足一个月可提供加盖公章的情况说明或者证明材料亦视为符合。</w:t>
            </w:r>
          </w:p>
          <w:p>
            <w:pPr>
              <w:keepNext w:val="0"/>
              <w:keepLines w:val="0"/>
              <w:pageBreakBefore w:val="0"/>
              <w:kinsoku/>
              <w:wordWrap/>
              <w:overflowPunct/>
              <w:topLinePunct w:val="0"/>
              <w:bidi w:val="0"/>
              <w:spacing w:line="300" w:lineRule="exact"/>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3.以上证明文件均提供复印件或扫描件（或官方网站截图）加盖投标人公章，原件备查。未按要求提供有效证明材料或提供证明材料不清晰导致评委无法识别的不计得分。</w:t>
            </w:r>
          </w:p>
          <w:p>
            <w:pPr>
              <w:keepNext w:val="0"/>
              <w:keepLines w:val="0"/>
              <w:pageBreakBefore w:val="0"/>
              <w:kinsoku/>
              <w:wordWrap/>
              <w:overflowPunct/>
              <w:topLinePunct w:val="0"/>
              <w:bidi w:val="0"/>
              <w:spacing w:line="300" w:lineRule="exact"/>
              <w:jc w:val="both"/>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lang w:val="en-US" w:eastAsia="zh-CN"/>
              </w:rPr>
              <w:t>4.以上人员不可重复计分。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20" w:type="dxa"/>
            <w:left w:w="108" w:type="dxa"/>
            <w:bottom w:w="20" w:type="dxa"/>
            <w:right w:w="108" w:type="dxa"/>
          </w:tblCellMar>
        </w:tblPrEx>
        <w:trPr>
          <w:trHeight w:val="2260" w:hRule="atLeast"/>
          <w:jc w:val="center"/>
        </w:trPr>
        <w:tc>
          <w:tcPr>
            <w:tcW w:w="46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b/>
                <w:bCs/>
                <w:color w:val="auto"/>
                <w:sz w:val="21"/>
                <w:szCs w:val="21"/>
              </w:rPr>
            </w:pPr>
          </w:p>
        </w:tc>
        <w:tc>
          <w:tcPr>
            <w:tcW w:w="70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napToGrid w:val="0"/>
              <w:spacing w:line="30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pacing w:line="300" w:lineRule="exact"/>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bidi="ar"/>
              </w:rPr>
              <w:t>同类</w:t>
            </w:r>
            <w:r>
              <w:rPr>
                <w:rFonts w:hint="eastAsia" w:asciiTheme="minorEastAsia" w:hAnsiTheme="minorEastAsia" w:eastAsiaTheme="minorEastAsia" w:cstheme="minorEastAsia"/>
                <w:color w:val="auto"/>
                <w:sz w:val="21"/>
                <w:szCs w:val="21"/>
              </w:rPr>
              <w:t>业绩</w:t>
            </w:r>
          </w:p>
        </w:tc>
        <w:tc>
          <w:tcPr>
            <w:tcW w:w="74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bidi w:val="0"/>
              <w:spacing w:line="30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w:t>
            </w:r>
          </w:p>
        </w:tc>
        <w:tc>
          <w:tcPr>
            <w:tcW w:w="6590" w:type="dxa"/>
            <w:gridSpan w:val="4"/>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pageBreakBefore w:val="0"/>
              <w:kinsoku/>
              <w:wordWrap/>
              <w:overflowPunct/>
              <w:topLinePunct w:val="0"/>
              <w:bidi w:val="0"/>
              <w:spacing w:line="300" w:lineRule="exact"/>
              <w:jc w:val="both"/>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（一）评分内容：</w:t>
            </w:r>
          </w:p>
          <w:p>
            <w:pPr>
              <w:keepNext w:val="0"/>
              <w:keepLines w:val="0"/>
              <w:pageBreakBefore w:val="0"/>
              <w:kinsoku/>
              <w:wordWrap/>
              <w:overflowPunct/>
              <w:topLinePunct w:val="0"/>
              <w:bidi w:val="0"/>
              <w:spacing w:line="30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投标人2021年以来具有医疗污水处理运营业绩，且主要内容包括污水处理站运营工作、设备维修和设备保养工作，每提供一个业绩得</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分，没有不得分</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累加得分最高不超过</w:t>
            </w:r>
            <w:r>
              <w:rPr>
                <w:rFonts w:hint="eastAsia" w:asciiTheme="minorEastAsia" w:hAnsiTheme="minorEastAsia" w:eastAsiaTheme="minorEastAsia" w:cstheme="minorEastAsia"/>
                <w:color w:val="auto"/>
                <w:sz w:val="21"/>
                <w:szCs w:val="21"/>
                <w:lang w:val="en-US" w:eastAsia="zh-CN"/>
              </w:rPr>
              <w:t>10</w:t>
            </w:r>
            <w:r>
              <w:rPr>
                <w:rFonts w:hint="eastAsia" w:asciiTheme="minorEastAsia" w:hAnsiTheme="minorEastAsia" w:eastAsiaTheme="minorEastAsia" w:cstheme="minorEastAsia"/>
                <w:color w:val="auto"/>
                <w:sz w:val="21"/>
                <w:szCs w:val="21"/>
              </w:rPr>
              <w:t>分。</w:t>
            </w:r>
          </w:p>
          <w:p>
            <w:pPr>
              <w:keepNext w:val="0"/>
              <w:keepLines w:val="0"/>
              <w:pageBreakBefore w:val="0"/>
              <w:kinsoku/>
              <w:wordWrap/>
              <w:overflowPunct/>
              <w:topLinePunct w:val="0"/>
              <w:bidi w:val="0"/>
              <w:spacing w:line="300" w:lineRule="exact"/>
              <w:jc w:val="both"/>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（二）评分依据：</w:t>
            </w:r>
          </w:p>
          <w:p>
            <w:pPr>
              <w:keepNext w:val="0"/>
              <w:keepLines w:val="0"/>
              <w:pageBreakBefore w:val="0"/>
              <w:kinsoku/>
              <w:wordWrap/>
              <w:overflowPunct/>
              <w:topLinePunct w:val="0"/>
              <w:bidi w:val="0"/>
              <w:spacing w:line="300" w:lineRule="exact"/>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投标人提供项目完整合同扫描件，原件备查，未按要求提供相关材料或扫描件不清晰导致评委无法识别的不计得分。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jc w:val="center"/>
        </w:trPr>
        <w:tc>
          <w:tcPr>
            <w:tcW w:w="9864" w:type="dxa"/>
            <w:gridSpan w:val="9"/>
            <w:tcBorders>
              <w:top w:val="nil"/>
              <w:left w:val="nil"/>
              <w:bottom w:val="single" w:color="auto" w:sz="4" w:space="0"/>
              <w:right w:val="nil"/>
            </w:tcBorders>
            <w:shd w:val="clear" w:color="auto" w:fill="auto"/>
            <w:vAlign w:val="center"/>
          </w:tcPr>
          <w:p>
            <w:pPr>
              <w:keepNext w:val="0"/>
              <w:keepLines w:val="0"/>
              <w:widowControl/>
              <w:suppressLineNumbers w:val="0"/>
              <w:jc w:val="center"/>
              <w:rPr>
                <w:rFonts w:hint="eastAsia" w:ascii="宋体" w:hAnsi="宋体" w:eastAsia="宋体" w:cs="宋体"/>
                <w:b/>
                <w:bCs/>
                <w:i w:val="0"/>
                <w:iCs w:val="0"/>
                <w:color w:val="000000"/>
                <w:kern w:val="0"/>
                <w:sz w:val="36"/>
                <w:szCs w:val="36"/>
                <w:u w:val="none"/>
                <w:lang w:val="en-US" w:eastAsia="zh-CN" w:bidi="ar"/>
              </w:rPr>
            </w:pPr>
          </w:p>
          <w:p>
            <w:pPr>
              <w:keepNext w:val="0"/>
              <w:keepLines w:val="0"/>
              <w:widowControl/>
              <w:suppressLineNumbers w:val="0"/>
              <w:jc w:val="center"/>
              <w:rPr>
                <w:rFonts w:hint="eastAsia" w:ascii="宋体" w:hAnsi="宋体" w:eastAsia="宋体" w:cs="宋体"/>
                <w:b/>
                <w:bCs/>
                <w:i w:val="0"/>
                <w:iCs w:val="0"/>
                <w:color w:val="000000"/>
                <w:kern w:val="0"/>
                <w:sz w:val="36"/>
                <w:szCs w:val="36"/>
                <w:u w:val="none"/>
                <w:lang w:val="en-US" w:eastAsia="zh-CN" w:bidi="ar"/>
              </w:rPr>
            </w:pPr>
            <w:r>
              <w:rPr>
                <w:rFonts w:hint="eastAsia" w:ascii="宋体" w:hAnsi="宋体" w:eastAsia="宋体" w:cs="宋体"/>
                <w:b/>
                <w:bCs/>
                <w:i w:val="0"/>
                <w:iCs w:val="0"/>
                <w:color w:val="000000"/>
                <w:kern w:val="0"/>
                <w:sz w:val="36"/>
                <w:szCs w:val="36"/>
                <w:u w:val="none"/>
                <w:lang w:val="en-US" w:eastAsia="zh-CN" w:bidi="ar"/>
              </w:rPr>
              <w:t>医用污水处理设施保养维护、运行管理服务</w:t>
            </w:r>
          </w:p>
          <w:p>
            <w:pPr>
              <w:keepNext w:val="0"/>
              <w:keepLines w:val="0"/>
              <w:widowControl/>
              <w:suppressLineNumbers w:val="0"/>
              <w:jc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36"/>
                <w:szCs w:val="36"/>
                <w:u w:val="none"/>
                <w:lang w:val="en-US" w:eastAsia="zh-CN" w:bidi="ar"/>
              </w:rPr>
              <w:t>项目明细表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8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费用项目</w:t>
            </w:r>
          </w:p>
        </w:tc>
        <w:tc>
          <w:tcPr>
            <w:tcW w:w="3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内容</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17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人工费</w:t>
            </w:r>
          </w:p>
        </w:tc>
        <w:tc>
          <w:tcPr>
            <w:tcW w:w="7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2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人工费</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12</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人次</w:t>
            </w:r>
          </w:p>
        </w:tc>
        <w:tc>
          <w:tcPr>
            <w:tcW w:w="17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2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170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劳保费</w:t>
            </w:r>
          </w:p>
        </w:tc>
        <w:tc>
          <w:tcPr>
            <w:tcW w:w="7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2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胶手套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12</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w:t>
            </w:r>
          </w:p>
        </w:tc>
        <w:tc>
          <w:tcPr>
            <w:tcW w:w="17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2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i w:val="0"/>
                <w:iCs w:val="0"/>
                <w:color w:val="000000"/>
                <w:sz w:val="24"/>
                <w:szCs w:val="24"/>
                <w:u w:val="none"/>
              </w:rPr>
            </w:pPr>
          </w:p>
        </w:tc>
        <w:tc>
          <w:tcPr>
            <w:tcW w:w="170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2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劳保鞋</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w:t>
            </w:r>
          </w:p>
        </w:tc>
        <w:tc>
          <w:tcPr>
            <w:tcW w:w="17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2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i w:val="0"/>
                <w:iCs w:val="0"/>
                <w:color w:val="000000"/>
                <w:sz w:val="24"/>
                <w:szCs w:val="24"/>
                <w:u w:val="none"/>
              </w:rPr>
            </w:pPr>
          </w:p>
        </w:tc>
        <w:tc>
          <w:tcPr>
            <w:tcW w:w="170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2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工作服</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7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2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i w:val="0"/>
                <w:iCs w:val="0"/>
                <w:color w:val="000000"/>
                <w:sz w:val="24"/>
                <w:szCs w:val="24"/>
                <w:u w:val="none"/>
              </w:rPr>
            </w:pPr>
          </w:p>
        </w:tc>
        <w:tc>
          <w:tcPr>
            <w:tcW w:w="170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2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防护眼镜</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w:t>
            </w:r>
          </w:p>
        </w:tc>
        <w:tc>
          <w:tcPr>
            <w:tcW w:w="17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5" w:hRule="atLeast"/>
          <w:jc w:val="center"/>
        </w:trPr>
        <w:tc>
          <w:tcPr>
            <w:tcW w:w="82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70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设备、管道维修维护费</w:t>
            </w:r>
          </w:p>
        </w:tc>
        <w:tc>
          <w:tcPr>
            <w:tcW w:w="7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2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工艺系统机电设备维护。</w:t>
            </w:r>
          </w:p>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（季度维保）</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7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包含护理院及一个社康设备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0" w:hRule="atLeast"/>
          <w:jc w:val="center"/>
        </w:trPr>
        <w:tc>
          <w:tcPr>
            <w:tcW w:w="82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i w:val="0"/>
                <w:iCs w:val="0"/>
                <w:color w:val="000000"/>
                <w:sz w:val="24"/>
                <w:szCs w:val="24"/>
                <w:u w:val="none"/>
              </w:rPr>
            </w:pPr>
          </w:p>
        </w:tc>
        <w:tc>
          <w:tcPr>
            <w:tcW w:w="170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2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工艺系统机电设备维护。</w:t>
            </w:r>
          </w:p>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（月度维保）</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12</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7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包含护理院及一个社康设备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8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数据填写</w:t>
            </w:r>
          </w:p>
        </w:tc>
        <w:tc>
          <w:tcPr>
            <w:tcW w:w="3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日报、季度、年度</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7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jc w:val="center"/>
        </w:trPr>
        <w:tc>
          <w:tcPr>
            <w:tcW w:w="8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第三方检测费</w:t>
            </w:r>
          </w:p>
        </w:tc>
        <w:tc>
          <w:tcPr>
            <w:tcW w:w="3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护理院及一个社康每月1次的第三方检测</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12</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月</w:t>
            </w:r>
          </w:p>
        </w:tc>
        <w:tc>
          <w:tcPr>
            <w:tcW w:w="17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包含护理院及一个社康设备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8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药剂费</w:t>
            </w:r>
          </w:p>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（合同有效期内投加）</w:t>
            </w:r>
          </w:p>
        </w:tc>
        <w:tc>
          <w:tcPr>
            <w:tcW w:w="3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折合次氯酸钠计</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3600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Kg</w:t>
            </w:r>
          </w:p>
        </w:tc>
        <w:tc>
          <w:tcPr>
            <w:tcW w:w="17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864" w:type="dxa"/>
            <w:gridSpan w:val="9"/>
            <w:tcBorders>
              <w:top w:val="single" w:color="auto" w:sz="4" w:space="0"/>
              <w:left w:val="nil"/>
              <w:bottom w:val="nil"/>
              <w:right w:val="nil"/>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备注：1、污水排放标准执行《医疗机构水污染物排放标准》（GB18466-2005）预处理标准。</w:t>
            </w:r>
          </w:p>
        </w:tc>
      </w:tr>
    </w:tbl>
    <w:p>
      <w:pPr>
        <w:pStyle w:val="5"/>
        <w:spacing w:before="0" w:after="0" w:line="240" w:lineRule="auto"/>
        <w:ind w:firstLine="281" w:firstLineChars="100"/>
        <w:rPr>
          <w:rFonts w:hint="eastAsia" w:ascii="仿宋_GB2312" w:hAnsi="仿宋_GB2312" w:eastAsia="仿宋_GB2312" w:cs="仿宋_GB2312"/>
          <w:kern w:val="0"/>
          <w:lang w:eastAsia="zh-CN"/>
        </w:rPr>
      </w:pPr>
      <w:r>
        <w:rPr>
          <w:rFonts w:hint="eastAsia" w:ascii="仿宋_GB2312" w:hAnsi="仿宋_GB2312" w:eastAsia="仿宋_GB2312" w:cs="仿宋_GB2312"/>
          <w:kern w:val="0"/>
          <w:lang w:val="en-US" w:eastAsia="zh-CN"/>
        </w:rPr>
        <w:t>十五</w:t>
      </w:r>
      <w:r>
        <w:rPr>
          <w:rFonts w:hint="eastAsia" w:ascii="仿宋_GB2312" w:hAnsi="仿宋_GB2312" w:eastAsia="仿宋_GB2312" w:cs="仿宋_GB2312"/>
          <w:kern w:val="0"/>
        </w:rPr>
        <w:t>、</w:t>
      </w:r>
      <w:r>
        <w:rPr>
          <w:rFonts w:hint="eastAsia" w:ascii="仿宋_GB2312" w:hAnsi="仿宋_GB2312" w:eastAsia="仿宋_GB2312" w:cs="仿宋_GB2312"/>
          <w:kern w:val="0"/>
          <w:lang w:val="en-US" w:eastAsia="zh-CN"/>
        </w:rPr>
        <w:t>其他</w:t>
      </w:r>
    </w:p>
    <w:p>
      <w:pPr>
        <w:spacing w:line="360" w:lineRule="auto"/>
        <w:ind w:firstLine="440" w:firstLineChars="200"/>
        <w:rPr>
          <w:rFonts w:ascii="宋体" w:hAnsi="宋体" w:cs="宋体"/>
          <w:sz w:val="22"/>
        </w:rPr>
      </w:pPr>
      <w:r>
        <w:rPr>
          <w:rFonts w:hint="eastAsia" w:ascii="宋体" w:hAnsi="宋体" w:cs="宋体"/>
          <w:sz w:val="22"/>
        </w:rPr>
        <w:t>根据《工业和信息化部、国家统计局、国家发展和改革委员会、财政部关于印发中小企业划型标准规定的通知》（工信部联企业〔2011〕300号），本项目采购标的（项目需求）对应的中小企业划分标准所属行业为</w:t>
      </w:r>
      <w:r>
        <w:rPr>
          <w:rFonts w:hint="eastAsia" w:ascii="宋体" w:hAnsi="宋体" w:cs="宋体"/>
          <w:b/>
          <w:bCs/>
          <w:sz w:val="22"/>
          <w:u w:val="single"/>
          <w:lang w:eastAsia="zh-CN"/>
        </w:rPr>
        <w:t>其他未列明行业</w:t>
      </w:r>
      <w:r>
        <w:rPr>
          <w:rFonts w:hint="eastAsia" w:ascii="宋体" w:hAnsi="宋体" w:cs="宋体"/>
          <w:sz w:val="22"/>
        </w:rPr>
        <w:t>。</w:t>
      </w:r>
    </w:p>
    <w:p>
      <w:pPr>
        <w:pStyle w:val="8"/>
        <w:spacing w:line="360" w:lineRule="auto"/>
        <w:ind w:firstLine="420" w:firstLineChars="200"/>
        <w:rPr>
          <w:rFonts w:ascii="宋体" w:hAnsi="宋体"/>
          <w:bCs/>
          <w:szCs w:val="21"/>
        </w:rPr>
      </w:pPr>
    </w:p>
    <w:p>
      <w:pPr>
        <w:pStyle w:val="8"/>
        <w:spacing w:line="360" w:lineRule="auto"/>
        <w:ind w:firstLine="420" w:firstLineChars="200"/>
        <w:rPr>
          <w:rFonts w:ascii="宋体" w:hAnsi="宋体"/>
          <w:bCs/>
          <w:szCs w:val="21"/>
        </w:rPr>
      </w:pPr>
    </w:p>
    <w:p>
      <w:pPr>
        <w:pStyle w:val="8"/>
        <w:spacing w:line="360" w:lineRule="auto"/>
        <w:ind w:firstLine="420" w:firstLineChars="200"/>
        <w:rPr>
          <w:rFonts w:ascii="宋体" w:hAnsi="宋体"/>
          <w:bCs/>
          <w:szCs w:val="21"/>
        </w:rPr>
      </w:pPr>
    </w:p>
    <w:p>
      <w:pPr>
        <w:pStyle w:val="8"/>
        <w:spacing w:line="360" w:lineRule="auto"/>
        <w:ind w:firstLine="420" w:firstLineChars="200"/>
        <w:rPr>
          <w:rFonts w:ascii="宋体" w:hAnsi="宋体"/>
          <w:bCs/>
          <w:szCs w:val="21"/>
        </w:rPr>
      </w:pPr>
    </w:p>
    <w:p>
      <w:pPr>
        <w:pStyle w:val="8"/>
        <w:spacing w:line="360" w:lineRule="auto"/>
        <w:rPr>
          <w:rFonts w:ascii="宋体" w:hAnsi="宋体"/>
          <w:bCs/>
          <w:szCs w:val="21"/>
        </w:rPr>
      </w:pPr>
    </w:p>
    <w:p>
      <w:pPr>
        <w:pStyle w:val="8"/>
        <w:spacing w:line="360" w:lineRule="auto"/>
        <w:rPr>
          <w:rFonts w:ascii="宋体" w:hAnsi="宋体"/>
          <w:bCs/>
          <w:szCs w:val="21"/>
        </w:rPr>
      </w:pPr>
    </w:p>
    <w:p>
      <w:pPr>
        <w:pStyle w:val="8"/>
        <w:spacing w:line="360" w:lineRule="auto"/>
        <w:rPr>
          <w:rFonts w:ascii="宋体" w:hAnsi="宋体"/>
          <w:bCs/>
          <w:szCs w:val="21"/>
        </w:rPr>
      </w:pPr>
    </w:p>
    <w:p>
      <w:pPr>
        <w:pStyle w:val="8"/>
        <w:spacing w:line="360" w:lineRule="auto"/>
        <w:rPr>
          <w:rFonts w:ascii="宋体" w:hAnsi="宋体"/>
          <w:bCs/>
          <w:szCs w:val="21"/>
        </w:rPr>
      </w:pPr>
    </w:p>
    <w:p>
      <w:pPr>
        <w:pStyle w:val="8"/>
        <w:spacing w:line="360" w:lineRule="auto"/>
        <w:rPr>
          <w:rFonts w:ascii="宋体" w:hAnsi="宋体"/>
          <w:bCs/>
          <w:szCs w:val="21"/>
        </w:rPr>
      </w:pPr>
    </w:p>
    <w:p>
      <w:pPr>
        <w:pStyle w:val="8"/>
        <w:spacing w:line="360" w:lineRule="auto"/>
        <w:rPr>
          <w:rFonts w:ascii="宋体" w:hAnsi="宋体"/>
          <w:bCs/>
          <w:szCs w:val="21"/>
        </w:rPr>
      </w:pPr>
    </w:p>
    <w:p>
      <w:pPr>
        <w:pStyle w:val="8"/>
        <w:spacing w:line="360" w:lineRule="auto"/>
        <w:rPr>
          <w:rFonts w:ascii="宋体" w:hAnsi="宋体"/>
          <w:bCs/>
          <w:szCs w:val="21"/>
        </w:rPr>
      </w:pPr>
    </w:p>
    <w:p>
      <w:pPr>
        <w:pStyle w:val="8"/>
        <w:spacing w:line="360" w:lineRule="auto"/>
        <w:rPr>
          <w:rFonts w:ascii="宋体" w:hAnsi="宋体"/>
          <w:bCs/>
          <w:szCs w:val="21"/>
        </w:rPr>
      </w:pPr>
    </w:p>
    <w:p>
      <w:pPr>
        <w:pStyle w:val="8"/>
        <w:spacing w:line="360" w:lineRule="auto"/>
        <w:rPr>
          <w:rFonts w:ascii="宋体" w:hAnsi="宋体"/>
          <w:bCs/>
          <w:szCs w:val="21"/>
        </w:rPr>
      </w:pPr>
    </w:p>
    <w:p>
      <w:pPr>
        <w:pStyle w:val="8"/>
        <w:spacing w:line="360" w:lineRule="auto"/>
        <w:rPr>
          <w:rFonts w:ascii="宋体" w:hAnsi="宋体"/>
          <w:bCs/>
          <w:szCs w:val="21"/>
        </w:rPr>
      </w:pPr>
    </w:p>
    <w:p>
      <w:pPr>
        <w:pStyle w:val="8"/>
        <w:spacing w:line="360" w:lineRule="auto"/>
        <w:rPr>
          <w:rFonts w:ascii="宋体" w:hAnsi="宋体"/>
          <w:bCs/>
          <w:szCs w:val="21"/>
        </w:rPr>
      </w:pPr>
    </w:p>
    <w:p>
      <w:pPr>
        <w:pStyle w:val="8"/>
        <w:spacing w:line="360" w:lineRule="auto"/>
        <w:rPr>
          <w:rFonts w:ascii="宋体" w:hAnsi="宋体"/>
          <w:bCs/>
          <w:szCs w:val="21"/>
        </w:rPr>
      </w:pPr>
    </w:p>
    <w:p>
      <w:pPr>
        <w:pStyle w:val="8"/>
        <w:spacing w:line="360" w:lineRule="auto"/>
        <w:rPr>
          <w:rFonts w:ascii="宋体" w:hAnsi="宋体"/>
          <w:bCs/>
          <w:szCs w:val="21"/>
        </w:rPr>
      </w:pPr>
    </w:p>
    <w:p>
      <w:pPr>
        <w:pStyle w:val="8"/>
        <w:spacing w:line="360" w:lineRule="auto"/>
        <w:rPr>
          <w:rFonts w:ascii="宋体" w:hAnsi="宋体"/>
          <w:bCs/>
          <w:szCs w:val="21"/>
        </w:rPr>
      </w:pPr>
    </w:p>
    <w:p>
      <w:pPr>
        <w:pStyle w:val="8"/>
        <w:spacing w:line="360" w:lineRule="auto"/>
        <w:rPr>
          <w:rFonts w:ascii="宋体" w:hAnsi="宋体"/>
          <w:bCs/>
          <w:szCs w:val="21"/>
        </w:rPr>
      </w:pPr>
    </w:p>
    <w:p>
      <w:pPr>
        <w:pStyle w:val="8"/>
        <w:spacing w:line="360" w:lineRule="auto"/>
        <w:rPr>
          <w:rFonts w:ascii="宋体" w:hAnsi="宋体"/>
          <w:bCs/>
          <w:szCs w:val="21"/>
        </w:rPr>
      </w:pPr>
    </w:p>
    <w:p>
      <w:pPr>
        <w:pStyle w:val="8"/>
        <w:spacing w:line="360" w:lineRule="auto"/>
        <w:rPr>
          <w:rFonts w:ascii="宋体" w:hAnsi="宋体"/>
          <w:bCs/>
          <w:szCs w:val="21"/>
        </w:rPr>
      </w:pPr>
    </w:p>
    <w:p>
      <w:pPr>
        <w:pStyle w:val="8"/>
        <w:spacing w:line="360" w:lineRule="auto"/>
        <w:rPr>
          <w:rFonts w:ascii="宋体" w:hAnsi="宋体"/>
          <w:bCs/>
          <w:szCs w:val="21"/>
        </w:rPr>
      </w:pPr>
    </w:p>
    <w:p>
      <w:pPr>
        <w:pStyle w:val="8"/>
        <w:spacing w:line="360" w:lineRule="auto"/>
        <w:rPr>
          <w:rFonts w:ascii="宋体" w:hAnsi="宋体"/>
          <w:bCs/>
          <w:szCs w:val="21"/>
        </w:rPr>
      </w:pPr>
    </w:p>
    <w:p>
      <w:pPr>
        <w:pStyle w:val="8"/>
        <w:spacing w:line="360" w:lineRule="auto"/>
        <w:rPr>
          <w:rFonts w:ascii="宋体" w:hAnsi="宋体"/>
          <w:bCs/>
          <w:szCs w:val="21"/>
        </w:rPr>
      </w:pPr>
    </w:p>
    <w:p>
      <w:pPr>
        <w:pStyle w:val="8"/>
        <w:spacing w:line="360" w:lineRule="auto"/>
        <w:rPr>
          <w:rFonts w:ascii="宋体" w:hAnsi="宋体"/>
          <w:bCs/>
          <w:szCs w:val="21"/>
        </w:rPr>
      </w:pPr>
    </w:p>
    <w:p>
      <w:pPr>
        <w:pStyle w:val="8"/>
        <w:spacing w:line="360" w:lineRule="auto"/>
        <w:rPr>
          <w:rFonts w:ascii="宋体" w:hAnsi="宋体"/>
          <w:bCs/>
          <w:szCs w:val="21"/>
        </w:rPr>
      </w:pPr>
    </w:p>
    <w:p/>
    <w:p>
      <w:pPr>
        <w:numPr>
          <w:ilvl w:val="0"/>
          <w:numId w:val="2"/>
        </w:numPr>
        <w:jc w:val="cente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投标文件初审表</w:t>
      </w:r>
    </w:p>
    <w:p>
      <w:pPr>
        <w:jc w:val="center"/>
        <w:rPr>
          <w:rFonts w:ascii="仿宋" w:hAnsi="仿宋" w:eastAsia="仿宋" w:cs="仿宋"/>
          <w:sz w:val="22"/>
          <w:szCs w:val="28"/>
        </w:rPr>
      </w:pPr>
      <w:r>
        <w:rPr>
          <w:rFonts w:hint="eastAsia" w:ascii="仿宋" w:hAnsi="仿宋" w:eastAsia="仿宋" w:cs="仿宋"/>
          <w:b/>
          <w:sz w:val="22"/>
          <w:szCs w:val="28"/>
        </w:rPr>
        <w:t>（凡有下列情形之一的，投标文件无效，投标作废标处理）</w:t>
      </w:r>
    </w:p>
    <w:tbl>
      <w:tblPr>
        <w:tblStyle w:val="21"/>
        <w:tblW w:w="9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7929"/>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8624" w:type="dxa"/>
            <w:gridSpan w:val="2"/>
            <w:noWrap/>
          </w:tcPr>
          <w:p>
            <w:pPr>
              <w:jc w:val="center"/>
              <w:rPr>
                <w:rFonts w:ascii="宋体" w:hAnsi="宋体" w:cs="宋体"/>
                <w:sz w:val="20"/>
                <w:szCs w:val="20"/>
              </w:rPr>
            </w:pPr>
            <w:r>
              <w:rPr>
                <w:rFonts w:hint="eastAsia" w:ascii="宋体" w:hAnsi="宋体" w:cs="宋体"/>
                <w:b/>
                <w:bCs/>
                <w:szCs w:val="21"/>
              </w:rPr>
              <w:t>资格性检查表</w:t>
            </w:r>
          </w:p>
        </w:tc>
        <w:tc>
          <w:tcPr>
            <w:tcW w:w="1200" w:type="dxa"/>
            <w:noWrap/>
          </w:tcPr>
          <w:p>
            <w:pPr>
              <w:jc w:val="center"/>
              <w:rPr>
                <w:rFonts w:ascii="宋体" w:hAnsi="宋体" w:cs="宋体"/>
                <w:b/>
                <w:bCs/>
                <w:szCs w:val="21"/>
              </w:rPr>
            </w:pPr>
            <w:r>
              <w:rPr>
                <w:rFonts w:hint="eastAsia" w:ascii="宋体" w:hAnsi="宋体" w:cs="宋体"/>
                <w:b/>
                <w:bCs/>
                <w:szCs w:val="21"/>
              </w:rPr>
              <w:t>自查情况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95" w:type="dxa"/>
            <w:noWrap/>
            <w:vAlign w:val="center"/>
          </w:tcPr>
          <w:p>
            <w:pPr>
              <w:jc w:val="center"/>
              <w:rPr>
                <w:rFonts w:ascii="宋体" w:hAnsi="宋体" w:cs="宋体"/>
                <w:sz w:val="20"/>
                <w:szCs w:val="20"/>
              </w:rPr>
            </w:pPr>
            <w:r>
              <w:rPr>
                <w:rFonts w:hint="eastAsia" w:ascii="宋体" w:hAnsi="宋体" w:cs="宋体"/>
                <w:sz w:val="20"/>
                <w:szCs w:val="20"/>
              </w:rPr>
              <w:t>1</w:t>
            </w:r>
          </w:p>
        </w:tc>
        <w:tc>
          <w:tcPr>
            <w:tcW w:w="7929" w:type="dxa"/>
            <w:noWrap/>
            <w:vAlign w:val="center"/>
          </w:tcPr>
          <w:p>
            <w:pPr>
              <w:rPr>
                <w:rFonts w:ascii="宋体" w:hAnsi="宋体" w:cs="宋体"/>
                <w:bCs/>
                <w:color w:val="FF0000"/>
                <w:sz w:val="22"/>
                <w:szCs w:val="22"/>
              </w:rPr>
            </w:pPr>
            <w:r>
              <w:rPr>
                <w:rFonts w:hint="eastAsia" w:ascii="宋体" w:hAnsi="宋体" w:cs="宋体"/>
                <w:bCs/>
                <w:sz w:val="22"/>
                <w:szCs w:val="22"/>
              </w:rPr>
              <w:t>投标人不具备招标文件所列的资格要求，或未提交相应的资格证明资料（“参与公开采购供应商资质要求”，其中未列示的资格要求不得导致废标）</w:t>
            </w:r>
          </w:p>
        </w:tc>
        <w:tc>
          <w:tcPr>
            <w:tcW w:w="1200" w:type="dxa"/>
            <w:noWrap/>
          </w:tcPr>
          <w:p>
            <w:pPr>
              <w:rPr>
                <w:rFonts w:ascii="宋体" w:hAns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8624" w:type="dxa"/>
            <w:gridSpan w:val="2"/>
            <w:noWrap/>
            <w:vAlign w:val="center"/>
          </w:tcPr>
          <w:p>
            <w:pPr>
              <w:jc w:val="center"/>
              <w:rPr>
                <w:rFonts w:ascii="宋体" w:hAnsi="宋体" w:cs="宋体"/>
                <w:bCs/>
                <w:sz w:val="22"/>
                <w:szCs w:val="22"/>
              </w:rPr>
            </w:pPr>
            <w:r>
              <w:rPr>
                <w:rFonts w:hint="eastAsia" w:ascii="宋体" w:hAnsi="宋体" w:cs="宋体"/>
                <w:b/>
                <w:sz w:val="22"/>
                <w:szCs w:val="22"/>
              </w:rPr>
              <w:t>符合性检查表</w:t>
            </w:r>
          </w:p>
        </w:tc>
        <w:tc>
          <w:tcPr>
            <w:tcW w:w="1200" w:type="dxa"/>
            <w:noWrap/>
          </w:tcPr>
          <w:p>
            <w:pPr>
              <w:jc w:val="center"/>
              <w:rPr>
                <w:rFonts w:ascii="宋体" w:hAnsi="宋体" w:cs="宋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95" w:type="dxa"/>
            <w:noWrap/>
            <w:vAlign w:val="center"/>
          </w:tcPr>
          <w:p>
            <w:pPr>
              <w:jc w:val="center"/>
              <w:rPr>
                <w:rFonts w:ascii="宋体" w:hAnsi="宋体" w:cs="宋体"/>
                <w:sz w:val="20"/>
                <w:szCs w:val="20"/>
              </w:rPr>
            </w:pPr>
            <w:r>
              <w:rPr>
                <w:rFonts w:hint="eastAsia" w:ascii="宋体" w:hAnsi="宋体" w:cs="宋体"/>
                <w:sz w:val="20"/>
                <w:szCs w:val="20"/>
              </w:rPr>
              <w:t>1</w:t>
            </w:r>
          </w:p>
        </w:tc>
        <w:tc>
          <w:tcPr>
            <w:tcW w:w="7929" w:type="dxa"/>
            <w:noWrap/>
            <w:vAlign w:val="center"/>
          </w:tcPr>
          <w:p>
            <w:pPr>
              <w:rPr>
                <w:rFonts w:ascii="宋体" w:hAnsi="宋体" w:cs="宋体"/>
                <w:bCs/>
                <w:sz w:val="22"/>
                <w:szCs w:val="22"/>
              </w:rPr>
            </w:pPr>
            <w:r>
              <w:rPr>
                <w:rFonts w:hint="eastAsia" w:ascii="宋体" w:hAnsi="宋体" w:cs="宋体"/>
                <w:bCs/>
                <w:sz w:val="22"/>
                <w:szCs w:val="22"/>
              </w:rPr>
              <w:t>将一个包中的内容拆开投标</w:t>
            </w:r>
          </w:p>
        </w:tc>
        <w:tc>
          <w:tcPr>
            <w:tcW w:w="1200" w:type="dxa"/>
            <w:noWrap/>
          </w:tcPr>
          <w:p>
            <w:pPr>
              <w:rPr>
                <w:rFonts w:ascii="宋体" w:hAns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5" w:type="dxa"/>
            <w:noWrap/>
            <w:vAlign w:val="center"/>
          </w:tcPr>
          <w:p>
            <w:pPr>
              <w:jc w:val="center"/>
              <w:rPr>
                <w:rFonts w:ascii="宋体" w:hAnsi="宋体" w:cs="宋体"/>
                <w:sz w:val="20"/>
                <w:szCs w:val="20"/>
              </w:rPr>
            </w:pPr>
            <w:r>
              <w:rPr>
                <w:rFonts w:hint="eastAsia" w:ascii="宋体" w:hAnsi="宋体" w:cs="宋体"/>
                <w:sz w:val="20"/>
                <w:szCs w:val="20"/>
              </w:rPr>
              <w:t>2</w:t>
            </w:r>
          </w:p>
        </w:tc>
        <w:tc>
          <w:tcPr>
            <w:tcW w:w="7929" w:type="dxa"/>
            <w:noWrap/>
            <w:vAlign w:val="center"/>
          </w:tcPr>
          <w:p>
            <w:pPr>
              <w:rPr>
                <w:rFonts w:ascii="宋体" w:hAnsi="宋体" w:cs="宋体"/>
                <w:bCs/>
                <w:sz w:val="22"/>
                <w:szCs w:val="22"/>
              </w:rPr>
            </w:pPr>
            <w:r>
              <w:rPr>
                <w:rFonts w:hint="eastAsia" w:ascii="宋体" w:hAnsi="宋体" w:cs="宋体"/>
                <w:bCs/>
                <w:sz w:val="22"/>
                <w:szCs w:val="22"/>
              </w:rPr>
              <w:t>招标文件未规定允许有替代方案时，对同一货物投标时，同时提供两套或两套以上的投标方案</w:t>
            </w:r>
          </w:p>
        </w:tc>
        <w:tc>
          <w:tcPr>
            <w:tcW w:w="1200" w:type="dxa"/>
            <w:noWrap/>
          </w:tcPr>
          <w:p>
            <w:pPr>
              <w:rPr>
                <w:rFonts w:ascii="宋体" w:hAns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5" w:type="dxa"/>
            <w:noWrap/>
            <w:vAlign w:val="center"/>
          </w:tcPr>
          <w:p>
            <w:pPr>
              <w:jc w:val="center"/>
              <w:rPr>
                <w:rFonts w:ascii="宋体" w:hAnsi="宋体" w:cs="宋体"/>
                <w:sz w:val="20"/>
                <w:szCs w:val="20"/>
              </w:rPr>
            </w:pPr>
            <w:r>
              <w:rPr>
                <w:rFonts w:hint="eastAsia" w:ascii="宋体" w:hAnsi="宋体" w:cs="宋体"/>
                <w:sz w:val="20"/>
                <w:szCs w:val="20"/>
              </w:rPr>
              <w:t>3</w:t>
            </w:r>
          </w:p>
        </w:tc>
        <w:tc>
          <w:tcPr>
            <w:tcW w:w="7929" w:type="dxa"/>
            <w:noWrap/>
            <w:vAlign w:val="center"/>
          </w:tcPr>
          <w:p>
            <w:pPr>
              <w:rPr>
                <w:rFonts w:ascii="宋体" w:hAnsi="宋体" w:cs="宋体"/>
                <w:bCs/>
                <w:sz w:val="22"/>
                <w:szCs w:val="22"/>
              </w:rPr>
            </w:pPr>
            <w:r>
              <w:rPr>
                <w:rFonts w:hint="eastAsia" w:ascii="宋体" w:hAnsi="宋体" w:cs="宋体"/>
                <w:bCs/>
                <w:sz w:val="22"/>
                <w:szCs w:val="22"/>
              </w:rPr>
              <w:t>投标总价或分项报价高于项目预算限额的</w:t>
            </w:r>
          </w:p>
        </w:tc>
        <w:tc>
          <w:tcPr>
            <w:tcW w:w="1200" w:type="dxa"/>
            <w:noWrap/>
          </w:tcPr>
          <w:p>
            <w:pPr>
              <w:rPr>
                <w:rFonts w:ascii="宋体" w:hAns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695" w:type="dxa"/>
            <w:noWrap/>
            <w:vAlign w:val="center"/>
          </w:tcPr>
          <w:p>
            <w:pPr>
              <w:jc w:val="center"/>
              <w:rPr>
                <w:rFonts w:ascii="宋体" w:hAnsi="宋体" w:cs="宋体"/>
                <w:sz w:val="20"/>
                <w:szCs w:val="20"/>
              </w:rPr>
            </w:pPr>
            <w:r>
              <w:rPr>
                <w:rFonts w:hint="eastAsia" w:ascii="宋体" w:hAnsi="宋体" w:cs="宋体"/>
                <w:sz w:val="20"/>
                <w:szCs w:val="20"/>
              </w:rPr>
              <w:t>4</w:t>
            </w:r>
          </w:p>
        </w:tc>
        <w:tc>
          <w:tcPr>
            <w:tcW w:w="7929" w:type="dxa"/>
            <w:noWrap/>
            <w:vAlign w:val="center"/>
          </w:tcPr>
          <w:p>
            <w:pPr>
              <w:rPr>
                <w:rFonts w:ascii="宋体" w:hAnsi="宋体" w:cs="宋体"/>
                <w:bCs/>
                <w:sz w:val="22"/>
                <w:szCs w:val="22"/>
              </w:rPr>
            </w:pPr>
            <w:r>
              <w:rPr>
                <w:rFonts w:hint="eastAsia" w:ascii="宋体" w:hAnsi="宋体" w:cs="宋体"/>
                <w:bCs/>
                <w:sz w:val="22"/>
                <w:szCs w:val="22"/>
              </w:rPr>
              <w:t>投标人的报价明显低于其他通过符合性审查投标人的报价，有可能影响产品质量或者不能诚信履约的，评委会有权要求投标供应商在规定时间内提供书面说明以及必要的证明材料，投标供应商不能证明其报价合理性的，评标委员会应当将其作为无效投标处理；</w:t>
            </w:r>
          </w:p>
        </w:tc>
        <w:tc>
          <w:tcPr>
            <w:tcW w:w="1200" w:type="dxa"/>
            <w:noWrap/>
          </w:tcPr>
          <w:p>
            <w:pPr>
              <w:rPr>
                <w:rFonts w:ascii="宋体" w:hAns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95" w:type="dxa"/>
            <w:noWrap/>
            <w:vAlign w:val="center"/>
          </w:tcPr>
          <w:p>
            <w:pPr>
              <w:jc w:val="center"/>
              <w:rPr>
                <w:rFonts w:ascii="宋体" w:hAnsi="宋体" w:cs="宋体"/>
                <w:sz w:val="20"/>
                <w:szCs w:val="20"/>
              </w:rPr>
            </w:pPr>
            <w:r>
              <w:rPr>
                <w:rFonts w:hint="eastAsia" w:ascii="宋体" w:hAnsi="宋体" w:cs="宋体"/>
                <w:sz w:val="20"/>
                <w:szCs w:val="20"/>
              </w:rPr>
              <w:t>5</w:t>
            </w:r>
          </w:p>
        </w:tc>
        <w:tc>
          <w:tcPr>
            <w:tcW w:w="7929" w:type="dxa"/>
            <w:noWrap/>
            <w:vAlign w:val="center"/>
          </w:tcPr>
          <w:p>
            <w:pPr>
              <w:rPr>
                <w:rFonts w:ascii="宋体" w:hAnsi="宋体" w:cs="宋体"/>
                <w:bCs/>
                <w:sz w:val="22"/>
                <w:szCs w:val="22"/>
              </w:rPr>
            </w:pPr>
            <w:r>
              <w:rPr>
                <w:rFonts w:hint="eastAsia" w:ascii="宋体" w:hAnsi="宋体" w:cs="宋体"/>
                <w:bCs/>
                <w:sz w:val="22"/>
                <w:szCs w:val="22"/>
              </w:rPr>
              <w:t>同一项目出现两个或以上报价、单价汇总与总价不符的，需进行价格修正</w:t>
            </w:r>
          </w:p>
        </w:tc>
        <w:tc>
          <w:tcPr>
            <w:tcW w:w="1200" w:type="dxa"/>
            <w:noWrap/>
            <w:vAlign w:val="center"/>
          </w:tcPr>
          <w:p>
            <w:pPr>
              <w:rPr>
                <w:rFonts w:ascii="宋体" w:hAns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95" w:type="dxa"/>
            <w:noWrap/>
            <w:vAlign w:val="center"/>
          </w:tcPr>
          <w:p>
            <w:pPr>
              <w:jc w:val="center"/>
              <w:rPr>
                <w:rFonts w:ascii="宋体" w:hAnsi="宋体" w:cs="宋体"/>
                <w:sz w:val="20"/>
                <w:szCs w:val="20"/>
              </w:rPr>
            </w:pPr>
            <w:r>
              <w:rPr>
                <w:rFonts w:hint="eastAsia" w:ascii="宋体" w:hAnsi="宋体" w:cs="宋体"/>
                <w:sz w:val="20"/>
                <w:szCs w:val="20"/>
              </w:rPr>
              <w:t>6</w:t>
            </w:r>
          </w:p>
        </w:tc>
        <w:tc>
          <w:tcPr>
            <w:tcW w:w="7929" w:type="dxa"/>
            <w:noWrap/>
            <w:vAlign w:val="center"/>
          </w:tcPr>
          <w:p>
            <w:pPr>
              <w:rPr>
                <w:rFonts w:ascii="宋体" w:hAnsi="宋体" w:cs="宋体"/>
                <w:bCs/>
                <w:sz w:val="22"/>
                <w:szCs w:val="22"/>
              </w:rPr>
            </w:pPr>
            <w:r>
              <w:rPr>
                <w:rFonts w:hint="eastAsia" w:ascii="宋体" w:hAnsi="宋体" w:cs="宋体"/>
                <w:bCs/>
                <w:sz w:val="22"/>
                <w:szCs w:val="22"/>
              </w:rPr>
              <w:t>投标报价有缺漏项目或对采购文件规定的服务清单项目及数量进行修改；</w:t>
            </w:r>
          </w:p>
        </w:tc>
        <w:tc>
          <w:tcPr>
            <w:tcW w:w="1200" w:type="dxa"/>
            <w:noWrap/>
            <w:vAlign w:val="center"/>
          </w:tcPr>
          <w:p>
            <w:pPr>
              <w:rPr>
                <w:rFonts w:ascii="宋体" w:hAns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695" w:type="dxa"/>
            <w:noWrap/>
            <w:vAlign w:val="center"/>
          </w:tcPr>
          <w:p>
            <w:pPr>
              <w:jc w:val="center"/>
              <w:rPr>
                <w:rFonts w:ascii="宋体" w:hAnsi="宋体" w:cs="宋体"/>
                <w:sz w:val="20"/>
                <w:szCs w:val="20"/>
              </w:rPr>
            </w:pPr>
            <w:r>
              <w:rPr>
                <w:rFonts w:hint="eastAsia" w:ascii="宋体" w:hAnsi="宋体" w:cs="宋体"/>
                <w:sz w:val="20"/>
                <w:szCs w:val="20"/>
              </w:rPr>
              <w:t>7</w:t>
            </w:r>
          </w:p>
        </w:tc>
        <w:tc>
          <w:tcPr>
            <w:tcW w:w="7929" w:type="dxa"/>
            <w:noWrap/>
            <w:vAlign w:val="center"/>
          </w:tcPr>
          <w:p>
            <w:pPr>
              <w:rPr>
                <w:rFonts w:ascii="宋体" w:hAnsi="宋体" w:cs="宋体"/>
                <w:bCs/>
                <w:sz w:val="22"/>
                <w:szCs w:val="22"/>
              </w:rPr>
            </w:pPr>
            <w:r>
              <w:rPr>
                <w:rFonts w:hint="eastAsia" w:ascii="宋体" w:hAnsi="宋体" w:cs="宋体"/>
                <w:bCs/>
                <w:sz w:val="22"/>
                <w:szCs w:val="22"/>
              </w:rPr>
              <w:t>所投产品、工程、服务在质量、技术、方案等方面没有实质性满足采购文件要求，本项目实质性条款以标注“★”条款为准（是否实质性满足招标文件要求，由评审委员会根据《实质性条款响应情况表》做出评判）；</w:t>
            </w:r>
          </w:p>
        </w:tc>
        <w:tc>
          <w:tcPr>
            <w:tcW w:w="1200" w:type="dxa"/>
            <w:noWrap/>
            <w:vAlign w:val="center"/>
          </w:tcPr>
          <w:p>
            <w:pPr>
              <w:rPr>
                <w:rFonts w:ascii="宋体" w:hAns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95" w:type="dxa"/>
            <w:noWrap/>
            <w:vAlign w:val="center"/>
          </w:tcPr>
          <w:p>
            <w:pPr>
              <w:jc w:val="center"/>
              <w:rPr>
                <w:rFonts w:ascii="宋体" w:hAnsi="宋体" w:cs="宋体"/>
                <w:sz w:val="20"/>
                <w:szCs w:val="20"/>
              </w:rPr>
            </w:pPr>
            <w:r>
              <w:rPr>
                <w:rFonts w:hint="eastAsia" w:ascii="宋体" w:hAnsi="宋体" w:cs="宋体"/>
                <w:sz w:val="20"/>
                <w:szCs w:val="20"/>
              </w:rPr>
              <w:t>8</w:t>
            </w:r>
          </w:p>
        </w:tc>
        <w:tc>
          <w:tcPr>
            <w:tcW w:w="7929" w:type="dxa"/>
            <w:noWrap/>
            <w:vAlign w:val="center"/>
          </w:tcPr>
          <w:p>
            <w:pPr>
              <w:rPr>
                <w:rFonts w:ascii="宋体" w:hAnsi="宋体" w:cs="宋体"/>
                <w:bCs/>
                <w:sz w:val="22"/>
                <w:szCs w:val="22"/>
              </w:rPr>
            </w:pPr>
            <w:r>
              <w:rPr>
                <w:rFonts w:hint="eastAsia" w:ascii="宋体" w:hAnsi="宋体" w:cs="宋体"/>
                <w:bCs/>
                <w:sz w:val="22"/>
                <w:szCs w:val="22"/>
              </w:rPr>
              <w:t>《投标函》、《采购投标承诺函》未按采购文件规定的格式和内容响应；未按采购文件对投标文件组成的要求提供投标文件的（投标文件组成不完整）；未按照招标文件要求提供单独密封的开标一览表；投标文件的数量、密封、签字盖章不符合采购文件要求或未提供投标文件电子文档；未按照采购文件规定的样式及要求填写 “法定代表人（负责人）资格证明书”或“投标文件签署授权委托书”或“分项报价清单”；</w:t>
            </w:r>
          </w:p>
        </w:tc>
        <w:tc>
          <w:tcPr>
            <w:tcW w:w="1200" w:type="dxa"/>
            <w:noWrap/>
            <w:vAlign w:val="center"/>
          </w:tcPr>
          <w:p>
            <w:pPr>
              <w:rPr>
                <w:rFonts w:ascii="宋体" w:hAns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95" w:type="dxa"/>
            <w:noWrap/>
            <w:vAlign w:val="center"/>
          </w:tcPr>
          <w:p>
            <w:pPr>
              <w:jc w:val="center"/>
              <w:rPr>
                <w:rFonts w:ascii="宋体" w:hAnsi="宋体" w:cs="宋体"/>
                <w:sz w:val="20"/>
                <w:szCs w:val="20"/>
              </w:rPr>
            </w:pPr>
            <w:r>
              <w:rPr>
                <w:rFonts w:hint="eastAsia" w:ascii="宋体" w:hAnsi="宋体" w:cs="宋体"/>
                <w:sz w:val="20"/>
                <w:szCs w:val="20"/>
              </w:rPr>
              <w:t>9</w:t>
            </w:r>
          </w:p>
        </w:tc>
        <w:tc>
          <w:tcPr>
            <w:tcW w:w="7929" w:type="dxa"/>
            <w:noWrap/>
            <w:vAlign w:val="center"/>
          </w:tcPr>
          <w:p>
            <w:pPr>
              <w:rPr>
                <w:rFonts w:ascii="宋体" w:hAnsi="宋体" w:cs="宋体"/>
                <w:bCs/>
                <w:sz w:val="22"/>
                <w:szCs w:val="22"/>
              </w:rPr>
            </w:pPr>
            <w:r>
              <w:rPr>
                <w:rFonts w:hint="eastAsia" w:ascii="宋体" w:hAnsi="宋体" w:cs="宋体"/>
                <w:bCs/>
                <w:sz w:val="22"/>
                <w:szCs w:val="22"/>
              </w:rPr>
              <w:t>与其他投标供应商的投标文件存在异常雷同现象的；</w:t>
            </w:r>
          </w:p>
        </w:tc>
        <w:tc>
          <w:tcPr>
            <w:tcW w:w="1200" w:type="dxa"/>
            <w:noWrap/>
            <w:vAlign w:val="center"/>
          </w:tcPr>
          <w:p>
            <w:pPr>
              <w:rPr>
                <w:rFonts w:ascii="宋体" w:hAns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95" w:type="dxa"/>
            <w:noWrap/>
            <w:vAlign w:val="center"/>
          </w:tcPr>
          <w:p>
            <w:pPr>
              <w:jc w:val="center"/>
              <w:rPr>
                <w:rFonts w:ascii="宋体" w:hAnsi="宋体" w:cs="宋体"/>
                <w:sz w:val="20"/>
                <w:szCs w:val="20"/>
              </w:rPr>
            </w:pPr>
            <w:r>
              <w:rPr>
                <w:rFonts w:hint="eastAsia" w:ascii="宋体" w:hAnsi="宋体" w:cs="宋体"/>
                <w:sz w:val="20"/>
                <w:szCs w:val="20"/>
              </w:rPr>
              <w:t>10</w:t>
            </w:r>
          </w:p>
        </w:tc>
        <w:tc>
          <w:tcPr>
            <w:tcW w:w="7929" w:type="dxa"/>
            <w:noWrap/>
            <w:vAlign w:val="center"/>
          </w:tcPr>
          <w:p>
            <w:pPr>
              <w:rPr>
                <w:rFonts w:ascii="宋体" w:hAnsi="宋体" w:cs="宋体"/>
                <w:bCs/>
                <w:sz w:val="22"/>
                <w:szCs w:val="22"/>
              </w:rPr>
            </w:pPr>
            <w:r>
              <w:rPr>
                <w:rFonts w:hint="eastAsia" w:ascii="宋体" w:hAnsi="宋体" w:cs="宋体"/>
                <w:bCs/>
                <w:sz w:val="22"/>
                <w:szCs w:val="22"/>
              </w:rPr>
              <w:t>招标文件规定的其他投标无效情形；</w:t>
            </w:r>
          </w:p>
        </w:tc>
        <w:tc>
          <w:tcPr>
            <w:tcW w:w="1200" w:type="dxa"/>
            <w:noWrap/>
            <w:vAlign w:val="center"/>
          </w:tcPr>
          <w:p>
            <w:pPr>
              <w:jc w:val="left"/>
              <w:rPr>
                <w:rFonts w:ascii="宋体" w:hAns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695" w:type="dxa"/>
            <w:noWrap/>
            <w:vAlign w:val="center"/>
          </w:tcPr>
          <w:p>
            <w:pPr>
              <w:jc w:val="center"/>
              <w:rPr>
                <w:rFonts w:ascii="宋体" w:hAnsi="宋体" w:cs="宋体"/>
                <w:sz w:val="20"/>
                <w:szCs w:val="20"/>
              </w:rPr>
            </w:pPr>
            <w:r>
              <w:rPr>
                <w:rFonts w:hint="eastAsia" w:ascii="宋体" w:hAnsi="宋体" w:cs="宋体"/>
                <w:sz w:val="20"/>
                <w:szCs w:val="20"/>
              </w:rPr>
              <w:t>11</w:t>
            </w:r>
          </w:p>
        </w:tc>
        <w:tc>
          <w:tcPr>
            <w:tcW w:w="7929" w:type="dxa"/>
            <w:noWrap/>
            <w:vAlign w:val="center"/>
          </w:tcPr>
          <w:p>
            <w:pPr>
              <w:rPr>
                <w:rFonts w:ascii="宋体" w:hAnsi="宋体" w:cs="宋体"/>
                <w:bCs/>
                <w:sz w:val="22"/>
                <w:szCs w:val="22"/>
              </w:rPr>
            </w:pPr>
            <w:r>
              <w:rPr>
                <w:rFonts w:hint="eastAsia" w:ascii="宋体" w:hAnsi="宋体" w:cs="宋体"/>
                <w:bCs/>
                <w:sz w:val="22"/>
                <w:szCs w:val="22"/>
              </w:rPr>
              <w:t>法律、法规规定的其他情形。</w:t>
            </w:r>
          </w:p>
        </w:tc>
        <w:tc>
          <w:tcPr>
            <w:tcW w:w="1200" w:type="dxa"/>
            <w:noWrap/>
            <w:vAlign w:val="center"/>
          </w:tcPr>
          <w:p>
            <w:pPr>
              <w:jc w:val="left"/>
              <w:rPr>
                <w:rFonts w:ascii="宋体" w:hAnsi="宋体" w:cs="宋体"/>
                <w:bCs/>
                <w:sz w:val="22"/>
                <w:szCs w:val="22"/>
              </w:rPr>
            </w:pPr>
          </w:p>
        </w:tc>
      </w:tr>
    </w:tbl>
    <w:p>
      <w:pPr>
        <w:rPr>
          <w:rFonts w:ascii="仿宋" w:hAnsi="仿宋" w:eastAsia="仿宋" w:cs="仿宋"/>
          <w:b/>
          <w:bCs/>
          <w:sz w:val="36"/>
          <w:szCs w:val="36"/>
        </w:rPr>
      </w:pPr>
    </w:p>
    <w:p>
      <w:pPr>
        <w:pStyle w:val="4"/>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pStyle w:val="26"/>
        <w:rPr>
          <w:rFonts w:hint="eastAsia"/>
          <w:lang w:eastAsia="zh-CN"/>
        </w:rPr>
      </w:pPr>
    </w:p>
    <w:p>
      <w:pPr>
        <w:pStyle w:val="26"/>
        <w:ind w:firstLine="0" w:firstLineChars="0"/>
      </w:pPr>
    </w:p>
    <w:p>
      <w:pPr>
        <w:numPr>
          <w:ilvl w:val="0"/>
          <w:numId w:val="2"/>
        </w:numPr>
        <w:jc w:val="cente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投标须知</w:t>
      </w:r>
    </w:p>
    <w:p>
      <w:pPr>
        <w:snapToGrid w:val="0"/>
        <w:spacing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一、为充分体现公平、公正、公开原则，择优选择供应商，参加投标的单位必须满足本项目投标供应商的资质要求。</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1.本项目的潜在供应商应在递交投标文件截止日之前到医院招采办报名投标。</w:t>
      </w:r>
    </w:p>
    <w:p>
      <w:pPr>
        <w:snapToGrid w:val="0"/>
        <w:spacing w:line="500" w:lineRule="exact"/>
        <w:ind w:firstLine="560" w:firstLineChars="200"/>
        <w:rPr>
          <w:rFonts w:ascii="仿宋" w:hAnsi="仿宋" w:eastAsia="仿宋" w:cs="仿宋"/>
          <w:b/>
          <w:bCs/>
          <w:sz w:val="28"/>
          <w:szCs w:val="28"/>
        </w:rPr>
      </w:pPr>
      <w:r>
        <w:rPr>
          <w:rFonts w:hint="eastAsia" w:ascii="仿宋" w:hAnsi="仿宋" w:eastAsia="仿宋" w:cs="仿宋"/>
          <w:sz w:val="28"/>
          <w:szCs w:val="28"/>
        </w:rPr>
        <w:t>2.符合条件的供应商严格按照采购单位提供的招标文件，认真填写投标资料，并在规定时间将</w:t>
      </w:r>
      <w:r>
        <w:rPr>
          <w:rFonts w:hint="eastAsia" w:ascii="仿宋" w:hAnsi="仿宋" w:eastAsia="仿宋" w:cs="仿宋"/>
          <w:b/>
          <w:bCs/>
          <w:sz w:val="28"/>
          <w:szCs w:val="28"/>
        </w:rPr>
        <w:t>投标文件密封</w:t>
      </w:r>
      <w:r>
        <w:rPr>
          <w:rFonts w:hint="eastAsia" w:ascii="仿宋" w:hAnsi="仿宋" w:eastAsia="仿宋" w:cs="仿宋"/>
          <w:sz w:val="28"/>
          <w:szCs w:val="28"/>
        </w:rPr>
        <w:t>送达指定地点。投标单位法定代表人或授权代表在规定的时间内未递交投标资料的，视为自动放弃。</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3.院内公开招标有效投标的供应商不足三家，不得开标。</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4.存在下列情形的，应予废标：</w:t>
      </w:r>
    </w:p>
    <w:p>
      <w:pPr>
        <w:snapToGrid w:val="0"/>
        <w:spacing w:line="500" w:lineRule="exact"/>
        <w:ind w:firstLine="638" w:firstLineChars="228"/>
        <w:rPr>
          <w:rFonts w:ascii="仿宋" w:hAnsi="仿宋" w:eastAsia="仿宋" w:cs="仿宋"/>
          <w:sz w:val="28"/>
          <w:szCs w:val="28"/>
        </w:rPr>
      </w:pPr>
      <w:r>
        <w:rPr>
          <w:rFonts w:hint="eastAsia" w:ascii="仿宋" w:hAnsi="仿宋" w:eastAsia="仿宋" w:cs="仿宋"/>
          <w:sz w:val="28"/>
          <w:szCs w:val="28"/>
        </w:rPr>
        <w:t>（1）符合专业条件的供应商或者对招标文件作实质性响应的供应商不足三家的；</w:t>
      </w:r>
    </w:p>
    <w:p>
      <w:pPr>
        <w:snapToGrid w:val="0"/>
        <w:spacing w:line="500" w:lineRule="exact"/>
        <w:ind w:firstLine="638" w:firstLineChars="228"/>
        <w:rPr>
          <w:rFonts w:ascii="仿宋" w:hAnsi="仿宋" w:eastAsia="仿宋" w:cs="仿宋"/>
          <w:sz w:val="28"/>
          <w:szCs w:val="28"/>
        </w:rPr>
      </w:pPr>
      <w:r>
        <w:rPr>
          <w:rFonts w:hint="eastAsia" w:ascii="仿宋" w:hAnsi="仿宋" w:eastAsia="仿宋" w:cs="仿宋"/>
          <w:sz w:val="28"/>
          <w:szCs w:val="28"/>
        </w:rPr>
        <w:t>（2）出现影响采购公正的违法、违规行为的；</w:t>
      </w:r>
    </w:p>
    <w:p>
      <w:pPr>
        <w:snapToGrid w:val="0"/>
        <w:spacing w:line="500" w:lineRule="exact"/>
        <w:ind w:firstLine="638" w:firstLineChars="228"/>
        <w:rPr>
          <w:rFonts w:ascii="仿宋" w:hAnsi="仿宋" w:eastAsia="仿宋" w:cs="仿宋"/>
          <w:sz w:val="28"/>
          <w:szCs w:val="28"/>
        </w:rPr>
      </w:pPr>
      <w:r>
        <w:rPr>
          <w:rFonts w:hint="eastAsia" w:ascii="仿宋" w:hAnsi="仿宋" w:eastAsia="仿宋" w:cs="仿宋"/>
          <w:sz w:val="28"/>
          <w:szCs w:val="28"/>
        </w:rPr>
        <w:t>（3）投标人的报价均超过采购预算或最高限价，采购人不能支付的；</w:t>
      </w:r>
    </w:p>
    <w:p>
      <w:pPr>
        <w:snapToGrid w:val="0"/>
        <w:spacing w:line="500" w:lineRule="exact"/>
        <w:ind w:firstLine="638" w:firstLineChars="228"/>
        <w:rPr>
          <w:rFonts w:ascii="仿宋" w:hAnsi="仿宋" w:eastAsia="仿宋" w:cs="仿宋"/>
          <w:kern w:val="0"/>
          <w:sz w:val="28"/>
          <w:szCs w:val="28"/>
        </w:rPr>
      </w:pPr>
      <w:r>
        <w:rPr>
          <w:rFonts w:hint="eastAsia" w:ascii="仿宋" w:hAnsi="仿宋" w:eastAsia="仿宋" w:cs="仿宋"/>
          <w:sz w:val="28"/>
          <w:szCs w:val="28"/>
        </w:rPr>
        <w:t>（4）因重大变故，采购任务取消的。</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5.投标文件有效期</w:t>
      </w:r>
    </w:p>
    <w:p>
      <w:pPr>
        <w:snapToGrid w:val="0"/>
        <w:spacing w:line="500" w:lineRule="exact"/>
        <w:ind w:firstLine="638" w:firstLineChars="228"/>
        <w:rPr>
          <w:rFonts w:ascii="仿宋" w:hAnsi="仿宋" w:eastAsia="仿宋" w:cs="仿宋"/>
          <w:sz w:val="28"/>
          <w:szCs w:val="28"/>
        </w:rPr>
      </w:pPr>
      <w:r>
        <w:rPr>
          <w:rFonts w:hint="eastAsia" w:ascii="仿宋" w:hAnsi="仿宋" w:eastAsia="仿宋" w:cs="仿宋"/>
          <w:sz w:val="28"/>
          <w:szCs w:val="28"/>
        </w:rPr>
        <w:t>（1）在递交投标文件截止日期之后的60天内有效。</w:t>
      </w:r>
    </w:p>
    <w:p>
      <w:pPr>
        <w:snapToGrid w:val="0"/>
        <w:spacing w:line="500" w:lineRule="exact"/>
        <w:ind w:firstLine="638" w:firstLineChars="228"/>
        <w:rPr>
          <w:rFonts w:ascii="仿宋" w:hAnsi="仿宋" w:eastAsia="仿宋" w:cs="仿宋"/>
          <w:sz w:val="28"/>
          <w:szCs w:val="28"/>
        </w:rPr>
      </w:pPr>
      <w:r>
        <w:rPr>
          <w:rFonts w:hint="eastAsia" w:ascii="仿宋" w:hAnsi="仿宋" w:eastAsia="仿宋" w:cs="仿宋"/>
          <w:sz w:val="28"/>
          <w:szCs w:val="28"/>
        </w:rPr>
        <w:t>（2）在原定投标文件有效期满之前，如果出现特殊情况，招采办可以书面形式向供应商提出延长投标文件有效期的要求。</w:t>
      </w:r>
    </w:p>
    <w:p>
      <w:pPr>
        <w:snapToGrid w:val="0"/>
        <w:spacing w:line="50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二、需提供资料及标准</w:t>
      </w:r>
    </w:p>
    <w:p>
      <w:pPr>
        <w:snapToGrid w:val="0"/>
        <w:spacing w:line="50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sz w:val="28"/>
          <w:szCs w:val="36"/>
        </w:rPr>
        <w:t>（一）投标文件的规定。投标文件</w:t>
      </w:r>
      <w:r>
        <w:rPr>
          <w:rFonts w:hint="eastAsia" w:ascii="仿宋_GB2312" w:hAnsi="仿宋_GB2312" w:eastAsia="仿宋_GB2312" w:cs="仿宋_GB2312"/>
          <w:b/>
          <w:bCs/>
          <w:sz w:val="28"/>
          <w:szCs w:val="36"/>
        </w:rPr>
        <w:t>须密封装袋</w:t>
      </w:r>
      <w:r>
        <w:rPr>
          <w:rFonts w:hint="eastAsia" w:ascii="仿宋_GB2312" w:hAnsi="仿宋_GB2312" w:eastAsia="仿宋_GB2312" w:cs="仿宋_GB2312"/>
          <w:sz w:val="28"/>
          <w:szCs w:val="36"/>
        </w:rPr>
        <w:t>，制作</w:t>
      </w:r>
      <w:r>
        <w:rPr>
          <w:rFonts w:hint="eastAsia" w:ascii="仿宋_GB2312" w:hAnsi="仿宋_GB2312" w:eastAsia="仿宋_GB2312" w:cs="仿宋_GB2312"/>
          <w:b/>
          <w:bCs/>
          <w:sz w:val="28"/>
          <w:szCs w:val="36"/>
        </w:rPr>
        <w:t>一本正本，2本副本（另：提交一本电子投标文件，用U盘拷贝，U盘不退还</w:t>
      </w:r>
      <w:r>
        <w:rPr>
          <w:rFonts w:hint="eastAsia" w:ascii="仿宋_GB2312" w:hAnsi="仿宋_GB2312" w:eastAsia="仿宋_GB2312" w:cs="仿宋_GB2312"/>
          <w:b/>
          <w:bCs/>
          <w:sz w:val="28"/>
          <w:szCs w:val="36"/>
          <w:lang w:eastAsia="zh-CN"/>
        </w:rPr>
        <w:t>，</w:t>
      </w:r>
      <w:r>
        <w:rPr>
          <w:rFonts w:hint="eastAsia" w:ascii="仿宋_GB2312" w:hAnsi="仿宋_GB2312" w:eastAsia="仿宋_GB2312" w:cs="仿宋_GB2312"/>
          <w:b/>
          <w:bCs/>
          <w:sz w:val="28"/>
          <w:szCs w:val="36"/>
          <w:lang w:val="en-US" w:eastAsia="zh-CN"/>
        </w:rPr>
        <w:t>并</w:t>
      </w:r>
      <w:r>
        <w:rPr>
          <w:rFonts w:hint="eastAsia" w:ascii="仿宋_GB2312" w:hAnsi="仿宋_GB2312" w:eastAsia="仿宋_GB2312" w:cs="仿宋_GB2312"/>
          <w:b/>
          <w:bCs/>
          <w:sz w:val="28"/>
          <w:szCs w:val="36"/>
        </w:rPr>
        <w:t>标明</w:t>
      </w:r>
      <w:r>
        <w:rPr>
          <w:rFonts w:hint="eastAsia" w:ascii="仿宋_GB2312" w:hAnsi="仿宋_GB2312" w:eastAsia="仿宋_GB2312" w:cs="仿宋_GB2312"/>
          <w:b/>
          <w:bCs/>
          <w:sz w:val="28"/>
          <w:szCs w:val="36"/>
          <w:lang w:val="en-US" w:eastAsia="zh-CN"/>
        </w:rPr>
        <w:t>项目名称和公司名称</w:t>
      </w:r>
      <w:r>
        <w:rPr>
          <w:rFonts w:hint="eastAsia" w:ascii="仿宋_GB2312" w:hAnsi="仿宋_GB2312" w:eastAsia="仿宋_GB2312" w:cs="仿宋_GB2312"/>
          <w:b/>
          <w:bCs/>
          <w:sz w:val="28"/>
          <w:szCs w:val="36"/>
        </w:rPr>
        <w:t>）</w:t>
      </w:r>
      <w:r>
        <w:rPr>
          <w:rFonts w:hint="eastAsia" w:ascii="仿宋_GB2312" w:hAnsi="仿宋_GB2312" w:eastAsia="仿宋_GB2312" w:cs="仿宋_GB2312"/>
          <w:sz w:val="28"/>
          <w:szCs w:val="36"/>
        </w:rPr>
        <w:t>，每份投标文件必须装订且须在封面上清楚标明“</w:t>
      </w:r>
      <w:r>
        <w:rPr>
          <w:rFonts w:hint="eastAsia" w:ascii="仿宋_GB2312" w:hAnsi="仿宋_GB2312" w:eastAsia="仿宋_GB2312" w:cs="仿宋_GB2312"/>
          <w:b/>
          <w:bCs/>
          <w:sz w:val="28"/>
          <w:szCs w:val="36"/>
        </w:rPr>
        <w:t>正本</w:t>
      </w:r>
      <w:r>
        <w:rPr>
          <w:rFonts w:hint="eastAsia" w:ascii="仿宋_GB2312" w:hAnsi="仿宋_GB2312" w:eastAsia="仿宋_GB2312" w:cs="仿宋_GB2312"/>
          <w:sz w:val="28"/>
          <w:szCs w:val="36"/>
        </w:rPr>
        <w:t>”或“</w:t>
      </w:r>
      <w:r>
        <w:rPr>
          <w:rFonts w:hint="eastAsia" w:ascii="仿宋_GB2312" w:hAnsi="仿宋_GB2312" w:eastAsia="仿宋_GB2312" w:cs="仿宋_GB2312"/>
          <w:b/>
          <w:bCs/>
          <w:sz w:val="28"/>
          <w:szCs w:val="36"/>
        </w:rPr>
        <w:t>副本</w:t>
      </w:r>
      <w:r>
        <w:rPr>
          <w:rFonts w:hint="eastAsia" w:ascii="仿宋_GB2312" w:hAnsi="仿宋_GB2312" w:eastAsia="仿宋_GB2312" w:cs="仿宋_GB2312"/>
          <w:sz w:val="28"/>
          <w:szCs w:val="36"/>
        </w:rPr>
        <w:t>”字样。一旦正本与副本不符，以正本为准。 投标文件不得涂改和增删，如要修改错漏处，必须由同一签署人</w:t>
      </w:r>
      <w:r>
        <w:rPr>
          <w:rFonts w:hint="eastAsia" w:ascii="仿宋_GB2312" w:hAnsi="仿宋_GB2312" w:eastAsia="仿宋_GB2312" w:cs="仿宋_GB2312"/>
          <w:b/>
          <w:bCs/>
          <w:sz w:val="28"/>
          <w:szCs w:val="36"/>
        </w:rPr>
        <w:t>在修改处签字或盖章</w:t>
      </w:r>
      <w:r>
        <w:rPr>
          <w:rFonts w:hint="eastAsia" w:ascii="仿宋_GB2312" w:hAnsi="仿宋_GB2312" w:eastAsia="仿宋_GB2312" w:cs="仿宋_GB2312"/>
          <w:sz w:val="28"/>
          <w:szCs w:val="36"/>
        </w:rPr>
        <w:t>。</w:t>
      </w:r>
    </w:p>
    <w:p>
      <w:p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（二）提供本项目开标一览表一份，开标一览表须加盖公章并单独密封，供应商须在开标一览表上签名确认。</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（三）资料封面注有公司名称、地址、联系人、手机号码、办公电话和邮箱地址。</w:t>
      </w:r>
    </w:p>
    <w:p>
      <w:pPr>
        <w:numPr>
          <w:ilvl w:val="0"/>
          <w:numId w:val="3"/>
        </w:numPr>
        <w:snapToGrid w:val="0"/>
        <w:spacing w:line="500" w:lineRule="exact"/>
        <w:ind w:left="0" w:hanging="5"/>
        <w:jc w:val="left"/>
        <w:rPr>
          <w:rFonts w:ascii="仿宋_GB2312" w:hAnsi="仿宋_GB2312" w:eastAsia="仿宋_GB2312" w:cs="仿宋_GB2312"/>
          <w:kern w:val="144"/>
          <w:sz w:val="28"/>
          <w:szCs w:val="28"/>
        </w:rPr>
      </w:pPr>
      <w:r>
        <w:rPr>
          <w:rFonts w:hint="eastAsia" w:ascii="仿宋_GB2312" w:hAnsi="仿宋_GB2312" w:eastAsia="仿宋_GB2312" w:cs="仿宋_GB2312"/>
          <w:kern w:val="144"/>
          <w:sz w:val="28"/>
          <w:szCs w:val="28"/>
        </w:rPr>
        <w:t>所有资料要有封面、目录、页码、装订成册。</w:t>
      </w:r>
    </w:p>
    <w:p>
      <w:pPr>
        <w:numPr>
          <w:ilvl w:val="0"/>
          <w:numId w:val="3"/>
        </w:numPr>
        <w:snapToGrid w:val="0"/>
        <w:spacing w:line="500" w:lineRule="exact"/>
        <w:ind w:left="0" w:hanging="5"/>
        <w:jc w:val="left"/>
        <w:rPr>
          <w:rFonts w:ascii="仿宋_GB2312" w:hAnsi="仿宋_GB2312" w:eastAsia="仿宋_GB2312" w:cs="仿宋_GB2312"/>
          <w:kern w:val="144"/>
          <w:sz w:val="28"/>
          <w:szCs w:val="28"/>
        </w:rPr>
      </w:pPr>
      <w:r>
        <w:rPr>
          <w:rFonts w:hint="eastAsia" w:ascii="仿宋_GB2312" w:hAnsi="仿宋_GB2312" w:eastAsia="仿宋_GB2312" w:cs="仿宋_GB2312"/>
          <w:kern w:val="144"/>
          <w:sz w:val="28"/>
          <w:szCs w:val="28"/>
        </w:rPr>
        <w:t>所有资料</w:t>
      </w:r>
      <w:r>
        <w:rPr>
          <w:rFonts w:hint="eastAsia" w:ascii="仿宋_GB2312" w:hAnsi="仿宋_GB2312" w:eastAsia="仿宋_GB2312" w:cs="仿宋_GB2312"/>
          <w:b/>
          <w:bCs/>
          <w:kern w:val="144"/>
          <w:sz w:val="28"/>
          <w:szCs w:val="28"/>
        </w:rPr>
        <w:t>每页须加盖公章</w:t>
      </w:r>
      <w:r>
        <w:rPr>
          <w:rFonts w:hint="eastAsia" w:ascii="仿宋_GB2312" w:hAnsi="仿宋_GB2312" w:eastAsia="仿宋_GB2312" w:cs="仿宋_GB2312"/>
          <w:kern w:val="144"/>
          <w:sz w:val="28"/>
          <w:szCs w:val="28"/>
        </w:rPr>
        <w:t>。</w:t>
      </w:r>
    </w:p>
    <w:p>
      <w:pPr>
        <w:numPr>
          <w:ilvl w:val="0"/>
          <w:numId w:val="3"/>
        </w:numPr>
        <w:snapToGrid w:val="0"/>
        <w:spacing w:line="500" w:lineRule="exact"/>
        <w:ind w:left="0" w:hanging="5"/>
        <w:jc w:val="left"/>
        <w:rPr>
          <w:rFonts w:ascii="仿宋_GB2312" w:hAnsi="仿宋_GB2312" w:eastAsia="仿宋_GB2312" w:cs="仿宋_GB2312"/>
          <w:kern w:val="144"/>
          <w:sz w:val="28"/>
          <w:szCs w:val="28"/>
        </w:rPr>
      </w:pPr>
      <w:r>
        <w:rPr>
          <w:rFonts w:hint="eastAsia" w:ascii="仿宋_GB2312" w:hAnsi="仿宋_GB2312" w:eastAsia="仿宋_GB2312" w:cs="仿宋_GB2312"/>
          <w:kern w:val="144"/>
          <w:sz w:val="28"/>
          <w:szCs w:val="28"/>
        </w:rPr>
        <w:t>所有资料须</w:t>
      </w:r>
      <w:r>
        <w:rPr>
          <w:rFonts w:hint="eastAsia" w:ascii="仿宋_GB2312" w:hAnsi="仿宋_GB2312" w:eastAsia="仿宋_GB2312" w:cs="仿宋_GB2312"/>
          <w:b/>
          <w:bCs/>
          <w:kern w:val="144"/>
          <w:sz w:val="28"/>
          <w:szCs w:val="28"/>
        </w:rPr>
        <w:t>密封并加盖公章</w:t>
      </w:r>
      <w:r>
        <w:rPr>
          <w:rFonts w:hint="eastAsia" w:ascii="仿宋_GB2312" w:hAnsi="仿宋_GB2312" w:eastAsia="仿宋_GB2312" w:cs="仿宋_GB2312"/>
          <w:kern w:val="144"/>
          <w:sz w:val="28"/>
          <w:szCs w:val="28"/>
        </w:rPr>
        <w:t>。</w:t>
      </w:r>
    </w:p>
    <w:p>
      <w:pPr>
        <w:snapToGrid w:val="0"/>
        <w:spacing w:line="500" w:lineRule="exact"/>
        <w:ind w:firstLine="560" w:firstLineChars="200"/>
        <w:rPr>
          <w:rFonts w:ascii="仿宋_GB2312" w:hAnsi="仿宋_GB2312" w:eastAsia="仿宋_GB2312" w:cs="仿宋_GB2312"/>
          <w:kern w:val="144"/>
          <w:sz w:val="28"/>
          <w:szCs w:val="28"/>
        </w:rPr>
      </w:pPr>
      <w:r>
        <w:rPr>
          <w:rFonts w:hint="eastAsia" w:ascii="仿宋_GB2312" w:hAnsi="仿宋_GB2312" w:eastAsia="仿宋_GB2312" w:cs="仿宋_GB2312"/>
          <w:kern w:val="144"/>
          <w:sz w:val="28"/>
          <w:szCs w:val="28"/>
        </w:rPr>
        <w:t>（四）携带完整资料到招采办报名登记好公司名称、业务代表姓名、联系电话及提供的产品项目。</w:t>
      </w:r>
    </w:p>
    <w:p>
      <w:pPr>
        <w:snapToGrid w:val="0"/>
        <w:spacing w:line="500" w:lineRule="exact"/>
        <w:ind w:firstLine="560" w:firstLineChars="200"/>
        <w:rPr>
          <w:rFonts w:ascii="仿宋_GB2312" w:hAnsi="仿宋_GB2312" w:eastAsia="仿宋_GB2312" w:cs="仿宋_GB2312"/>
          <w:kern w:val="144"/>
          <w:sz w:val="28"/>
          <w:szCs w:val="28"/>
        </w:rPr>
      </w:pPr>
      <w:r>
        <w:rPr>
          <w:rFonts w:hint="eastAsia" w:ascii="仿宋_GB2312" w:hAnsi="仿宋_GB2312" w:eastAsia="仿宋_GB2312" w:cs="仿宋_GB2312"/>
          <w:kern w:val="144"/>
          <w:sz w:val="28"/>
          <w:szCs w:val="28"/>
        </w:rPr>
        <w:t>（五）经取得院内公开采购的项目在验收时，其实际质量与其参加院内公开采购时提供的条件不符或在规定时间内拒签合同以及不按合同条款执行合同者均视为不履行合约，我院将其供应商列入我院黑名单及上报有关部门，在一年内不允许该公司参加我院内公开采购活动。</w:t>
      </w:r>
    </w:p>
    <w:p>
      <w:pPr>
        <w:snapToGrid w:val="0"/>
        <w:spacing w:line="500" w:lineRule="exact"/>
        <w:ind w:firstLine="560" w:firstLineChars="200"/>
        <w:rPr>
          <w:rFonts w:ascii="仿宋_GB2312" w:hAnsi="仿宋_GB2312" w:eastAsia="仿宋_GB2312" w:cs="仿宋_GB2312"/>
          <w:sz w:val="28"/>
          <w:szCs w:val="36"/>
        </w:rPr>
      </w:pPr>
      <w:r>
        <w:rPr>
          <w:rFonts w:hint="eastAsia" w:ascii="仿宋_GB2312" w:hAnsi="仿宋_GB2312" w:eastAsia="仿宋_GB2312" w:cs="仿宋_GB2312"/>
          <w:sz w:val="28"/>
          <w:szCs w:val="36"/>
        </w:rPr>
        <w:t>（六）投标人的产品质量及服务承诺书不能严重低于招标文件中的服务要求标准做出响应，允许出现负偏差，但不得出现严重负偏差。</w:t>
      </w:r>
    </w:p>
    <w:p>
      <w:pPr>
        <w:snapToGrid w:val="0"/>
        <w:spacing w:line="50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sz w:val="28"/>
          <w:szCs w:val="36"/>
        </w:rPr>
        <w:t>（七）评审结束，中标结果公示</w:t>
      </w:r>
      <w:r>
        <w:rPr>
          <w:rFonts w:hint="eastAsia" w:ascii="仿宋_GB2312" w:hAnsi="仿宋_GB2312" w:eastAsia="仿宋_GB2312" w:cs="仿宋_GB2312"/>
          <w:b/>
          <w:bCs/>
          <w:sz w:val="28"/>
          <w:szCs w:val="36"/>
        </w:rPr>
        <w:t>3天</w:t>
      </w:r>
      <w:r>
        <w:rPr>
          <w:rFonts w:hint="eastAsia" w:ascii="仿宋_GB2312" w:hAnsi="仿宋_GB2312" w:eastAsia="仿宋_GB2312" w:cs="仿宋_GB2312"/>
          <w:sz w:val="28"/>
          <w:szCs w:val="36"/>
        </w:rPr>
        <w:t>，中标供应商须在收到我院中标通知书后</w:t>
      </w:r>
      <w:r>
        <w:rPr>
          <w:rFonts w:hint="eastAsia" w:ascii="仿宋_GB2312" w:hAnsi="仿宋_GB2312" w:eastAsia="仿宋_GB2312" w:cs="仿宋_GB2312"/>
          <w:b/>
          <w:bCs/>
          <w:sz w:val="28"/>
          <w:szCs w:val="36"/>
        </w:rPr>
        <w:t>10个工作日内</w:t>
      </w:r>
      <w:r>
        <w:rPr>
          <w:rFonts w:hint="eastAsia" w:ascii="仿宋_GB2312" w:hAnsi="仿宋_GB2312" w:eastAsia="仿宋_GB2312" w:cs="仿宋_GB2312"/>
          <w:sz w:val="28"/>
          <w:szCs w:val="36"/>
        </w:rPr>
        <w:t>到我院签署合同，超过</w:t>
      </w:r>
      <w:r>
        <w:rPr>
          <w:rFonts w:hint="eastAsia" w:ascii="仿宋_GB2312" w:hAnsi="仿宋_GB2312" w:eastAsia="仿宋_GB2312" w:cs="仿宋_GB2312"/>
          <w:b/>
          <w:bCs/>
          <w:sz w:val="28"/>
          <w:szCs w:val="36"/>
        </w:rPr>
        <w:t>10个工作日</w:t>
      </w:r>
      <w:r>
        <w:rPr>
          <w:rFonts w:hint="eastAsia" w:ascii="仿宋_GB2312" w:hAnsi="仿宋_GB2312" w:eastAsia="仿宋_GB2312" w:cs="仿宋_GB2312"/>
          <w:sz w:val="28"/>
          <w:szCs w:val="36"/>
        </w:rPr>
        <w:t>未前来签合同的，我院有权宣布本次采购结果作废，重新确定供应商。</w:t>
      </w:r>
    </w:p>
    <w:p>
      <w:pPr>
        <w:snapToGrid w:val="0"/>
        <w:spacing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三、招标文件的澄清</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1.投标人在收到招标文件后，可以对已发出的招标文件进行必要的澄清或者修改。澄清或者修改应当在原公告发布媒体上发布澄清（更正/变更）公告。</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无论出于何种原因，采购人可以主动地或在解答投标人提出的疑问时对已发出的招标文件进行必要的澄清或修改（更正）的，于投标截止时间前在指定媒体上发布公告，并通知所有报名及购买招标文件的投标人，报名招标文件的投标人在收到澄清或修改（更正）通知后应按要求以书面形式（传真有效）予以确认，如在24小时之内无书面回函则视为同意修改内容，并有责任履行相应的义务。</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3.采购人发出的澄清或修改（更正/变更）的内容为招标文件的组成部分，并对供应商具有约束力。</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对招标文件中描述有歧</w:t>
      </w:r>
      <w:r>
        <w:rPr>
          <w:rFonts w:hint="eastAsia" w:ascii="仿宋" w:hAnsi="仿宋" w:eastAsia="仿宋" w:cs="仿宋"/>
          <w:sz w:val="28"/>
          <w:szCs w:val="28"/>
          <w:lang w:val="en-US" w:eastAsia="zh-CN"/>
        </w:rPr>
        <w:t>义</w:t>
      </w:r>
      <w:r>
        <w:rPr>
          <w:rFonts w:hint="eastAsia" w:ascii="仿宋" w:hAnsi="仿宋" w:eastAsia="仿宋" w:cs="仿宋"/>
          <w:sz w:val="28"/>
          <w:szCs w:val="28"/>
        </w:rPr>
        <w:t>或前后不一致的地方，评标委员会有权进行评判，但对同一条款的评判应适用于每个投标人。</w:t>
      </w:r>
    </w:p>
    <w:p>
      <w:pPr>
        <w:snapToGrid w:val="0"/>
        <w:spacing w:line="460" w:lineRule="exact"/>
        <w:ind w:firstLine="281" w:firstLineChars="100"/>
        <w:rPr>
          <w:rFonts w:ascii="仿宋" w:hAnsi="仿宋" w:eastAsia="仿宋" w:cs="仿宋"/>
          <w:sz w:val="28"/>
          <w:szCs w:val="28"/>
        </w:rPr>
      </w:pPr>
      <w:r>
        <w:rPr>
          <w:rFonts w:hint="eastAsia" w:ascii="仿宋" w:hAnsi="仿宋" w:eastAsia="仿宋" w:cs="仿宋"/>
          <w:b/>
          <w:bCs/>
          <w:sz w:val="28"/>
          <w:szCs w:val="28"/>
        </w:rPr>
        <w:t>四、招标文件的补充和修正</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1、采购人可以对已发出的招标文件进行必要的澄清或者修改。澄清或者修改应当在原公告发布媒体上发布澄清（更正/变更）公告。</w:t>
      </w:r>
    </w:p>
    <w:p>
      <w:pPr>
        <w:pStyle w:val="4"/>
        <w:keepNext w:val="0"/>
        <w:keepLines w:val="0"/>
        <w:spacing w:beforeAutospacing="0" w:afterAutospacing="0" w:line="460" w:lineRule="exact"/>
        <w:ind w:firstLine="560" w:firstLineChars="200"/>
        <w:jc w:val="both"/>
        <w:rPr>
          <w:rFonts w:hint="default" w:ascii="仿宋" w:hAnsi="仿宋" w:eastAsia="仿宋" w:cs="仿宋"/>
          <w:b w:val="0"/>
          <w:bCs w:val="0"/>
          <w:kern w:val="2"/>
          <w:sz w:val="28"/>
          <w:szCs w:val="28"/>
        </w:rPr>
      </w:pPr>
      <w:r>
        <w:rPr>
          <w:rFonts w:ascii="仿宋" w:hAnsi="仿宋" w:eastAsia="仿宋" w:cs="仿宋"/>
          <w:b w:val="0"/>
          <w:bCs w:val="0"/>
          <w:kern w:val="2"/>
          <w:sz w:val="28"/>
          <w:szCs w:val="28"/>
        </w:rPr>
        <w:t>2、采购人对招标文件的补充和修正，将以电子文件等方式发给所有获得招标文件的供应商，补充通知作为招标文件的组成部分，对同意参与招标单位起约束作用。</w:t>
      </w:r>
    </w:p>
    <w:p>
      <w:pPr>
        <w:snapToGrid w:val="0"/>
        <w:spacing w:line="460" w:lineRule="exact"/>
        <w:rPr>
          <w:rFonts w:ascii="仿宋" w:hAnsi="仿宋" w:eastAsia="仿宋" w:cs="仿宋"/>
          <w:b/>
          <w:bCs/>
          <w:sz w:val="28"/>
          <w:szCs w:val="28"/>
        </w:rPr>
      </w:pPr>
      <w:r>
        <w:rPr>
          <w:rFonts w:hint="eastAsia" w:ascii="仿宋" w:hAnsi="仿宋" w:eastAsia="仿宋" w:cs="仿宋"/>
          <w:b/>
          <w:bCs/>
          <w:sz w:val="28"/>
          <w:szCs w:val="28"/>
        </w:rPr>
        <w:t>五、投标文件有效期</w:t>
      </w:r>
    </w:p>
    <w:p>
      <w:pPr>
        <w:numPr>
          <w:ilvl w:val="0"/>
          <w:numId w:val="4"/>
        </w:num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在递交投标文件截止日期之后的60天内有效。</w:t>
      </w:r>
    </w:p>
    <w:p>
      <w:pPr>
        <w:numPr>
          <w:ilvl w:val="0"/>
          <w:numId w:val="4"/>
        </w:num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在原定投标文件有效期满之前，如果出现特殊情况，招采办可以书面形式向投标人提出延长投标文件有效期的要求。</w:t>
      </w:r>
    </w:p>
    <w:p>
      <w:pPr>
        <w:numPr>
          <w:ilvl w:val="0"/>
          <w:numId w:val="4"/>
        </w:num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质疑期限：凡对招标文件有任何质疑的（包括认为招标文件的技术指标或参数存在排他性或歧视性条款），请于开标之日前提出疑问，逾期不予处理。</w:t>
      </w:r>
    </w:p>
    <w:p>
      <w:pPr>
        <w:numPr>
          <w:ilvl w:val="0"/>
          <w:numId w:val="4"/>
        </w:numPr>
        <w:snapToGrid w:val="0"/>
        <w:spacing w:line="500" w:lineRule="exact"/>
        <w:ind w:firstLine="560" w:firstLineChars="200"/>
        <w:sectPr>
          <w:footerReference r:id="rId3" w:type="default"/>
          <w:pgSz w:w="11906" w:h="16838"/>
          <w:pgMar w:top="1440" w:right="1576" w:bottom="1440" w:left="1576" w:header="851" w:footer="992" w:gutter="0"/>
          <w:cols w:space="425" w:num="1"/>
          <w:docGrid w:type="lines" w:linePitch="312" w:charSpace="0"/>
        </w:sectPr>
      </w:pPr>
      <w:r>
        <w:rPr>
          <w:rFonts w:hint="eastAsia" w:ascii="仿宋" w:hAnsi="仿宋" w:eastAsia="仿宋" w:cs="仿宋"/>
          <w:sz w:val="28"/>
          <w:szCs w:val="28"/>
        </w:rPr>
        <w:t>招采办将做出澄清和解答，逾期未提交质疑文件的视同无问题。</w:t>
      </w:r>
    </w:p>
    <w:p>
      <w:pPr>
        <w:numPr>
          <w:ilvl w:val="0"/>
          <w:numId w:val="0"/>
        </w:numPr>
        <w:spacing w:line="560" w:lineRule="exact"/>
        <w:ind w:left="2882" w:leftChars="0"/>
        <w:jc w:val="both"/>
        <w:rPr>
          <w:rFonts w:hint="eastAsia"/>
        </w:rPr>
      </w:pPr>
      <w:r>
        <w:rPr>
          <w:rFonts w:hint="eastAsia" w:ascii="仿宋" w:hAnsi="仿宋" w:eastAsia="仿宋" w:cs="仿宋"/>
          <w:b w:val="0"/>
          <w:bCs w:val="0"/>
          <w:sz w:val="44"/>
          <w:szCs w:val="44"/>
          <w:lang w:val="en-US" w:eastAsia="zh-CN"/>
        </w:rPr>
        <w:t xml:space="preserve">第五章 </w:t>
      </w:r>
      <w:r>
        <w:rPr>
          <w:rFonts w:hint="eastAsia" w:ascii="仿宋" w:hAnsi="仿宋" w:eastAsia="仿宋" w:cs="仿宋"/>
          <w:b w:val="0"/>
          <w:bCs w:val="0"/>
          <w:sz w:val="44"/>
          <w:szCs w:val="44"/>
        </w:rPr>
        <w:t>供应商标书</w:t>
      </w:r>
    </w:p>
    <w:tbl>
      <w:tblPr>
        <w:tblStyle w:val="21"/>
        <w:tblW w:w="8820"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0" w:hRule="atLeast"/>
        </w:trPr>
        <w:tc>
          <w:tcPr>
            <w:tcW w:w="8820" w:type="dxa"/>
            <w:noWrap/>
            <w:vAlign w:val="center"/>
          </w:tcPr>
          <w:p>
            <w:pPr>
              <w:jc w:val="center"/>
              <w:rPr>
                <w:rFonts w:hint="eastAsia" w:ascii="仿宋" w:hAnsi="仿宋" w:eastAsia="仿宋" w:cs="仿宋"/>
                <w:b/>
                <w:bCs/>
                <w:sz w:val="96"/>
                <w:szCs w:val="96"/>
              </w:rPr>
            </w:pPr>
          </w:p>
          <w:p>
            <w:pPr>
              <w:jc w:val="center"/>
              <w:rPr>
                <w:rFonts w:ascii="仿宋" w:hAnsi="仿宋" w:eastAsia="仿宋" w:cs="仿宋"/>
                <w:sz w:val="72"/>
                <w:szCs w:val="72"/>
              </w:rPr>
            </w:pPr>
            <w:r>
              <w:rPr>
                <w:rFonts w:hint="eastAsia" w:ascii="仿宋" w:hAnsi="仿宋" w:eastAsia="仿宋" w:cs="仿宋"/>
                <w:b/>
                <w:bCs/>
                <w:sz w:val="96"/>
                <w:szCs w:val="96"/>
              </w:rPr>
              <w:t>投标书</w:t>
            </w:r>
          </w:p>
          <w:p>
            <w:pPr>
              <w:jc w:val="center"/>
              <w:rPr>
                <w:rFonts w:ascii="仿宋" w:hAnsi="仿宋" w:eastAsia="仿宋" w:cs="仿宋"/>
                <w:sz w:val="72"/>
                <w:szCs w:val="72"/>
              </w:rPr>
            </w:pPr>
          </w:p>
          <w:p>
            <w:pPr>
              <w:rPr>
                <w:rFonts w:ascii="仿宋" w:hAnsi="仿宋" w:eastAsia="仿宋" w:cs="仿宋"/>
                <w:sz w:val="72"/>
                <w:szCs w:val="72"/>
              </w:rPr>
            </w:pPr>
          </w:p>
          <w:p>
            <w:pPr>
              <w:snapToGrid w:val="0"/>
              <w:spacing w:line="360" w:lineRule="auto"/>
              <w:ind w:left="2200" w:hanging="2200" w:hangingChars="500"/>
              <w:rPr>
                <w:rFonts w:hint="eastAsia" w:ascii="仿宋_GB2312" w:hAnsi="仿宋_GB2312" w:eastAsia="仿宋_GB2312" w:cs="仿宋_GB2312"/>
                <w:sz w:val="44"/>
                <w:szCs w:val="44"/>
                <w:lang w:val="en-US" w:eastAsia="zh-CN"/>
              </w:rPr>
            </w:pPr>
            <w:r>
              <w:rPr>
                <w:rFonts w:hint="eastAsia" w:ascii="仿宋_GB2312" w:hAnsi="仿宋_GB2312" w:eastAsia="仿宋_GB2312" w:cs="仿宋_GB2312"/>
                <w:sz w:val="44"/>
                <w:szCs w:val="44"/>
              </w:rPr>
              <w:t>项目</w:t>
            </w:r>
            <w:r>
              <w:rPr>
                <w:rFonts w:hint="eastAsia" w:ascii="仿宋_GB2312" w:hAnsi="仿宋_GB2312" w:eastAsia="仿宋_GB2312" w:cs="仿宋_GB2312"/>
                <w:sz w:val="44"/>
                <w:szCs w:val="44"/>
                <w:lang w:val="en-US" w:eastAsia="zh-CN"/>
              </w:rPr>
              <w:t>名称:医用污水处理设施保养维护、运行</w:t>
            </w:r>
          </w:p>
          <w:p>
            <w:pPr>
              <w:snapToGrid w:val="0"/>
              <w:spacing w:line="360" w:lineRule="auto"/>
              <w:ind w:left="2194" w:leftChars="1045" w:firstLine="0" w:firstLineChars="0"/>
              <w:rPr>
                <w:rFonts w:hint="eastAsia" w:ascii="仿宋_GB2312" w:hAnsi="仿宋_GB2312" w:eastAsia="仿宋_GB2312" w:cs="仿宋_GB2312"/>
                <w:sz w:val="44"/>
                <w:szCs w:val="44"/>
                <w:lang w:val="en-US" w:eastAsia="zh-CN"/>
              </w:rPr>
            </w:pPr>
            <w:r>
              <w:rPr>
                <w:rFonts w:hint="eastAsia" w:ascii="仿宋_GB2312" w:hAnsi="仿宋_GB2312" w:eastAsia="仿宋_GB2312" w:cs="仿宋_GB2312"/>
                <w:sz w:val="44"/>
                <w:szCs w:val="44"/>
                <w:lang w:val="en-US" w:eastAsia="zh-CN"/>
              </w:rPr>
              <w:t>管理服务</w:t>
            </w:r>
          </w:p>
          <w:p>
            <w:pPr>
              <w:pStyle w:val="28"/>
              <w:spacing w:line="480" w:lineRule="exact"/>
              <w:ind w:left="0" w:leftChars="0" w:firstLine="0" w:firstLineChars="0"/>
              <w:jc w:val="center"/>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（深龙七医采[LGQY202</w:t>
            </w:r>
            <w:r>
              <w:rPr>
                <w:rFonts w:hint="eastAsia" w:ascii="仿宋_GB2312" w:hAnsi="仿宋_GB2312" w:eastAsia="仿宋_GB2312" w:cs="仿宋_GB2312"/>
                <w:sz w:val="36"/>
                <w:szCs w:val="36"/>
                <w:lang w:val="en-US" w:eastAsia="zh-CN"/>
              </w:rPr>
              <w:t>4</w:t>
            </w:r>
            <w:r>
              <w:rPr>
                <w:rFonts w:hint="eastAsia" w:ascii="仿宋_GB2312" w:hAnsi="仿宋_GB2312" w:eastAsia="仿宋_GB2312" w:cs="仿宋_GB2312"/>
                <w:sz w:val="36"/>
                <w:szCs w:val="36"/>
              </w:rPr>
              <w:t>ZW</w:t>
            </w:r>
            <w:r>
              <w:rPr>
                <w:rFonts w:hint="eastAsia" w:ascii="仿宋_GB2312" w:hAnsi="仿宋_GB2312" w:eastAsia="仿宋_GB2312" w:cs="仿宋_GB2312"/>
                <w:sz w:val="36"/>
                <w:szCs w:val="36"/>
                <w:lang w:val="en-US" w:eastAsia="zh-CN"/>
              </w:rPr>
              <w:t>006</w:t>
            </w:r>
            <w:r>
              <w:rPr>
                <w:rFonts w:hint="eastAsia" w:ascii="仿宋_GB2312" w:hAnsi="仿宋_GB2312" w:eastAsia="仿宋_GB2312" w:cs="仿宋_GB2312"/>
                <w:sz w:val="36"/>
                <w:szCs w:val="36"/>
              </w:rPr>
              <w:t>]）</w:t>
            </w:r>
          </w:p>
          <w:p>
            <w:pPr>
              <w:pStyle w:val="28"/>
              <w:spacing w:line="480" w:lineRule="exact"/>
              <w:ind w:left="0" w:leftChars="0" w:firstLine="0" w:firstLineChars="0"/>
              <w:jc w:val="center"/>
              <w:rPr>
                <w:rFonts w:hint="eastAsia" w:ascii="仿宋_GB2312" w:hAnsi="仿宋_GB2312" w:eastAsia="仿宋_GB2312" w:cs="仿宋_GB2312"/>
                <w:sz w:val="44"/>
                <w:szCs w:val="44"/>
              </w:rPr>
            </w:pPr>
          </w:p>
          <w:p>
            <w:pPr>
              <w:jc w:val="center"/>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采购单位：深圳市龙岗区第</w:t>
            </w:r>
            <w:r>
              <w:rPr>
                <w:rFonts w:hint="eastAsia" w:ascii="仿宋_GB2312" w:hAnsi="仿宋_GB2312" w:eastAsia="仿宋_GB2312" w:cs="仿宋_GB2312"/>
                <w:sz w:val="44"/>
                <w:szCs w:val="44"/>
                <w:lang w:val="en-US" w:eastAsia="zh-CN"/>
              </w:rPr>
              <w:t>七</w:t>
            </w:r>
            <w:r>
              <w:rPr>
                <w:rFonts w:hint="eastAsia" w:ascii="仿宋_GB2312" w:hAnsi="仿宋_GB2312" w:eastAsia="仿宋_GB2312" w:cs="仿宋_GB2312"/>
                <w:sz w:val="44"/>
                <w:szCs w:val="44"/>
              </w:rPr>
              <w:t>人民医院</w:t>
            </w:r>
          </w:p>
          <w:p>
            <w:pPr>
              <w:jc w:val="center"/>
              <w:rPr>
                <w:rFonts w:hint="eastAsia" w:ascii="仿宋_GB2312" w:hAnsi="仿宋_GB2312" w:eastAsia="仿宋_GB2312" w:cs="仿宋_GB2312"/>
                <w:b/>
                <w:sz w:val="44"/>
                <w:szCs w:val="44"/>
              </w:rPr>
            </w:pPr>
            <w:r>
              <w:rPr>
                <w:rFonts w:hint="eastAsia" w:ascii="仿宋_GB2312" w:hAnsi="仿宋_GB2312" w:eastAsia="仿宋_GB2312" w:cs="仿宋_GB2312"/>
                <w:b/>
                <w:sz w:val="44"/>
                <w:szCs w:val="44"/>
              </w:rPr>
              <w:t>（</w:t>
            </w:r>
            <w:r>
              <w:rPr>
                <w:rFonts w:hint="eastAsia" w:ascii="仿宋_GB2312" w:hAnsi="仿宋_GB2312" w:eastAsia="仿宋_GB2312" w:cs="仿宋_GB2312"/>
                <w:sz w:val="44"/>
                <w:szCs w:val="44"/>
              </w:rPr>
              <w:t>202</w:t>
            </w:r>
            <w:r>
              <w:rPr>
                <w:rFonts w:hint="eastAsia" w:ascii="仿宋_GB2312" w:hAnsi="仿宋_GB2312" w:eastAsia="仿宋_GB2312" w:cs="仿宋_GB2312"/>
                <w:sz w:val="44"/>
                <w:szCs w:val="44"/>
                <w:lang w:val="en-US" w:eastAsia="zh-CN"/>
              </w:rPr>
              <w:t>4</w:t>
            </w:r>
            <w:r>
              <w:rPr>
                <w:rFonts w:hint="eastAsia" w:ascii="仿宋_GB2312" w:hAnsi="仿宋_GB2312" w:eastAsia="仿宋_GB2312" w:cs="仿宋_GB2312"/>
                <w:sz w:val="44"/>
                <w:szCs w:val="44"/>
              </w:rPr>
              <w:t>年</w:t>
            </w:r>
            <w:r>
              <w:rPr>
                <w:rFonts w:hint="eastAsia" w:ascii="仿宋_GB2312" w:hAnsi="仿宋_GB2312" w:eastAsia="仿宋_GB2312" w:cs="仿宋_GB2312"/>
                <w:b/>
                <w:sz w:val="44"/>
                <w:szCs w:val="44"/>
              </w:rPr>
              <w:t>）</w:t>
            </w:r>
          </w:p>
          <w:p>
            <w:pPr>
              <w:jc w:val="center"/>
              <w:rPr>
                <w:rFonts w:ascii="仿宋" w:hAnsi="仿宋" w:eastAsia="仿宋" w:cs="仿宋"/>
                <w:b/>
                <w:sz w:val="36"/>
                <w:szCs w:val="36"/>
              </w:rPr>
            </w:pPr>
          </w:p>
          <w:p>
            <w:pPr>
              <w:jc w:val="center"/>
              <w:rPr>
                <w:rFonts w:ascii="仿宋" w:hAnsi="仿宋" w:eastAsia="仿宋" w:cs="仿宋"/>
                <w:b/>
                <w:sz w:val="36"/>
                <w:szCs w:val="36"/>
              </w:rPr>
            </w:pPr>
          </w:p>
          <w:p>
            <w:pPr>
              <w:jc w:val="left"/>
              <w:rPr>
                <w:rFonts w:ascii="仿宋" w:hAnsi="仿宋" w:eastAsia="仿宋" w:cs="仿宋"/>
                <w:b/>
                <w:sz w:val="40"/>
                <w:szCs w:val="40"/>
              </w:rPr>
            </w:pPr>
            <w:r>
              <w:rPr>
                <w:rFonts w:hint="eastAsia" w:ascii="仿宋" w:hAnsi="仿宋" w:eastAsia="仿宋" w:cs="仿宋"/>
                <w:b/>
                <w:sz w:val="40"/>
                <w:szCs w:val="40"/>
              </w:rPr>
              <w:t>投标人：</w:t>
            </w:r>
          </w:p>
          <w:p>
            <w:pPr>
              <w:jc w:val="left"/>
              <w:rPr>
                <w:rFonts w:ascii="仿宋" w:hAnsi="仿宋" w:eastAsia="仿宋" w:cs="仿宋"/>
                <w:b/>
                <w:sz w:val="40"/>
                <w:szCs w:val="40"/>
              </w:rPr>
            </w:pPr>
            <w:r>
              <w:rPr>
                <w:rFonts w:hint="eastAsia" w:ascii="仿宋" w:hAnsi="仿宋" w:eastAsia="仿宋" w:cs="仿宋"/>
                <w:b/>
                <w:sz w:val="40"/>
                <w:szCs w:val="40"/>
              </w:rPr>
              <w:t>地  址：</w:t>
            </w:r>
          </w:p>
          <w:p>
            <w:pPr>
              <w:jc w:val="left"/>
              <w:rPr>
                <w:rFonts w:ascii="仿宋" w:hAnsi="仿宋" w:eastAsia="仿宋" w:cs="仿宋"/>
                <w:b/>
                <w:sz w:val="40"/>
                <w:szCs w:val="40"/>
              </w:rPr>
            </w:pPr>
            <w:r>
              <w:rPr>
                <w:rFonts w:hint="eastAsia" w:ascii="仿宋" w:hAnsi="仿宋" w:eastAsia="仿宋" w:cs="仿宋"/>
                <w:b/>
                <w:sz w:val="40"/>
                <w:szCs w:val="40"/>
              </w:rPr>
              <w:t>联系人：</w:t>
            </w:r>
          </w:p>
          <w:p>
            <w:pPr>
              <w:jc w:val="left"/>
              <w:rPr>
                <w:rFonts w:ascii="仿宋" w:hAnsi="仿宋" w:eastAsia="仿宋" w:cs="仿宋"/>
                <w:b/>
                <w:sz w:val="40"/>
                <w:szCs w:val="40"/>
              </w:rPr>
            </w:pPr>
            <w:r>
              <w:rPr>
                <w:rFonts w:hint="eastAsia" w:ascii="仿宋" w:hAnsi="仿宋" w:eastAsia="仿宋" w:cs="仿宋"/>
                <w:b/>
                <w:sz w:val="40"/>
                <w:szCs w:val="40"/>
              </w:rPr>
              <w:t>电  话：</w:t>
            </w:r>
          </w:p>
          <w:p>
            <w:pPr>
              <w:jc w:val="left"/>
              <w:rPr>
                <w:rFonts w:ascii="仿宋" w:hAnsi="仿宋" w:eastAsia="仿宋" w:cs="仿宋"/>
                <w:sz w:val="28"/>
              </w:rPr>
            </w:pPr>
            <w:r>
              <w:rPr>
                <w:rFonts w:hint="eastAsia" w:ascii="仿宋" w:hAnsi="仿宋" w:eastAsia="仿宋" w:cs="仿宋"/>
                <w:b/>
                <w:sz w:val="40"/>
                <w:szCs w:val="40"/>
              </w:rPr>
              <w:t>邮  箱：</w:t>
            </w:r>
          </w:p>
        </w:tc>
      </w:tr>
    </w:tbl>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r>
        <w:rPr>
          <w:rFonts w:hint="eastAsia" w:ascii="宋体" w:hAnsi="宋体" w:eastAsia="宋体" w:cs="宋体"/>
          <w:b/>
          <w:bCs/>
          <w:sz w:val="44"/>
          <w:szCs w:val="44"/>
        </w:rPr>
        <w:t>目录</w:t>
      </w:r>
    </w:p>
    <w:p>
      <w:pPr>
        <w:spacing w:line="500" w:lineRule="exact"/>
        <w:jc w:val="left"/>
        <w:rPr>
          <w:rFonts w:ascii="仿宋_GB2312" w:hAnsi="仿宋_GB2312" w:eastAsia="仿宋_GB2312" w:cs="仿宋_GB2312"/>
          <w:sz w:val="28"/>
          <w:szCs w:val="28"/>
        </w:rPr>
      </w:pPr>
    </w:p>
    <w:p>
      <w:pPr>
        <w:tabs>
          <w:tab w:val="left" w:pos="630"/>
          <w:tab w:val="left" w:pos="840"/>
        </w:tabs>
        <w:spacing w:line="500" w:lineRule="exact"/>
        <w:ind w:left="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封面</w:t>
      </w:r>
    </w:p>
    <w:p>
      <w:pPr>
        <w:tabs>
          <w:tab w:val="left" w:pos="630"/>
          <w:tab w:val="left" w:pos="840"/>
        </w:tabs>
        <w:spacing w:line="500" w:lineRule="exact"/>
        <w:ind w:left="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目录</w:t>
      </w:r>
    </w:p>
    <w:p>
      <w:pPr>
        <w:tabs>
          <w:tab w:val="left" w:pos="630"/>
          <w:tab w:val="left" w:pos="840"/>
        </w:tabs>
        <w:spacing w:line="500" w:lineRule="exact"/>
        <w:ind w:left="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投标文件初审表</w:t>
      </w:r>
    </w:p>
    <w:p>
      <w:pPr>
        <w:tabs>
          <w:tab w:val="left" w:pos="630"/>
          <w:tab w:val="left" w:pos="840"/>
        </w:tabs>
        <w:spacing w:line="500" w:lineRule="exact"/>
        <w:ind w:left="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投标函</w:t>
      </w:r>
    </w:p>
    <w:p>
      <w:pPr>
        <w:tabs>
          <w:tab w:val="left" w:pos="630"/>
          <w:tab w:val="left" w:pos="840"/>
        </w:tabs>
        <w:spacing w:line="500" w:lineRule="exact"/>
        <w:ind w:left="42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5.开标一览表</w:t>
      </w:r>
    </w:p>
    <w:p>
      <w:pPr>
        <w:tabs>
          <w:tab w:val="left" w:pos="630"/>
          <w:tab w:val="left" w:pos="840"/>
        </w:tabs>
        <w:spacing w:line="500" w:lineRule="exact"/>
        <w:ind w:left="42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6.医用污水处理设施保养维护、运行管理服务项目明细报价表</w:t>
      </w:r>
    </w:p>
    <w:p>
      <w:pPr>
        <w:tabs>
          <w:tab w:val="left" w:pos="630"/>
          <w:tab w:val="left" w:pos="840"/>
        </w:tabs>
        <w:spacing w:line="500" w:lineRule="exact"/>
        <w:ind w:left="42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7.投标及履约承诺函</w:t>
      </w:r>
    </w:p>
    <w:p>
      <w:pPr>
        <w:tabs>
          <w:tab w:val="left" w:pos="630"/>
          <w:tab w:val="left" w:pos="840"/>
        </w:tabs>
        <w:spacing w:line="500" w:lineRule="exact"/>
        <w:ind w:left="42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8.法人身份证复印件</w:t>
      </w:r>
    </w:p>
    <w:p>
      <w:pPr>
        <w:tabs>
          <w:tab w:val="left" w:pos="630"/>
          <w:tab w:val="left" w:pos="840"/>
        </w:tabs>
        <w:spacing w:line="500" w:lineRule="exact"/>
        <w:ind w:left="42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9.法人授权委托人身份证复印件</w:t>
      </w:r>
    </w:p>
    <w:p>
      <w:pPr>
        <w:tabs>
          <w:tab w:val="left" w:pos="630"/>
          <w:tab w:val="left" w:pos="840"/>
        </w:tabs>
        <w:spacing w:line="500" w:lineRule="exact"/>
        <w:ind w:left="42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10.法定代表人资格证明书</w:t>
      </w:r>
    </w:p>
    <w:p>
      <w:pPr>
        <w:tabs>
          <w:tab w:val="left" w:pos="630"/>
          <w:tab w:val="left" w:pos="840"/>
        </w:tabs>
        <w:spacing w:line="500" w:lineRule="exact"/>
        <w:ind w:left="42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11.法人授权委托证明书</w:t>
      </w:r>
    </w:p>
    <w:p>
      <w:pPr>
        <w:tabs>
          <w:tab w:val="left" w:pos="630"/>
          <w:tab w:val="left" w:pos="840"/>
        </w:tabs>
        <w:spacing w:line="500" w:lineRule="exact"/>
        <w:ind w:left="42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12.供应商“三证合一”（工商营业执照、组织机构代码证和税务登记证）复印件</w:t>
      </w:r>
    </w:p>
    <w:p>
      <w:pPr>
        <w:tabs>
          <w:tab w:val="left" w:pos="630"/>
          <w:tab w:val="left" w:pos="840"/>
        </w:tabs>
        <w:spacing w:line="500" w:lineRule="exact"/>
        <w:ind w:left="42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13.项目实施方案</w:t>
      </w:r>
    </w:p>
    <w:p>
      <w:pPr>
        <w:tabs>
          <w:tab w:val="left" w:pos="630"/>
          <w:tab w:val="left" w:pos="840"/>
        </w:tabs>
        <w:spacing w:line="500" w:lineRule="exact"/>
        <w:ind w:left="42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14.重点难点分析、应对措施及合理化建议</w:t>
      </w:r>
    </w:p>
    <w:p>
      <w:pPr>
        <w:tabs>
          <w:tab w:val="left" w:pos="630"/>
          <w:tab w:val="left" w:pos="840"/>
        </w:tabs>
        <w:spacing w:line="500" w:lineRule="exact"/>
        <w:ind w:left="42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15.维修应急能力</w:t>
      </w:r>
    </w:p>
    <w:p>
      <w:pPr>
        <w:tabs>
          <w:tab w:val="left" w:pos="630"/>
          <w:tab w:val="left" w:pos="840"/>
        </w:tabs>
        <w:spacing w:line="500" w:lineRule="exact"/>
        <w:ind w:left="42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16.履约评价</w:t>
      </w:r>
    </w:p>
    <w:p>
      <w:pPr>
        <w:tabs>
          <w:tab w:val="left" w:pos="630"/>
          <w:tab w:val="left" w:pos="840"/>
        </w:tabs>
        <w:spacing w:line="500" w:lineRule="exact"/>
        <w:ind w:left="42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17.项目完成（服务期满）后的服务承诺</w:t>
      </w:r>
    </w:p>
    <w:p>
      <w:pPr>
        <w:tabs>
          <w:tab w:val="left" w:pos="630"/>
          <w:tab w:val="left" w:pos="840"/>
        </w:tabs>
        <w:spacing w:line="500" w:lineRule="exact"/>
        <w:ind w:left="420"/>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18.认证证书</w:t>
      </w:r>
    </w:p>
    <w:p>
      <w:pPr>
        <w:tabs>
          <w:tab w:val="left" w:pos="630"/>
          <w:tab w:val="left" w:pos="840"/>
        </w:tabs>
        <w:spacing w:line="500" w:lineRule="exact"/>
        <w:ind w:left="42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19.拟安排的项目负责人（主要技术仅一人）</w:t>
      </w:r>
    </w:p>
    <w:p>
      <w:pPr>
        <w:tabs>
          <w:tab w:val="left" w:pos="630"/>
          <w:tab w:val="left" w:pos="840"/>
        </w:tabs>
        <w:spacing w:line="500" w:lineRule="exact"/>
        <w:ind w:left="42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20.项目团队成员（项目负责人除外）</w:t>
      </w:r>
    </w:p>
    <w:p>
      <w:pPr>
        <w:tabs>
          <w:tab w:val="left" w:pos="630"/>
          <w:tab w:val="left" w:pos="840"/>
        </w:tabs>
        <w:spacing w:line="500" w:lineRule="exact"/>
        <w:ind w:left="42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21.同类业绩</w:t>
      </w:r>
    </w:p>
    <w:p>
      <w:pPr>
        <w:tabs>
          <w:tab w:val="left" w:pos="630"/>
          <w:tab w:val="left" w:pos="840"/>
        </w:tabs>
        <w:spacing w:line="500" w:lineRule="exact"/>
        <w:ind w:left="42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22.其他证明材料</w:t>
      </w:r>
    </w:p>
    <w:p>
      <w:pPr>
        <w:pStyle w:val="26"/>
        <w:rPr>
          <w:rFonts w:hint="eastAsia" w:ascii="仿宋_GB2312" w:hAnsi="仿宋_GB2312" w:eastAsia="仿宋_GB2312" w:cs="仿宋_GB2312"/>
          <w:sz w:val="28"/>
          <w:szCs w:val="28"/>
          <w:lang w:val="en-US" w:eastAsia="zh-CN"/>
        </w:rPr>
      </w:pPr>
    </w:p>
    <w:p>
      <w:pPr>
        <w:rPr>
          <w:rFonts w:hint="eastAsia"/>
          <w:lang w:val="en-US" w:eastAsia="zh-CN"/>
        </w:rPr>
      </w:pPr>
    </w:p>
    <w:p>
      <w:pPr>
        <w:pStyle w:val="26"/>
        <w:rPr>
          <w:rFonts w:hint="eastAsia"/>
        </w:rPr>
      </w:pPr>
    </w:p>
    <w:p>
      <w:pPr>
        <w:jc w:val="center"/>
        <w:rPr>
          <w:rFonts w:hint="eastAsia" w:ascii="宋体" w:hAnsi="宋体" w:eastAsia="宋体" w:cs="宋体"/>
          <w:b/>
          <w:bCs/>
          <w:sz w:val="44"/>
          <w:szCs w:val="44"/>
        </w:rPr>
      </w:pPr>
      <w:r>
        <w:rPr>
          <w:rFonts w:hint="eastAsia" w:ascii="宋体" w:hAnsi="宋体" w:eastAsia="宋体" w:cs="宋体"/>
          <w:b/>
          <w:bCs/>
          <w:sz w:val="44"/>
          <w:szCs w:val="44"/>
        </w:rPr>
        <w:t>投 标 函</w:t>
      </w:r>
    </w:p>
    <w:p>
      <w:pPr>
        <w:keepNext w:val="0"/>
        <w:keepLines w:val="0"/>
        <w:pageBreakBefore w:val="0"/>
        <w:widowControl w:val="0"/>
        <w:kinsoku/>
        <w:wordWrap/>
        <w:overflowPunct/>
        <w:topLinePunct w:val="0"/>
        <w:autoSpaceDE/>
        <w:autoSpaceDN/>
        <w:bidi w:val="0"/>
        <w:adjustRightInd/>
        <w:snapToGrid/>
        <w:spacing w:line="560" w:lineRule="exact"/>
        <w:jc w:val="center"/>
        <w:rPr>
          <w:rFonts w:ascii="仿宋" w:hAnsi="仿宋" w:eastAsia="仿宋" w:cs="仿宋"/>
          <w:b/>
          <w:bCs/>
          <w:sz w:val="36"/>
          <w:szCs w:val="44"/>
        </w:rPr>
      </w:pP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深圳市龙岗区第</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人民医院：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我司已经认真仔细阅读了贵单位关于</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的招标文件，完全同意招标文件中的所有条款，愿意按招标文件要求，决定以总价：￥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元（大写：</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元）的投标报价提供与招标文件中描述相一致的产品与服务，并许以如下承诺：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1.</w:t>
      </w:r>
      <w:r>
        <w:rPr>
          <w:rFonts w:hint="eastAsia" w:ascii="仿宋_GB2312" w:hAnsi="仿宋_GB2312" w:eastAsia="仿宋_GB2312" w:cs="仿宋_GB2312"/>
          <w:sz w:val="32"/>
          <w:szCs w:val="32"/>
        </w:rPr>
        <w:t xml:space="preserve">我方愿意向招标人提供与本次招标的相关资料，并对其真实性、合法性、有效性负责。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sz w:val="32"/>
          <w:szCs w:val="32"/>
        </w:rPr>
        <w:t xml:space="preserve">我方将严格履行本投标文件中的全部承诺和责任，并遵守招标文件中对投标人的所有规定。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3.</w:t>
      </w:r>
      <w:r>
        <w:rPr>
          <w:rFonts w:hint="eastAsia" w:ascii="仿宋_GB2312" w:hAnsi="仿宋_GB2312" w:eastAsia="仿宋_GB2312" w:cs="仿宋_GB2312"/>
          <w:sz w:val="32"/>
          <w:szCs w:val="32"/>
        </w:rPr>
        <w:t>我方完全理解招标人有保留在授标之前，任何时候根据评标委员会的意见接受或拒绝任何投标的权</w:t>
      </w:r>
      <w:r>
        <w:rPr>
          <w:rFonts w:hint="eastAsia" w:ascii="仿宋_GB2312" w:hAnsi="仿宋_GB2312" w:eastAsia="仿宋_GB2312" w:cs="仿宋_GB2312"/>
          <w:sz w:val="32"/>
          <w:szCs w:val="32"/>
          <w:lang w:val="en-US" w:eastAsia="zh-CN"/>
        </w:rPr>
        <w:t>利</w:t>
      </w:r>
      <w:r>
        <w:rPr>
          <w:rFonts w:hint="eastAsia" w:ascii="仿宋_GB2312" w:hAnsi="仿宋_GB2312" w:eastAsia="仿宋_GB2312" w:cs="仿宋_GB2312"/>
          <w:sz w:val="32"/>
          <w:szCs w:val="32"/>
        </w:rPr>
        <w:t>，并完全理解招标人对此无解释的义务。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4.</w:t>
      </w:r>
      <w:r>
        <w:rPr>
          <w:rFonts w:hint="eastAsia" w:ascii="仿宋_GB2312" w:hAnsi="仿宋_GB2312" w:eastAsia="仿宋_GB2312" w:cs="仿宋_GB2312"/>
          <w:sz w:val="32"/>
          <w:szCs w:val="32"/>
        </w:rPr>
        <w:t xml:space="preserve">我方完全理解招标人不保证投标价最低的投标人中标。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5.</w:t>
      </w:r>
      <w:r>
        <w:rPr>
          <w:rFonts w:hint="eastAsia" w:ascii="仿宋_GB2312" w:hAnsi="仿宋_GB2312" w:eastAsia="仿宋_GB2312" w:cs="仿宋_GB2312"/>
          <w:sz w:val="32"/>
          <w:szCs w:val="32"/>
        </w:rPr>
        <w:t xml:space="preserve">我方承诺在此次招标过程中涉及的一切应当保密的事项，不向任何第三方泄露，否则承担一切法律责任。  </w:t>
      </w:r>
    </w:p>
    <w:p>
      <w:pPr>
        <w:pStyle w:val="9"/>
        <w:rPr>
          <w:rFonts w:hint="eastAsia"/>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法定代表人或其委托人（签字）：</w:t>
      </w:r>
    </w:p>
    <w:p>
      <w:pPr>
        <w:rPr>
          <w:rFonts w:hint="eastAsia" w:ascii="宋体" w:hAnsi="宋体" w:eastAsia="宋体" w:cs="宋体"/>
          <w:b/>
          <w:bCs/>
          <w:sz w:val="44"/>
          <w:szCs w:val="44"/>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投标单位全称（加盖公章）：</w:t>
      </w:r>
    </w:p>
    <w:p>
      <w:pPr>
        <w:keepNext w:val="0"/>
        <w:keepLines w:val="0"/>
        <w:pageBreakBefore w:val="0"/>
        <w:widowControl w:val="0"/>
        <w:kinsoku/>
        <w:wordWrap/>
        <w:overflowPunct/>
        <w:topLinePunct w:val="0"/>
        <w:autoSpaceDE/>
        <w:autoSpaceDN/>
        <w:bidi w:val="0"/>
        <w:adjustRightInd/>
        <w:snapToGrid/>
        <w:spacing w:line="460" w:lineRule="exact"/>
        <w:jc w:val="center"/>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460" w:lineRule="exact"/>
        <w:jc w:val="center"/>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460" w:lineRule="exact"/>
        <w:jc w:val="center"/>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center"/>
        <w:rPr>
          <w:rFonts w:hint="eastAsia" w:ascii="宋体" w:hAnsi="宋体" w:eastAsia="宋体" w:cs="宋体"/>
          <w:b/>
          <w:bCs/>
          <w:sz w:val="44"/>
          <w:szCs w:val="44"/>
        </w:rPr>
      </w:pPr>
      <w:r>
        <w:rPr>
          <w:rFonts w:hint="eastAsia" w:ascii="宋体" w:hAnsi="宋体" w:eastAsia="宋体" w:cs="宋体"/>
          <w:b/>
          <w:bCs/>
          <w:sz w:val="44"/>
          <w:szCs w:val="44"/>
          <w:lang w:val="en-US" w:eastAsia="zh-CN"/>
        </w:rPr>
        <w:t>投标及履约承诺函</w:t>
      </w:r>
    </w:p>
    <w:p>
      <w:pPr>
        <w:keepNext w:val="0"/>
        <w:keepLines w:val="0"/>
        <w:pageBreakBefore w:val="0"/>
        <w:widowControl w:val="0"/>
        <w:kinsoku/>
        <w:wordWrap/>
        <w:overflowPunct/>
        <w:topLinePunct w:val="0"/>
        <w:autoSpaceDE/>
        <w:autoSpaceDN/>
        <w:bidi w:val="0"/>
        <w:adjustRightInd/>
        <w:snapToGrid/>
        <w:spacing w:line="440" w:lineRule="exac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深圳市龙岗区第七人民医院：</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我公司承诺：</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1.我公司对本招标项目所提供的货物或服务未侵犯知识产权。</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2.我公司保证采购人拥有所投产品完整的所有权，不以保护知识产权或技术保密的名义对所有权和使用权进行任何限制。</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3.我公司保证，具备《中华人民共和国政府采购法》第二十二条第一款的条件以及不违反《中华人民共和国政府采购法实施条例》第十八条的规定。</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我公司保证，参与本项目政府采购活动时不存在被有关部门禁止参与政府采购活动且在有效期内的情况；并且没有在招投标活动中因违反政府采购有关法律法规被暂停投标资格期间或涉嫌违反政府采购有关法律法规并正在接受主管部门调查的情况；我公司在参加本次政府采购活动前3年内在经营活动中没有重大违法记录。</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5.我公司保证，未被列入失信被执行人、重大税收违法案件当事人名单、政府采购严重违法失信行为记录名单。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与其他投标供应商不存在单位负责人为同一人或者存在直接控股、管理关系。</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.我公司在参与本项目投标过程中，严格遵守政府采购相关法律，不弄虚作假，不隐瞒真实情况，不围标串标，不恶意质疑投诉。我公司已清楚，如违反上述要求，贵方有权废除我公司的投标资格。</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.我公司如果中标，做到守信，不偷工减料，依照本项目招标文件需求内容、签署的采购合同及本公司在投标中所作的一切承诺履约。</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一旦我公司中标，我公司承诺在收到中标通知书后,积极联系采购单位，在10个工作日内与采购单位签订服务合同，除非因采购单位原因造成时间延误，否则，贵方有权废除我公司的中标资格，我公司对此无任何异议，并承担相关责任。</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我公司已认真核实了投标文件的全部内容，所有资料均为真实资料。我公司对投标文件中全部投标资料的真实性负责，如被证实我单位的投标文件中存在虚假资料的，则视为我单位隐瞒真实情况、提供虚假资料，我单位愿意接受主管部门作出的行政处罚。</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.我公司保证不转包、不违法分包。</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以上承诺，如有违反，愿依照国家相关法律处理，并承担由此给采购人带来的损失。</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财务负责人/企业负责人/授权委托人的联系方式（可选填）：</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5120" w:firstLine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w:t>
      </w:r>
      <w:r>
        <w:rPr>
          <w:rFonts w:hint="eastAsia" w:ascii="仿宋_GB2312" w:hAnsi="仿宋_GB2312" w:eastAsia="仿宋_GB2312" w:cs="仿宋_GB2312"/>
          <w:sz w:val="32"/>
          <w:szCs w:val="32"/>
          <w:lang w:val="en-US" w:eastAsia="zh-CN"/>
        </w:rPr>
        <w:t>加</w:t>
      </w:r>
      <w:r>
        <w:rPr>
          <w:rFonts w:hint="eastAsia" w:ascii="仿宋_GB2312" w:hAnsi="仿宋_GB2312" w:eastAsia="仿宋_GB2312" w:cs="仿宋_GB2312"/>
          <w:sz w:val="32"/>
          <w:szCs w:val="32"/>
        </w:rPr>
        <w:t>盖公章）</w:t>
      </w:r>
    </w:p>
    <w:p>
      <w:pPr>
        <w:keepNext w:val="0"/>
        <w:keepLines w:val="0"/>
        <w:pageBreakBefore w:val="0"/>
        <w:widowControl w:val="0"/>
        <w:kinsoku/>
        <w:wordWrap/>
        <w:overflowPunct/>
        <w:topLinePunct w:val="0"/>
        <w:autoSpaceDE/>
        <w:autoSpaceDN/>
        <w:bidi w:val="0"/>
        <w:adjustRightInd/>
        <w:snapToGrid/>
        <w:spacing w:line="440" w:lineRule="exact"/>
        <w:ind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  期：     年    月     日</w:t>
      </w:r>
    </w:p>
    <w:p>
      <w:pPr>
        <w:keepNext w:val="0"/>
        <w:keepLines w:val="0"/>
        <w:pageBreakBefore w:val="0"/>
        <w:widowControl w:val="0"/>
        <w:kinsoku/>
        <w:wordWrap/>
        <w:overflowPunct/>
        <w:topLinePunct w:val="0"/>
        <w:autoSpaceDE/>
        <w:autoSpaceDN/>
        <w:bidi w:val="0"/>
        <w:adjustRightInd/>
        <w:snapToGrid/>
        <w:spacing w:line="560" w:lineRule="exact"/>
        <w:ind w:right="0"/>
        <w:jc w:val="center"/>
        <w:rPr>
          <w:rFonts w:hint="eastAsia" w:ascii="宋体" w:hAnsi="宋体" w:cs="宋体"/>
          <w:b/>
          <w:bCs/>
          <w:sz w:val="44"/>
          <w:szCs w:val="44"/>
          <w:lang w:val="en-US" w:eastAsia="zh-CN"/>
        </w:rPr>
      </w:pPr>
      <w:r>
        <w:rPr>
          <w:rFonts w:hint="eastAsia" w:ascii="宋体" w:hAnsi="宋体" w:cs="宋体"/>
          <w:b/>
          <w:bCs/>
          <w:sz w:val="44"/>
          <w:szCs w:val="44"/>
          <w:lang w:val="en-US" w:eastAsia="zh-CN"/>
        </w:rPr>
        <w:t xml:space="preserve"> </w:t>
      </w: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仿宋" w:hAnsi="仿宋" w:eastAsia="仿宋" w:cs="仿宋"/>
          <w:b/>
          <w:bCs/>
          <w:sz w:val="28"/>
          <w:szCs w:val="36"/>
          <w:lang w:val="en-US" w:eastAsia="zh-CN"/>
        </w:rPr>
      </w:pPr>
      <w:r>
        <w:rPr>
          <w:rFonts w:hint="eastAsia" w:ascii="宋体" w:hAnsi="宋体" w:eastAsia="宋体" w:cs="宋体"/>
          <w:b/>
          <w:bCs/>
          <w:sz w:val="44"/>
          <w:szCs w:val="44"/>
          <w:lang w:val="en-US" w:eastAsia="zh-CN"/>
        </w:rPr>
        <w:t>政府采购优惠政策（根据实际情况提供）</w:t>
      </w:r>
    </w:p>
    <w:p>
      <w:pPr>
        <w:pStyle w:val="3"/>
        <w:keepNext w:val="0"/>
        <w:keepLines w:val="0"/>
        <w:pageBreakBefore w:val="0"/>
        <w:widowControl w:val="0"/>
        <w:kinsoku/>
        <w:overflowPunct/>
        <w:topLinePunct w:val="0"/>
        <w:bidi w:val="0"/>
        <w:adjustRightInd/>
        <w:snapToGrid/>
        <w:spacing w:beforeAutospacing="0" w:afterAutospacing="0" w:line="500" w:lineRule="exact"/>
        <w:ind w:right="0"/>
        <w:jc w:val="center"/>
        <w:rPr>
          <w:rFonts w:hint="eastAsia" w:ascii="黑体"/>
          <w:b w:val="0"/>
          <w:sz w:val="32"/>
          <w:szCs w:val="32"/>
        </w:rPr>
      </w:pPr>
    </w:p>
    <w:p>
      <w:pPr>
        <w:pStyle w:val="3"/>
        <w:keepNext w:val="0"/>
        <w:keepLines w:val="0"/>
        <w:pageBreakBefore w:val="0"/>
        <w:widowControl w:val="0"/>
        <w:kinsoku/>
        <w:overflowPunct/>
        <w:topLinePunct w:val="0"/>
        <w:bidi w:val="0"/>
        <w:adjustRightInd/>
        <w:snapToGrid/>
        <w:spacing w:beforeAutospacing="0" w:afterAutospacing="0" w:line="500" w:lineRule="exact"/>
        <w:ind w:right="0" w:firstLine="640" w:firstLineChars="200"/>
        <w:jc w:val="both"/>
        <w:rPr>
          <w:rFonts w:hint="eastAsia" w:ascii="黑体" w:hAnsi="黑体" w:eastAsia="黑体" w:cs="黑体"/>
          <w:bCs/>
          <w:sz w:val="32"/>
          <w:szCs w:val="32"/>
        </w:rPr>
      </w:pPr>
      <w:bookmarkStart w:id="0" w:name="_Hlk72257590"/>
      <w:r>
        <w:rPr>
          <w:rFonts w:hint="eastAsia" w:ascii="黑体" w:hAnsi="黑体" w:eastAsia="黑体" w:cs="黑体"/>
          <w:b w:val="0"/>
          <w:sz w:val="32"/>
          <w:szCs w:val="32"/>
        </w:rPr>
        <w:t>一、投标人情况及资格证明文件</w:t>
      </w:r>
    </w:p>
    <w:p>
      <w:pPr>
        <w:keepNext w:val="0"/>
        <w:keepLines w:val="0"/>
        <w:pageBreakBefore w:val="0"/>
        <w:widowControl w:val="0"/>
        <w:kinsoku/>
        <w:overflowPunct/>
        <w:topLinePunct w:val="0"/>
        <w:bidi w:val="0"/>
        <w:adjustRightInd/>
        <w:snapToGrid/>
        <w:spacing w:beforeAutospacing="0" w:afterAutospacing="0" w:line="500" w:lineRule="exact"/>
        <w:ind w:right="0" w:firstLine="640" w:firstLineChars="200"/>
        <w:jc w:val="left"/>
        <w:outlineLvl w:val="3"/>
        <w:rPr>
          <w:rFonts w:hint="eastAsia" w:ascii="楷体" w:hAnsi="楷体" w:eastAsia="楷体" w:cs="楷体"/>
          <w:bCs/>
          <w:sz w:val="32"/>
          <w:szCs w:val="32"/>
        </w:rPr>
      </w:pPr>
      <w:r>
        <w:rPr>
          <w:rFonts w:hint="eastAsia" w:ascii="楷体" w:hAnsi="楷体" w:eastAsia="楷体" w:cs="楷体"/>
          <w:bCs/>
          <w:sz w:val="32"/>
          <w:szCs w:val="32"/>
        </w:rPr>
        <w:t>（一）投标人资格证明文件</w:t>
      </w:r>
    </w:p>
    <w:p>
      <w:pPr>
        <w:keepNext w:val="0"/>
        <w:keepLines w:val="0"/>
        <w:pageBreakBefore w:val="0"/>
        <w:widowControl w:val="0"/>
        <w:kinsoku/>
        <w:overflowPunct/>
        <w:topLinePunct w:val="0"/>
        <w:bidi w:val="0"/>
        <w:adjustRightInd/>
        <w:snapToGrid/>
        <w:spacing w:beforeAutospacing="0" w:afterAutospacing="0" w:line="500" w:lineRule="exact"/>
        <w:ind w:right="0" w:firstLine="640" w:firstLineChars="200"/>
        <w:rPr>
          <w:b/>
          <w:bCs/>
          <w:sz w:val="32"/>
          <w:szCs w:val="32"/>
        </w:rPr>
      </w:pPr>
      <w:r>
        <w:rPr>
          <w:rFonts w:hint="eastAsia" w:ascii="仿宋_GB2312" w:hAnsi="仿宋_GB2312" w:eastAsia="仿宋_GB2312" w:cs="仿宋_GB2312"/>
          <w:b w:val="0"/>
          <w:bCs w:val="0"/>
          <w:sz w:val="32"/>
          <w:szCs w:val="32"/>
        </w:rPr>
        <w:t>（特别提示：投标人须按本招标文件第一册第一章招标公告 “申请人的资格要求”（即投标人资格要求）提供相关的资格证明资料，未提供或提供不完整、不符合要求的，将作投标无效处理。）</w:t>
      </w:r>
    </w:p>
    <w:bookmarkEnd w:id="0"/>
    <w:p>
      <w:pPr>
        <w:keepNext w:val="0"/>
        <w:keepLines w:val="0"/>
        <w:pageBreakBefore w:val="0"/>
        <w:widowControl w:val="0"/>
        <w:kinsoku/>
        <w:overflowPunct/>
        <w:topLinePunct w:val="0"/>
        <w:bidi w:val="0"/>
        <w:adjustRightInd/>
        <w:snapToGrid/>
        <w:spacing w:beforeAutospacing="0" w:afterAutospacing="0" w:line="500" w:lineRule="exact"/>
        <w:ind w:right="0" w:firstLine="640" w:firstLineChars="200"/>
        <w:jc w:val="left"/>
        <w:outlineLvl w:val="3"/>
        <w:rPr>
          <w:rFonts w:hint="eastAsia" w:ascii="楷体" w:hAnsi="楷体" w:eastAsia="楷体" w:cs="楷体"/>
          <w:bCs/>
          <w:sz w:val="32"/>
          <w:szCs w:val="32"/>
        </w:rPr>
      </w:pPr>
      <w:r>
        <w:rPr>
          <w:rFonts w:hint="eastAsia" w:ascii="楷体" w:hAnsi="楷体" w:eastAsia="楷体" w:cs="楷体"/>
          <w:bCs/>
          <w:sz w:val="32"/>
          <w:szCs w:val="32"/>
        </w:rPr>
        <w:t>（二）中小企业声明函、残疾人福利性单位声明函及监狱企业声明函</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填写指引：</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该部分内容由投标人根据自身实际情况填写，不符合要求的投标人可以不填写或直接删除相应的声明函。投标人提供的声明函不属实的，属于提供虚假资料谋取中标，依照《中华人民共和国政府采购法》等国家有关规定追究相应责任。</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2.该部分内容填写需要参考的相关文件：</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(1)财政部《政府采购促进中小企业发展管理办法》（财库〔2020〕46号）；</w:t>
      </w:r>
    </w:p>
    <w:p>
      <w:pPr>
        <w:spacing w:line="500" w:lineRule="exact"/>
        <w:ind w:firstLine="640" w:firstLineChars="200"/>
        <w:rPr>
          <w:rFonts w:hint="eastAsia" w:ascii="仿宋_GB2312" w:hAnsi="仿宋_GB2312" w:eastAsia="仿宋_GB2312" w:cs="仿宋_GB2312"/>
          <w:sz w:val="32"/>
          <w:szCs w:val="32"/>
        </w:rPr>
      </w:pPr>
      <w:bookmarkStart w:id="1" w:name="_Hlk71925120"/>
      <w:bookmarkEnd w:id="1"/>
      <w:r>
        <w:rPr>
          <w:rFonts w:hint="eastAsia" w:ascii="仿宋_GB2312" w:hAnsi="仿宋_GB2312" w:eastAsia="仿宋_GB2312" w:cs="仿宋_GB2312"/>
          <w:sz w:val="32"/>
          <w:szCs w:val="32"/>
        </w:rPr>
        <w:t>(2)《工业和信息化部、国家统计局、国家发展和改革委员会、财政部关于印发中小企业划型标准规定的通知》（工信部联企业〔2011〕300号，以下简称300号文）；</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(3)《政府采购促进中小企业发展管理办法》（财库〔2020〕46号）；</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(4)《关于印发中小企业划型标准规定的通知》（工信部联企业〔2011〕300号）；</w:t>
      </w:r>
    </w:p>
    <w:p>
      <w:pPr>
        <w:spacing w:line="500" w:lineRule="exact"/>
        <w:ind w:firstLine="640" w:firstLineChars="200"/>
        <w:jc w:val="left"/>
      </w:pPr>
      <w:r>
        <w:rPr>
          <w:rFonts w:hint="eastAsia" w:ascii="仿宋_GB2312" w:hAnsi="仿宋_GB2312" w:eastAsia="仿宋_GB2312" w:cs="仿宋_GB2312"/>
          <w:sz w:val="32"/>
          <w:szCs w:val="32"/>
        </w:rPr>
        <w:t>(5)《统计上大中小微型企业划分办法(2017)》（国统字〔2017〕213号）；</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(6)《关于促进残疾人就业政府采购政策的通知》（财库〔2017〕141号）；</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(7)《关于政府采购支持监狱企业发展有关问题的通知》（财库〔2014〕68号）。</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3、请依照提供的格式和内容填写声明函，不要随意变更格式；声明函不需要盖章或签字；满足多项优惠政策的投标人，不重复享受多项价格扣除政策。</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4、声明函具体填写要求：</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（1）声明是中小企业须填写《中小企业声明函》的以下内容：</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第一处，在“单位名称”下划线处如实填写采购人名称（深圳公共资源交易中心不是本项目的采购人，而是组织实施机构）；</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第二处，在“项目名称”下划线处如实填写采购项目名称；</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第三处，在“标的名称”下划线处填写所采购货物（标的）的具体名称；如果涉及多项货物（标的）为同一企业制造，“标的名称”下划线处可以如实填写多项货物；</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第四处，在“招标文件中明确的所属行业”下划线处填写采购标的对应的中小企业划分标准所属行业；</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处，在“企业名称”下划线处如实填写制造商名称；在“从业人员”、“营业收入”、“资产总额”下划线处如实填写从业人员、营业收入、资产总额；在“中型企业、小型企业、微型企业”下划线处如实依照300号文填写相应的企业类型；从业人员、营业收入、资产总额填报上一年度数据，无上一年度数据的新成立企业可以不填报。</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（2）声明是残疾人福利性单位须填写《残疾人福利性单位声明函》的相关内容，具体参照以上《中小企业声明函》填写要求执行。</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（3）声明是监狱企业须填写《监狱企业声明函》的三项内容（填写位置的字体已加粗），具体参照以上《中小企业声明函》填写要求执行。</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5、声明函的有效性最终由评审委员会判定；如评审委员会判定声明函无效，相关供应商不享受价格扣除（但不作投标无效处理）。</w:t>
      </w:r>
    </w:p>
    <w:p>
      <w:pPr>
        <w:pStyle w:val="3"/>
        <w:keepNext w:val="0"/>
        <w:keepLines w:val="0"/>
        <w:pageBreakBefore w:val="0"/>
        <w:widowControl w:val="0"/>
        <w:kinsoku/>
        <w:overflowPunct/>
        <w:topLinePunct w:val="0"/>
        <w:bidi w:val="0"/>
        <w:adjustRightInd/>
        <w:snapToGrid/>
        <w:spacing w:beforeAutospacing="0" w:afterAutospacing="0" w:line="500" w:lineRule="exact"/>
        <w:ind w:right="0" w:firstLine="640" w:firstLineChars="200"/>
        <w:jc w:val="both"/>
        <w:rPr>
          <w:rFonts w:hint="eastAsia"/>
          <w:b/>
          <w:sz w:val="36"/>
          <w:szCs w:val="36"/>
        </w:rPr>
      </w:pPr>
      <w:r>
        <w:rPr>
          <w:rFonts w:hint="eastAsia" w:ascii="黑体" w:hAnsi="黑体" w:eastAsia="黑体" w:cs="黑体"/>
          <w:b w:val="0"/>
          <w:sz w:val="32"/>
          <w:szCs w:val="32"/>
          <w:lang w:val="en-US" w:eastAsia="zh-CN"/>
        </w:rPr>
        <w:t>二、相关模板</w:t>
      </w:r>
    </w:p>
    <w:p>
      <w:pPr>
        <w:keepNext w:val="0"/>
        <w:keepLines w:val="0"/>
        <w:pageBreakBefore w:val="0"/>
        <w:widowControl w:val="0"/>
        <w:kinsoku/>
        <w:overflowPunct/>
        <w:topLinePunct w:val="0"/>
        <w:bidi w:val="0"/>
        <w:adjustRightInd/>
        <w:snapToGrid/>
        <w:spacing w:beforeAutospacing="0" w:afterAutospacing="0" w:line="500" w:lineRule="exact"/>
        <w:ind w:right="0"/>
        <w:jc w:val="center"/>
        <w:rPr>
          <w:rFonts w:hint="eastAsia"/>
          <w:b/>
          <w:sz w:val="36"/>
          <w:szCs w:val="36"/>
        </w:rPr>
      </w:pPr>
    </w:p>
    <w:p>
      <w:pPr>
        <w:keepNext w:val="0"/>
        <w:keepLines w:val="0"/>
        <w:pageBreakBefore w:val="0"/>
        <w:widowControl w:val="0"/>
        <w:kinsoku/>
        <w:overflowPunct/>
        <w:topLinePunct w:val="0"/>
        <w:bidi w:val="0"/>
        <w:adjustRightInd/>
        <w:snapToGrid/>
        <w:spacing w:beforeAutospacing="0" w:afterAutospacing="0" w:line="500" w:lineRule="exact"/>
        <w:ind w:right="0"/>
        <w:jc w:val="center"/>
        <w:rPr>
          <w:rFonts w:hint="eastAsia"/>
          <w:b/>
          <w:sz w:val="36"/>
          <w:szCs w:val="36"/>
        </w:rPr>
      </w:pPr>
    </w:p>
    <w:p>
      <w:pPr>
        <w:keepNext w:val="0"/>
        <w:keepLines w:val="0"/>
        <w:pageBreakBefore w:val="0"/>
        <w:widowControl w:val="0"/>
        <w:kinsoku/>
        <w:overflowPunct/>
        <w:topLinePunct w:val="0"/>
        <w:bidi w:val="0"/>
        <w:adjustRightInd/>
        <w:snapToGrid/>
        <w:spacing w:beforeAutospacing="0" w:afterAutospacing="0" w:line="500" w:lineRule="exact"/>
        <w:ind w:right="0"/>
        <w:jc w:val="center"/>
        <w:rPr>
          <w:rFonts w:hint="eastAsia"/>
          <w:b/>
          <w:sz w:val="36"/>
          <w:szCs w:val="36"/>
        </w:rPr>
      </w:pPr>
    </w:p>
    <w:p>
      <w:pPr>
        <w:keepNext w:val="0"/>
        <w:keepLines w:val="0"/>
        <w:pageBreakBefore w:val="0"/>
        <w:widowControl w:val="0"/>
        <w:kinsoku/>
        <w:overflowPunct/>
        <w:topLinePunct w:val="0"/>
        <w:bidi w:val="0"/>
        <w:adjustRightInd/>
        <w:snapToGrid/>
        <w:spacing w:beforeAutospacing="0" w:afterAutospacing="0" w:line="500" w:lineRule="exact"/>
        <w:ind w:right="0"/>
        <w:jc w:val="center"/>
        <w:rPr>
          <w:rFonts w:hint="eastAsia"/>
          <w:b/>
          <w:sz w:val="36"/>
          <w:szCs w:val="36"/>
        </w:rPr>
      </w:pPr>
    </w:p>
    <w:p>
      <w:pPr>
        <w:keepNext w:val="0"/>
        <w:keepLines w:val="0"/>
        <w:pageBreakBefore w:val="0"/>
        <w:widowControl w:val="0"/>
        <w:kinsoku/>
        <w:overflowPunct/>
        <w:topLinePunct w:val="0"/>
        <w:bidi w:val="0"/>
        <w:adjustRightInd/>
        <w:snapToGrid/>
        <w:spacing w:beforeAutospacing="0" w:afterAutospacing="0" w:line="500" w:lineRule="exact"/>
        <w:ind w:right="0"/>
        <w:jc w:val="center"/>
        <w:rPr>
          <w:rFonts w:hint="eastAsia"/>
          <w:b/>
          <w:sz w:val="36"/>
          <w:szCs w:val="36"/>
        </w:rPr>
      </w:pPr>
    </w:p>
    <w:p>
      <w:pPr>
        <w:pStyle w:val="9"/>
        <w:rPr>
          <w:rFonts w:hint="eastAsia"/>
          <w:b/>
          <w:sz w:val="36"/>
          <w:szCs w:val="36"/>
        </w:rPr>
      </w:pPr>
    </w:p>
    <w:p>
      <w:pPr>
        <w:rPr>
          <w:rFonts w:hint="eastAsia"/>
          <w:b/>
          <w:sz w:val="36"/>
          <w:szCs w:val="36"/>
        </w:rPr>
      </w:pPr>
    </w:p>
    <w:p>
      <w:pPr>
        <w:pStyle w:val="9"/>
        <w:rPr>
          <w:rFonts w:hint="eastAsia"/>
          <w:b/>
          <w:sz w:val="36"/>
          <w:szCs w:val="36"/>
        </w:rPr>
      </w:pPr>
    </w:p>
    <w:p>
      <w:pPr>
        <w:rPr>
          <w:rFonts w:hint="eastAsia"/>
          <w:b/>
          <w:sz w:val="36"/>
          <w:szCs w:val="36"/>
        </w:rPr>
      </w:pPr>
    </w:p>
    <w:p>
      <w:pPr>
        <w:pStyle w:val="26"/>
        <w:rPr>
          <w:rFonts w:hint="eastAsia"/>
          <w:b/>
          <w:sz w:val="36"/>
          <w:szCs w:val="36"/>
        </w:rPr>
      </w:pPr>
    </w:p>
    <w:p>
      <w:pPr>
        <w:rPr>
          <w:rFonts w:hint="eastAsia"/>
          <w:b/>
          <w:sz w:val="36"/>
          <w:szCs w:val="36"/>
        </w:rPr>
      </w:pPr>
    </w:p>
    <w:p>
      <w:pPr>
        <w:pStyle w:val="9"/>
        <w:rPr>
          <w:rFonts w:hint="eastAsia"/>
          <w:b/>
          <w:sz w:val="36"/>
          <w:szCs w:val="36"/>
        </w:rPr>
      </w:pPr>
    </w:p>
    <w:p>
      <w:pPr>
        <w:pStyle w:val="17"/>
        <w:rPr>
          <w:rFonts w:hint="eastAsia"/>
          <w:b/>
          <w:sz w:val="36"/>
          <w:szCs w:val="36"/>
        </w:rPr>
      </w:pPr>
    </w:p>
    <w:p>
      <w:pPr>
        <w:pStyle w:val="9"/>
        <w:rPr>
          <w:rFonts w:hint="eastAsia"/>
        </w:rPr>
      </w:pPr>
    </w:p>
    <w:p>
      <w:pPr>
        <w:keepNext w:val="0"/>
        <w:keepLines w:val="0"/>
        <w:pageBreakBefore w:val="0"/>
        <w:widowControl w:val="0"/>
        <w:kinsoku/>
        <w:overflowPunct/>
        <w:topLinePunct w:val="0"/>
        <w:bidi w:val="0"/>
        <w:adjustRightInd/>
        <w:snapToGrid/>
        <w:spacing w:beforeAutospacing="0" w:afterAutospacing="0" w:line="500" w:lineRule="exact"/>
        <w:ind w:right="0"/>
        <w:jc w:val="both"/>
        <w:rPr>
          <w:rFonts w:hint="eastAsia"/>
          <w:b/>
          <w:sz w:val="36"/>
          <w:szCs w:val="36"/>
        </w:rPr>
      </w:pPr>
    </w:p>
    <w:p>
      <w:pPr>
        <w:keepNext w:val="0"/>
        <w:keepLines w:val="0"/>
        <w:pageBreakBefore w:val="0"/>
        <w:widowControl w:val="0"/>
        <w:kinsoku/>
        <w:overflowPunct/>
        <w:topLinePunct w:val="0"/>
        <w:bidi w:val="0"/>
        <w:adjustRightInd/>
        <w:snapToGrid/>
        <w:spacing w:beforeAutospacing="0" w:afterAutospacing="0" w:line="500" w:lineRule="exact"/>
        <w:ind w:right="0"/>
        <w:jc w:val="center"/>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6"/>
          <w:szCs w:val="36"/>
        </w:rPr>
        <w:t>（</w:t>
      </w:r>
      <w:r>
        <w:rPr>
          <w:rFonts w:hint="eastAsia" w:ascii="仿宋_GB2312" w:hAnsi="仿宋_GB2312" w:eastAsia="仿宋_GB2312" w:cs="仿宋_GB2312"/>
          <w:b/>
          <w:bCs w:val="0"/>
          <w:sz w:val="36"/>
          <w:szCs w:val="36"/>
          <w:lang w:val="en-US" w:eastAsia="zh-CN"/>
        </w:rPr>
        <w:t>一</w:t>
      </w:r>
      <w:r>
        <w:rPr>
          <w:rFonts w:hint="eastAsia" w:ascii="仿宋_GB2312" w:hAnsi="仿宋_GB2312" w:eastAsia="仿宋_GB2312" w:cs="仿宋_GB2312"/>
          <w:b/>
          <w:bCs w:val="0"/>
          <w:sz w:val="36"/>
          <w:szCs w:val="36"/>
        </w:rPr>
        <w:t>）中小企业声明函</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firstLine="640" w:firstLineChars="200"/>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企业已知悉《政府采购促进中小企业发展管理办法》（财库〔2020〕46号）、《中小企业划型》（工信部联企〔2011〕300号）、《统计上大中小微型企业划分办法（2017）》等规定，承诺提供的声明函内容是真实的，并知悉根据《政府采购促进中小企业发展管理办法》（财库〔2020〕46号）第二十条规定，供应商按照本办法规定提供声明函内容不实的，属于提供虚假材料谋取中标、成交，依照《中华人民共和国政府采购法》等政府采购有关法律法规规定追究响应责任。</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本公司（联合体）郑重声明，根据《政府采购促进中小企业发展管理办法》（财库〔2020〕46号）的规定，本公司（联合体）参加</w:t>
      </w:r>
      <w:r>
        <w:rPr>
          <w:rFonts w:hint="eastAsia" w:ascii="仿宋_GB2312" w:hAnsi="仿宋_GB2312" w:eastAsia="仿宋_GB2312" w:cs="仿宋_GB2312"/>
          <w:b w:val="0"/>
          <w:bCs w:val="0"/>
          <w:sz w:val="32"/>
          <w:szCs w:val="32"/>
          <w:u w:val="single"/>
        </w:rPr>
        <w:t>（单位名称）</w:t>
      </w:r>
      <w:r>
        <w:rPr>
          <w:rFonts w:hint="eastAsia" w:ascii="仿宋_GB2312" w:hAnsi="仿宋_GB2312" w:eastAsia="仿宋_GB2312" w:cs="仿宋_GB2312"/>
          <w:b w:val="0"/>
          <w:bCs w:val="0"/>
          <w:sz w:val="32"/>
          <w:szCs w:val="32"/>
        </w:rPr>
        <w:t>的</w:t>
      </w:r>
      <w:r>
        <w:rPr>
          <w:rFonts w:hint="eastAsia" w:ascii="仿宋_GB2312" w:hAnsi="仿宋_GB2312" w:eastAsia="仿宋_GB2312" w:cs="仿宋_GB2312"/>
          <w:b w:val="0"/>
          <w:bCs w:val="0"/>
          <w:sz w:val="32"/>
          <w:szCs w:val="32"/>
          <w:u w:val="single"/>
        </w:rPr>
        <w:t>（项目名称）</w:t>
      </w:r>
      <w:r>
        <w:rPr>
          <w:rFonts w:hint="eastAsia" w:ascii="仿宋_GB2312" w:hAnsi="仿宋_GB2312" w:eastAsia="仿宋_GB2312" w:cs="仿宋_GB2312"/>
          <w:b w:val="0"/>
          <w:bCs w:val="0"/>
          <w:sz w:val="32"/>
          <w:szCs w:val="32"/>
        </w:rPr>
        <w:t>采购活动，提供的货物全部由符合政策要求的中小企业制造。相关企业（含联合体中的中小企业、签订分包意向协议的中小企业）的具体情况如下：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u w:val="single"/>
        </w:rPr>
        <w:t>（标的名称）</w:t>
      </w:r>
      <w:r>
        <w:rPr>
          <w:rFonts w:hint="eastAsia" w:ascii="仿宋_GB2312" w:hAnsi="仿宋_GB2312" w:eastAsia="仿宋_GB2312" w:cs="仿宋_GB2312"/>
          <w:b w:val="0"/>
          <w:bCs w:val="0"/>
          <w:sz w:val="32"/>
          <w:szCs w:val="32"/>
        </w:rPr>
        <w:t>，属于</w:t>
      </w:r>
      <w:r>
        <w:rPr>
          <w:rFonts w:hint="eastAsia" w:ascii="仿宋_GB2312" w:hAnsi="仿宋_GB2312" w:eastAsia="仿宋_GB2312" w:cs="仿宋_GB2312"/>
          <w:b w:val="0"/>
          <w:bCs w:val="0"/>
          <w:sz w:val="32"/>
          <w:szCs w:val="32"/>
          <w:u w:val="single"/>
        </w:rPr>
        <w:t>（采购文件中明确的所属行业）</w:t>
      </w:r>
      <w:r>
        <w:rPr>
          <w:rFonts w:hint="eastAsia" w:ascii="仿宋_GB2312" w:hAnsi="仿宋_GB2312" w:eastAsia="仿宋_GB2312" w:cs="仿宋_GB2312"/>
          <w:b w:val="0"/>
          <w:bCs w:val="0"/>
          <w:sz w:val="32"/>
          <w:szCs w:val="32"/>
        </w:rPr>
        <w:t>行业；制造商为</w:t>
      </w:r>
      <w:r>
        <w:rPr>
          <w:rFonts w:hint="eastAsia" w:ascii="仿宋_GB2312" w:hAnsi="仿宋_GB2312" w:eastAsia="仿宋_GB2312" w:cs="仿宋_GB2312"/>
          <w:b w:val="0"/>
          <w:bCs w:val="0"/>
          <w:sz w:val="32"/>
          <w:szCs w:val="32"/>
          <w:u w:val="single"/>
        </w:rPr>
        <w:t>（企业名称）</w:t>
      </w:r>
      <w:r>
        <w:rPr>
          <w:rFonts w:hint="eastAsia" w:ascii="仿宋_GB2312" w:hAnsi="仿宋_GB2312" w:eastAsia="仿宋_GB2312" w:cs="仿宋_GB2312"/>
          <w:b w:val="0"/>
          <w:bCs w:val="0"/>
          <w:sz w:val="32"/>
          <w:szCs w:val="32"/>
        </w:rPr>
        <w:t>，从业人员</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人，营业收入为</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万元，资产总额为</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万元，属于</w:t>
      </w:r>
      <w:r>
        <w:rPr>
          <w:rFonts w:hint="eastAsia" w:ascii="仿宋_GB2312" w:hAnsi="仿宋_GB2312" w:eastAsia="仿宋_GB2312" w:cs="仿宋_GB2312"/>
          <w:b w:val="0"/>
          <w:bCs w:val="0"/>
          <w:sz w:val="32"/>
          <w:szCs w:val="32"/>
          <w:u w:val="single"/>
        </w:rPr>
        <w:t>（中型企业、小型企业、微型企业）</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u w:val="single"/>
        </w:rPr>
        <w:t>（标的名称）</w:t>
      </w:r>
      <w:r>
        <w:rPr>
          <w:rFonts w:hint="eastAsia" w:ascii="仿宋_GB2312" w:hAnsi="仿宋_GB2312" w:eastAsia="仿宋_GB2312" w:cs="仿宋_GB2312"/>
          <w:b w:val="0"/>
          <w:bCs w:val="0"/>
          <w:sz w:val="32"/>
          <w:szCs w:val="32"/>
        </w:rPr>
        <w:t>，属于</w:t>
      </w:r>
      <w:r>
        <w:rPr>
          <w:rFonts w:hint="eastAsia" w:ascii="仿宋_GB2312" w:hAnsi="仿宋_GB2312" w:eastAsia="仿宋_GB2312" w:cs="仿宋_GB2312"/>
          <w:b w:val="0"/>
          <w:bCs w:val="0"/>
          <w:sz w:val="32"/>
          <w:szCs w:val="32"/>
          <w:u w:val="single"/>
        </w:rPr>
        <w:t>（采购文件中明确的所属行业）</w:t>
      </w:r>
      <w:r>
        <w:rPr>
          <w:rFonts w:hint="eastAsia" w:ascii="仿宋_GB2312" w:hAnsi="仿宋_GB2312" w:eastAsia="仿宋_GB2312" w:cs="仿宋_GB2312"/>
          <w:b w:val="0"/>
          <w:bCs w:val="0"/>
          <w:sz w:val="32"/>
          <w:szCs w:val="32"/>
        </w:rPr>
        <w:t>行业；制造商为</w:t>
      </w:r>
      <w:r>
        <w:rPr>
          <w:rFonts w:hint="eastAsia" w:ascii="仿宋_GB2312" w:hAnsi="仿宋_GB2312" w:eastAsia="仿宋_GB2312" w:cs="仿宋_GB2312"/>
          <w:b w:val="0"/>
          <w:bCs w:val="0"/>
          <w:sz w:val="32"/>
          <w:szCs w:val="32"/>
          <w:u w:val="single"/>
        </w:rPr>
        <w:t>（企业名称）</w:t>
      </w:r>
      <w:r>
        <w:rPr>
          <w:rFonts w:hint="eastAsia" w:ascii="仿宋_GB2312" w:hAnsi="仿宋_GB2312" w:eastAsia="仿宋_GB2312" w:cs="仿宋_GB2312"/>
          <w:b w:val="0"/>
          <w:bCs w:val="0"/>
          <w:sz w:val="32"/>
          <w:szCs w:val="32"/>
        </w:rPr>
        <w:t>，从业人员</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人，营业收入为</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万元，资产总额为</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万元，属于</w:t>
      </w:r>
      <w:r>
        <w:rPr>
          <w:rFonts w:hint="eastAsia" w:ascii="仿宋_GB2312" w:hAnsi="仿宋_GB2312" w:eastAsia="仿宋_GB2312" w:cs="仿宋_GB2312"/>
          <w:b w:val="0"/>
          <w:bCs w:val="0"/>
          <w:sz w:val="32"/>
          <w:szCs w:val="32"/>
          <w:u w:val="single"/>
        </w:rPr>
        <w:t>（中型企业、小型企业、微型企业）</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本企业对上述声明内容的真实性负责。如有虚假，将依法承担相应责任。</w:t>
      </w:r>
    </w:p>
    <w:p>
      <w:pPr>
        <w:pStyle w:val="9"/>
        <w:rPr>
          <w:rFonts w:hint="eastAsia"/>
        </w:rPr>
      </w:pPr>
    </w:p>
    <w:p>
      <w:pPr>
        <w:keepNext w:val="0"/>
        <w:keepLines w:val="0"/>
        <w:pageBreakBefore w:val="0"/>
        <w:widowControl w:val="0"/>
        <w:kinsoku/>
        <w:wordWrap/>
        <w:overflowPunct/>
        <w:topLinePunct w:val="0"/>
        <w:bidi w:val="0"/>
        <w:adjustRightInd/>
        <w:snapToGrid/>
        <w:spacing w:beforeAutospacing="0" w:afterAutospacing="0" w:line="440" w:lineRule="exact"/>
        <w:ind w:right="0" w:firstLine="420" w:firstLineChars="200"/>
        <w:rPr>
          <w:rFonts w:hint="eastAsia" w:ascii="仿宋_GB2312" w:hAnsi="仿宋_GB2312" w:eastAsia="仿宋_GB2312" w:cs="仿宋_GB2312"/>
          <w:b w:val="0"/>
          <w:bCs w:val="0"/>
          <w:sz w:val="32"/>
          <w:szCs w:val="32"/>
        </w:rPr>
      </w:pPr>
      <w:r>
        <w:rPr>
          <w:rFonts w:hint="eastAsia"/>
          <w:lang w:val="en-US" w:eastAsia="zh-CN"/>
        </w:rPr>
        <w:t xml:space="preserve">                                     </w:t>
      </w:r>
      <w:r>
        <w:rPr>
          <w:rFonts w:hint="eastAsia" w:ascii="仿宋_GB2312" w:hAnsi="仿宋_GB2312" w:eastAsia="仿宋_GB2312" w:cs="仿宋_GB2312"/>
          <w:b w:val="0"/>
          <w:bCs w:val="0"/>
          <w:sz w:val="32"/>
          <w:szCs w:val="32"/>
        </w:rPr>
        <w:t>企业名称（盖章）：</w:t>
      </w:r>
    </w:p>
    <w:p>
      <w:pPr>
        <w:keepNext w:val="0"/>
        <w:keepLines w:val="0"/>
        <w:pageBreakBefore w:val="0"/>
        <w:widowControl w:val="0"/>
        <w:kinsoku/>
        <w:wordWrap/>
        <w:overflowPunct/>
        <w:topLinePunct w:val="0"/>
        <w:bidi w:val="0"/>
        <w:adjustRightInd/>
        <w:snapToGrid/>
        <w:spacing w:beforeAutospacing="0" w:afterAutospacing="0" w:line="440" w:lineRule="exact"/>
        <w:ind w:right="0" w:firstLine="640" w:firstLineChars="200"/>
        <w:rPr>
          <w:rFonts w:hint="eastAsia"/>
          <w:b/>
          <w:bCs w:val="0"/>
          <w:sz w:val="36"/>
          <w:szCs w:val="36"/>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 xml:space="preserve">日期： </w:t>
      </w:r>
    </w:p>
    <w:p>
      <w:pPr>
        <w:keepNext w:val="0"/>
        <w:keepLines w:val="0"/>
        <w:pageBreakBefore w:val="0"/>
        <w:widowControl w:val="0"/>
        <w:kinsoku/>
        <w:overflowPunct/>
        <w:topLinePunct w:val="0"/>
        <w:bidi w:val="0"/>
        <w:adjustRightInd/>
        <w:snapToGrid/>
        <w:spacing w:beforeAutospacing="0" w:afterAutospacing="0" w:line="500" w:lineRule="exact"/>
        <w:ind w:right="0"/>
        <w:jc w:val="center"/>
        <w:rPr>
          <w:rFonts w:hint="eastAsia"/>
          <w:b/>
          <w:bCs w:val="0"/>
          <w:sz w:val="36"/>
          <w:szCs w:val="36"/>
        </w:rPr>
      </w:pPr>
    </w:p>
    <w:p>
      <w:pPr>
        <w:keepNext w:val="0"/>
        <w:keepLines w:val="0"/>
        <w:pageBreakBefore w:val="0"/>
        <w:widowControl w:val="0"/>
        <w:kinsoku/>
        <w:overflowPunct/>
        <w:topLinePunct w:val="0"/>
        <w:bidi w:val="0"/>
        <w:adjustRightInd/>
        <w:snapToGrid/>
        <w:spacing w:beforeAutospacing="0" w:afterAutospacing="0" w:line="500" w:lineRule="exact"/>
        <w:ind w:right="0"/>
        <w:jc w:val="center"/>
        <w:rPr>
          <w:rFonts w:hint="eastAsia"/>
          <w:b/>
          <w:bCs w:val="0"/>
          <w:sz w:val="36"/>
          <w:szCs w:val="36"/>
        </w:rPr>
      </w:pPr>
    </w:p>
    <w:p>
      <w:pPr>
        <w:keepNext w:val="0"/>
        <w:keepLines w:val="0"/>
        <w:pageBreakBefore w:val="0"/>
        <w:widowControl w:val="0"/>
        <w:kinsoku/>
        <w:overflowPunct/>
        <w:topLinePunct w:val="0"/>
        <w:bidi w:val="0"/>
        <w:adjustRightInd/>
        <w:snapToGrid/>
        <w:spacing w:beforeAutospacing="0" w:afterAutospacing="0" w:line="500" w:lineRule="exact"/>
        <w:ind w:right="0"/>
        <w:jc w:val="center"/>
        <w:rPr>
          <w:rFonts w:hint="eastAsia"/>
          <w:b/>
          <w:bCs w:val="0"/>
          <w:sz w:val="36"/>
          <w:szCs w:val="36"/>
        </w:rPr>
      </w:pPr>
      <w:r>
        <w:rPr>
          <w:rFonts w:hint="eastAsia"/>
          <w:b/>
          <w:bCs w:val="0"/>
          <w:sz w:val="36"/>
          <w:szCs w:val="36"/>
        </w:rPr>
        <w:t>（</w:t>
      </w:r>
      <w:r>
        <w:rPr>
          <w:rFonts w:hint="eastAsia"/>
          <w:b/>
          <w:bCs w:val="0"/>
          <w:sz w:val="36"/>
          <w:szCs w:val="36"/>
          <w:lang w:val="en-US" w:eastAsia="zh-CN"/>
        </w:rPr>
        <w:t>二</w:t>
      </w:r>
      <w:r>
        <w:rPr>
          <w:rFonts w:hint="eastAsia"/>
          <w:b/>
          <w:bCs w:val="0"/>
          <w:sz w:val="36"/>
          <w:szCs w:val="36"/>
        </w:rPr>
        <w:t>）残疾人福利性单位声明函</w:t>
      </w:r>
    </w:p>
    <w:p>
      <w:pPr>
        <w:keepNext w:val="0"/>
        <w:keepLines w:val="0"/>
        <w:pageBreakBefore w:val="0"/>
        <w:widowControl w:val="0"/>
        <w:kinsoku/>
        <w:overflowPunct/>
        <w:topLinePunct w:val="0"/>
        <w:bidi w:val="0"/>
        <w:adjustRightInd/>
        <w:snapToGrid/>
        <w:spacing w:beforeAutospacing="0" w:afterAutospacing="0" w:line="500" w:lineRule="exact"/>
        <w:ind w:right="0" w:firstLine="640" w:firstLineChars="200"/>
        <w:jc w:val="lef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adjustRightInd/>
        <w:snapToGrid/>
        <w:spacing w:beforeAutospacing="0" w:afterAutospacing="0" w:line="560" w:lineRule="exact"/>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本单位知悉《促进残疾人就业政府采购政策的通知》（财库〔2017〕141号）的规定，承诺提供的声明函内容是真实的，如提供声明函内容不实，则依法追究相关法律责任。</w:t>
      </w:r>
    </w:p>
    <w:p>
      <w:pPr>
        <w:keepNext w:val="0"/>
        <w:keepLines w:val="0"/>
        <w:pageBreakBefore w:val="0"/>
        <w:widowControl w:val="0"/>
        <w:kinsoku/>
        <w:wordWrap/>
        <w:overflowPunct/>
        <w:topLinePunct w:val="0"/>
        <w:bidi w:val="0"/>
        <w:adjustRightInd/>
        <w:snapToGrid/>
        <w:spacing w:beforeAutospacing="0" w:afterAutospacing="0" w:line="560" w:lineRule="exact"/>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bidi w:val="0"/>
        <w:adjustRightInd/>
        <w:snapToGrid/>
        <w:spacing w:beforeAutospacing="0" w:afterAutospacing="0" w:line="560" w:lineRule="exact"/>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本单位对上述声明的真实性负责。如有虚假，将依法承担相应责任。</w:t>
      </w:r>
    </w:p>
    <w:p>
      <w:pPr>
        <w:pStyle w:val="9"/>
        <w:keepNext w:val="0"/>
        <w:keepLines w:val="0"/>
        <w:pageBreakBefore w:val="0"/>
        <w:widowControl w:val="0"/>
        <w:tabs>
          <w:tab w:val="left" w:pos="562"/>
          <w:tab w:val="left" w:pos="3372"/>
          <w:tab w:val="left" w:pos="3653"/>
        </w:tabs>
        <w:kinsoku/>
        <w:wordWrap/>
        <w:overflowPunct/>
        <w:topLinePunct w:val="0"/>
        <w:bidi w:val="0"/>
        <w:adjustRightInd/>
        <w:snapToGrid/>
        <w:spacing w:beforeAutospacing="0" w:afterAutospacing="0" w:line="560" w:lineRule="exact"/>
        <w:ind w:right="0"/>
        <w:rPr>
          <w:rFonts w:hint="eastAsia" w:ascii="仿宋_GB2312" w:hAnsi="仿宋_GB2312" w:eastAsia="仿宋_GB2312" w:cs="仿宋_GB2312"/>
        </w:rPr>
      </w:pPr>
    </w:p>
    <w:p>
      <w:pPr>
        <w:keepNext w:val="0"/>
        <w:keepLines w:val="0"/>
        <w:pageBreakBefore w:val="0"/>
        <w:widowControl w:val="0"/>
        <w:kinsoku/>
        <w:wordWrap/>
        <w:overflowPunct/>
        <w:topLinePunct w:val="0"/>
        <w:bidi w:val="0"/>
        <w:adjustRightInd/>
        <w:snapToGrid/>
        <w:spacing w:line="560" w:lineRule="exact"/>
        <w:rPr>
          <w:rFonts w:hint="eastAsia"/>
        </w:rPr>
      </w:pPr>
    </w:p>
    <w:p>
      <w:pPr>
        <w:keepNext w:val="0"/>
        <w:keepLines w:val="0"/>
        <w:pageBreakBefore w:val="0"/>
        <w:widowControl w:val="0"/>
        <w:kinsoku/>
        <w:wordWrap/>
        <w:overflowPunct/>
        <w:topLinePunct w:val="0"/>
        <w:bidi w:val="0"/>
        <w:adjustRightInd/>
        <w:snapToGrid/>
        <w:spacing w:beforeAutospacing="0" w:afterAutospacing="0" w:line="560" w:lineRule="exact"/>
        <w:ind w:right="0" w:firstLine="4480" w:firstLineChars="14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单位名称（盖章）：</w:t>
      </w:r>
    </w:p>
    <w:p>
      <w:pPr>
        <w:keepNext w:val="0"/>
        <w:keepLines w:val="0"/>
        <w:pageBreakBefore w:val="0"/>
        <w:widowControl w:val="0"/>
        <w:kinsoku/>
        <w:wordWrap/>
        <w:overflowPunct/>
        <w:topLinePunct w:val="0"/>
        <w:bidi w:val="0"/>
        <w:adjustRightInd/>
        <w:snapToGrid/>
        <w:spacing w:beforeAutospacing="0" w:afterAutospacing="0" w:line="560" w:lineRule="exact"/>
        <w:ind w:right="0" w:firstLine="4480" w:firstLineChars="14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  期：</w:t>
      </w:r>
    </w:p>
    <w:p>
      <w:pPr>
        <w:pStyle w:val="9"/>
        <w:rPr>
          <w:rFonts w:hint="eastAsia" w:ascii="仿宋_GB2312" w:hAnsi="仿宋_GB2312" w:eastAsia="仿宋_GB2312" w:cs="仿宋_GB2312"/>
          <w:sz w:val="32"/>
          <w:szCs w:val="32"/>
        </w:rPr>
      </w:pPr>
    </w:p>
    <w:p>
      <w:pPr>
        <w:pStyle w:val="9"/>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6"/>
        <w:rPr>
          <w:rFonts w:hint="eastAsia"/>
        </w:rPr>
      </w:pPr>
    </w:p>
    <w:p>
      <w:pPr>
        <w:rPr>
          <w:rFonts w:hint="eastAsia"/>
        </w:rPr>
      </w:pPr>
    </w:p>
    <w:p>
      <w:pPr>
        <w:rPr>
          <w:rFonts w:hint="eastAsia"/>
        </w:rPr>
      </w:pPr>
    </w:p>
    <w:p>
      <w:pPr>
        <w:rPr>
          <w:rFonts w:hint="eastAsia"/>
        </w:rPr>
      </w:pPr>
    </w:p>
    <w:p>
      <w:pPr>
        <w:keepNext w:val="0"/>
        <w:keepLines w:val="0"/>
        <w:pageBreakBefore w:val="0"/>
        <w:widowControl w:val="0"/>
        <w:numPr>
          <w:ilvl w:val="0"/>
          <w:numId w:val="5"/>
        </w:numPr>
        <w:kinsoku/>
        <w:overflowPunct/>
        <w:topLinePunct w:val="0"/>
        <w:bidi w:val="0"/>
        <w:adjustRightInd/>
        <w:snapToGrid/>
        <w:spacing w:beforeAutospacing="0" w:afterAutospacing="0" w:line="500" w:lineRule="exact"/>
        <w:ind w:right="0"/>
        <w:jc w:val="center"/>
        <w:rPr>
          <w:rFonts w:hint="eastAsia"/>
          <w:b/>
          <w:sz w:val="36"/>
          <w:szCs w:val="36"/>
        </w:rPr>
      </w:pPr>
      <w:r>
        <w:rPr>
          <w:rFonts w:hint="eastAsia"/>
          <w:b/>
          <w:sz w:val="36"/>
          <w:szCs w:val="36"/>
        </w:rPr>
        <w:t>监狱企业</w:t>
      </w:r>
      <w:r>
        <w:rPr>
          <w:rFonts w:hint="eastAsia"/>
          <w:b/>
          <w:bCs w:val="0"/>
          <w:sz w:val="36"/>
          <w:szCs w:val="36"/>
        </w:rPr>
        <w:t>声明函</w:t>
      </w:r>
    </w:p>
    <w:p>
      <w:pPr>
        <w:pStyle w:val="9"/>
        <w:numPr>
          <w:ilvl w:val="0"/>
          <w:numId w:val="0"/>
        </w:numPr>
        <w:rPr>
          <w:rFonts w:hint="eastAsi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本单位郑重声明，根据《财政部司法部关于政府采购支持监狱企业发展有关问题的通知》（财库〔2014〕68号）的规定，本单位为符合条件的监狱企业，且本单位参加（采购单位名称） 单位的（采购项目名称）项目采购活动，并提供: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本单位制造的货物;□由本单位承担的工程、提供服务;□提供其他监狱企业制造的货物（承诺人在□处打√）。本条所称货物是指单一产品采购项目中的货物，或者非单一产品采购项目中的核心产品（货物）。</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附：省级以上监狱管理局、戒毒管理局（含新疆生产建设兵团）出具的监狱企业证明文件。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firstLine="640" w:firstLineChars="200"/>
        <w:jc w:val="left"/>
        <w:rPr>
          <w:rFonts w:hint="eastAsia" w:ascii="仿宋_GB2312" w:hAnsi="仿宋_GB2312" w:eastAsia="仿宋_GB2312" w:cs="仿宋_GB2312"/>
          <w:sz w:val="32"/>
          <w:szCs w:val="32"/>
        </w:rPr>
      </w:pPr>
    </w:p>
    <w:p>
      <w:pPr>
        <w:pStyle w:val="9"/>
        <w:rPr>
          <w:rFonts w:hint="eastAsi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firstLine="5120" w:firstLineChars="1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单位名称（盖章）：</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firstLine="5120" w:firstLineChars="1600"/>
        <w:jc w:val="left"/>
        <w:rPr>
          <w:rFonts w:hint="eastAsia" w:ascii="Calibri" w:hAnsi="Calibri" w:cs="黑体"/>
          <w:b/>
          <w:kern w:val="2"/>
          <w:sz w:val="32"/>
          <w:szCs w:val="32"/>
          <w:lang w:val="en-US" w:eastAsia="zh-CN" w:bidi="ar-SA"/>
        </w:rPr>
      </w:pPr>
      <w:r>
        <w:rPr>
          <w:rFonts w:hint="eastAsia" w:ascii="仿宋_GB2312" w:hAnsi="仿宋_GB2312" w:eastAsia="仿宋_GB2312" w:cs="仿宋_GB2312"/>
          <w:sz w:val="32"/>
          <w:szCs w:val="32"/>
        </w:rPr>
        <w:t>日  期：</w:t>
      </w:r>
    </w:p>
    <w:p>
      <w:pPr>
        <w:pStyle w:val="3"/>
        <w:keepNext w:val="0"/>
        <w:keepLines w:val="0"/>
        <w:pageBreakBefore w:val="0"/>
        <w:widowControl w:val="0"/>
        <w:kinsoku/>
        <w:overflowPunct/>
        <w:topLinePunct w:val="0"/>
        <w:bidi w:val="0"/>
        <w:adjustRightInd/>
        <w:snapToGrid/>
        <w:spacing w:beforeAutospacing="0" w:afterAutospacing="0" w:line="500" w:lineRule="exact"/>
        <w:ind w:right="0" w:firstLine="643" w:firstLineChars="200"/>
        <w:jc w:val="both"/>
        <w:rPr>
          <w:rFonts w:hint="eastAsia" w:ascii="Calibri" w:hAnsi="Calibri" w:cs="黑体"/>
          <w:b/>
          <w:kern w:val="2"/>
          <w:sz w:val="32"/>
          <w:szCs w:val="32"/>
          <w:lang w:val="en-US" w:eastAsia="zh-CN" w:bidi="ar-SA"/>
        </w:rPr>
      </w:pPr>
    </w:p>
    <w:p>
      <w:pPr>
        <w:pStyle w:val="3"/>
        <w:keepNext w:val="0"/>
        <w:keepLines w:val="0"/>
        <w:pageBreakBefore w:val="0"/>
        <w:widowControl w:val="0"/>
        <w:kinsoku/>
        <w:overflowPunct/>
        <w:topLinePunct w:val="0"/>
        <w:bidi w:val="0"/>
        <w:adjustRightInd/>
        <w:snapToGrid/>
        <w:spacing w:beforeAutospacing="0" w:afterAutospacing="0" w:line="500" w:lineRule="exact"/>
        <w:ind w:right="0" w:firstLine="643" w:firstLineChars="200"/>
        <w:jc w:val="both"/>
        <w:rPr>
          <w:rFonts w:hint="eastAsia" w:ascii="Calibri" w:hAnsi="Calibri" w:cs="黑体"/>
          <w:b/>
          <w:kern w:val="2"/>
          <w:sz w:val="32"/>
          <w:szCs w:val="32"/>
          <w:lang w:val="en-US" w:eastAsia="zh-CN" w:bidi="ar-SA"/>
        </w:rPr>
      </w:pPr>
    </w:p>
    <w:p>
      <w:pPr>
        <w:sectPr>
          <w:headerReference r:id="rId4" w:type="default"/>
          <w:footerReference r:id="rId5" w:type="default"/>
          <w:pgSz w:w="11906" w:h="16838"/>
          <w:pgMar w:top="1644" w:right="1587" w:bottom="1531" w:left="1474" w:header="31" w:footer="1587" w:gutter="0"/>
          <w:pgNumType w:fmt="numberInDash"/>
          <w:cols w:space="720" w:num="1"/>
          <w:docGrid w:type="lines" w:linePitch="312" w:charSpace="0"/>
        </w:sectPr>
      </w:pPr>
    </w:p>
    <w:tbl>
      <w:tblPr>
        <w:tblStyle w:val="21"/>
        <w:tblW w:w="13061" w:type="dxa"/>
        <w:tblInd w:w="0" w:type="dxa"/>
        <w:tblLayout w:type="fixed"/>
        <w:tblCellMar>
          <w:top w:w="15" w:type="dxa"/>
          <w:left w:w="15" w:type="dxa"/>
          <w:bottom w:w="15" w:type="dxa"/>
          <w:right w:w="15" w:type="dxa"/>
        </w:tblCellMar>
      </w:tblPr>
      <w:tblGrid>
        <w:gridCol w:w="574"/>
        <w:gridCol w:w="2745"/>
        <w:gridCol w:w="3262"/>
        <w:gridCol w:w="2490"/>
        <w:gridCol w:w="3990"/>
      </w:tblGrid>
      <w:tr>
        <w:tblPrEx>
          <w:tblCellMar>
            <w:top w:w="15" w:type="dxa"/>
            <w:left w:w="15" w:type="dxa"/>
            <w:bottom w:w="15" w:type="dxa"/>
            <w:right w:w="15" w:type="dxa"/>
          </w:tblCellMar>
        </w:tblPrEx>
        <w:trPr>
          <w:trHeight w:val="705" w:hRule="atLeast"/>
        </w:trPr>
        <w:tc>
          <w:tcPr>
            <w:tcW w:w="13061" w:type="dxa"/>
            <w:gridSpan w:val="5"/>
            <w:noWrap/>
            <w:vAlign w:val="center"/>
          </w:tcPr>
          <w:p>
            <w:pPr>
              <w:widowControl/>
              <w:jc w:val="center"/>
              <w:rPr>
                <w:rFonts w:ascii="仿宋" w:hAnsi="仿宋" w:eastAsia="仿宋" w:cs="仿宋"/>
                <w:b/>
                <w:color w:val="000000"/>
                <w:sz w:val="44"/>
                <w:szCs w:val="44"/>
              </w:rPr>
            </w:pPr>
            <w:r>
              <w:rPr>
                <w:rFonts w:hint="eastAsia" w:ascii="仿宋" w:hAnsi="仿宋" w:eastAsia="仿宋" w:cs="仿宋"/>
                <w:b/>
                <w:color w:val="000000"/>
                <w:kern w:val="0"/>
                <w:sz w:val="44"/>
                <w:szCs w:val="44"/>
              </w:rPr>
              <w:t>开标一览表</w:t>
            </w:r>
          </w:p>
        </w:tc>
      </w:tr>
      <w:tr>
        <w:tblPrEx>
          <w:tblCellMar>
            <w:top w:w="15" w:type="dxa"/>
            <w:left w:w="15" w:type="dxa"/>
            <w:bottom w:w="15" w:type="dxa"/>
            <w:right w:w="15" w:type="dxa"/>
          </w:tblCellMar>
        </w:tblPrEx>
        <w:trPr>
          <w:trHeight w:val="585" w:hRule="atLeast"/>
        </w:trPr>
        <w:tc>
          <w:tcPr>
            <w:tcW w:w="9071"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仿宋" w:hAnsi="仿宋" w:eastAsia="仿宋" w:cs="仿宋"/>
                <w:color w:val="000000"/>
                <w:sz w:val="22"/>
                <w:szCs w:val="22"/>
                <w:lang w:val="en-US" w:eastAsia="zh-CN"/>
              </w:rPr>
            </w:pPr>
            <w:r>
              <w:rPr>
                <w:rFonts w:hint="eastAsia" w:ascii="仿宋" w:hAnsi="仿宋" w:eastAsia="仿宋" w:cs="仿宋"/>
                <w:color w:val="000000"/>
                <w:kern w:val="0"/>
                <w:sz w:val="28"/>
                <w:szCs w:val="28"/>
              </w:rPr>
              <w:t>投标人名称：　</w:t>
            </w:r>
            <w:r>
              <w:rPr>
                <w:rFonts w:hint="eastAsia" w:ascii="仿宋" w:hAnsi="仿宋" w:eastAsia="仿宋" w:cs="仿宋"/>
                <w:color w:val="000000"/>
                <w:kern w:val="0"/>
                <w:sz w:val="22"/>
                <w:szCs w:val="22"/>
              </w:rPr>
              <w:t>　　　　　　　　　　　　　　　　　　　　　　　　　　　　</w:t>
            </w:r>
          </w:p>
        </w:tc>
        <w:tc>
          <w:tcPr>
            <w:tcW w:w="3990" w:type="dxa"/>
            <w:tcBorders>
              <w:top w:val="single" w:color="000000" w:sz="4" w:space="0"/>
              <w:left w:val="single" w:color="000000" w:sz="4" w:space="0"/>
              <w:bottom w:val="single" w:color="000000" w:sz="4" w:space="0"/>
              <w:right w:val="single" w:color="000000" w:sz="4" w:space="0"/>
            </w:tcBorders>
            <w:noWrap/>
            <w:vAlign w:val="center"/>
          </w:tcPr>
          <w:p>
            <w:pPr>
              <w:widowControl/>
              <w:ind w:firstLine="280" w:firstLineChars="100"/>
              <w:jc w:val="left"/>
              <w:rPr>
                <w:rFonts w:ascii="仿宋" w:hAnsi="仿宋" w:eastAsia="仿宋" w:cs="仿宋"/>
                <w:color w:val="000000"/>
                <w:sz w:val="22"/>
                <w:szCs w:val="22"/>
              </w:rPr>
            </w:pPr>
            <w:r>
              <w:rPr>
                <w:rFonts w:hint="eastAsia" w:ascii="仿宋" w:hAnsi="仿宋" w:eastAsia="仿宋" w:cs="仿宋"/>
                <w:color w:val="000000"/>
                <w:kern w:val="0"/>
                <w:sz w:val="28"/>
                <w:szCs w:val="28"/>
              </w:rPr>
              <w:t>采购项目编号:LGQY202</w:t>
            </w:r>
            <w:r>
              <w:rPr>
                <w:rFonts w:hint="eastAsia" w:ascii="仿宋" w:hAnsi="仿宋" w:eastAsia="仿宋" w:cs="仿宋"/>
                <w:color w:val="000000"/>
                <w:kern w:val="0"/>
                <w:sz w:val="28"/>
                <w:szCs w:val="28"/>
                <w:lang w:val="en-US" w:eastAsia="zh-CN"/>
              </w:rPr>
              <w:t>4</w:t>
            </w:r>
            <w:r>
              <w:rPr>
                <w:rFonts w:hint="eastAsia" w:ascii="仿宋" w:hAnsi="仿宋" w:eastAsia="仿宋" w:cs="仿宋"/>
                <w:color w:val="000000"/>
                <w:kern w:val="0"/>
                <w:sz w:val="28"/>
                <w:szCs w:val="28"/>
              </w:rPr>
              <w:t>ZW0</w:t>
            </w:r>
            <w:r>
              <w:rPr>
                <w:rFonts w:hint="eastAsia" w:ascii="仿宋" w:hAnsi="仿宋" w:eastAsia="仿宋" w:cs="仿宋"/>
                <w:color w:val="000000"/>
                <w:kern w:val="0"/>
                <w:sz w:val="28"/>
                <w:szCs w:val="28"/>
                <w:lang w:val="en-US" w:eastAsia="zh-CN"/>
              </w:rPr>
              <w:t>06</w:t>
            </w:r>
          </w:p>
        </w:tc>
      </w:tr>
      <w:tr>
        <w:tblPrEx>
          <w:tblCellMar>
            <w:top w:w="15" w:type="dxa"/>
            <w:left w:w="15" w:type="dxa"/>
            <w:bottom w:w="15" w:type="dxa"/>
            <w:right w:w="15" w:type="dxa"/>
          </w:tblCellMar>
        </w:tblPrEx>
        <w:trPr>
          <w:trHeight w:val="759" w:hRule="atLeast"/>
        </w:trPr>
        <w:tc>
          <w:tcPr>
            <w:tcW w:w="57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 w:hAnsi="仿宋" w:eastAsia="仿宋" w:cs="仿宋"/>
                <w:color w:val="000000"/>
                <w:sz w:val="24"/>
              </w:rPr>
            </w:pPr>
            <w:r>
              <w:rPr>
                <w:rFonts w:hint="eastAsia" w:ascii="仿宋" w:hAnsi="仿宋" w:eastAsia="仿宋" w:cs="仿宋"/>
                <w:color w:val="000000"/>
                <w:kern w:val="0"/>
                <w:sz w:val="24"/>
              </w:rPr>
              <w:t>序号</w:t>
            </w:r>
          </w:p>
        </w:tc>
        <w:tc>
          <w:tcPr>
            <w:tcW w:w="600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color w:val="000000"/>
                <w:sz w:val="24"/>
                <w:lang w:eastAsia="zh-CN"/>
              </w:rPr>
            </w:pPr>
            <w:r>
              <w:rPr>
                <w:rFonts w:hint="eastAsia" w:ascii="仿宋" w:hAnsi="仿宋" w:eastAsia="仿宋" w:cs="仿宋"/>
                <w:color w:val="000000"/>
                <w:kern w:val="0"/>
                <w:sz w:val="24"/>
                <w:lang w:val="en-US" w:eastAsia="zh-CN"/>
              </w:rPr>
              <w:t>项目</w:t>
            </w:r>
            <w:r>
              <w:rPr>
                <w:rFonts w:hint="eastAsia" w:ascii="仿宋" w:hAnsi="仿宋" w:eastAsia="仿宋" w:cs="仿宋"/>
                <w:color w:val="000000"/>
                <w:kern w:val="0"/>
                <w:sz w:val="24"/>
              </w:rPr>
              <w:t>名称</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color w:val="000000"/>
                <w:sz w:val="24"/>
                <w:lang w:eastAsia="zh-CN"/>
              </w:rPr>
            </w:pPr>
            <w:r>
              <w:rPr>
                <w:rFonts w:hint="eastAsia" w:ascii="仿宋" w:hAnsi="仿宋" w:eastAsia="仿宋" w:cs="仿宋"/>
                <w:color w:val="000000"/>
                <w:kern w:val="0"/>
                <w:sz w:val="24"/>
              </w:rPr>
              <w:t>总价</w:t>
            </w:r>
            <w:r>
              <w:rPr>
                <w:rFonts w:hint="eastAsia" w:ascii="仿宋" w:hAnsi="仿宋" w:eastAsia="仿宋" w:cs="仿宋"/>
                <w:color w:val="000000"/>
                <w:kern w:val="0"/>
                <w:sz w:val="24"/>
                <w:lang w:eastAsia="zh-CN"/>
              </w:rPr>
              <w:t>（</w:t>
            </w:r>
            <w:r>
              <w:rPr>
                <w:rFonts w:hint="eastAsia" w:ascii="仿宋" w:hAnsi="仿宋" w:eastAsia="仿宋" w:cs="仿宋"/>
                <w:color w:val="000000"/>
                <w:kern w:val="0"/>
                <w:sz w:val="24"/>
                <w:lang w:val="en-US" w:eastAsia="zh-CN"/>
              </w:rPr>
              <w:t>元</w:t>
            </w:r>
            <w:r>
              <w:rPr>
                <w:rFonts w:hint="eastAsia" w:ascii="仿宋" w:hAnsi="仿宋" w:eastAsia="仿宋" w:cs="仿宋"/>
                <w:color w:val="000000"/>
                <w:kern w:val="0"/>
                <w:sz w:val="24"/>
                <w:lang w:eastAsia="zh-CN"/>
              </w:rPr>
              <w:t>）</w:t>
            </w:r>
          </w:p>
        </w:tc>
        <w:tc>
          <w:tcPr>
            <w:tcW w:w="399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 w:hAnsi="仿宋" w:eastAsia="仿宋" w:cs="仿宋"/>
                <w:color w:val="000000"/>
                <w:sz w:val="24"/>
              </w:rPr>
            </w:pPr>
            <w:r>
              <w:rPr>
                <w:rFonts w:hint="eastAsia" w:ascii="仿宋" w:hAnsi="仿宋" w:eastAsia="仿宋" w:cs="仿宋"/>
                <w:color w:val="000000"/>
                <w:kern w:val="0"/>
                <w:sz w:val="24"/>
              </w:rPr>
              <w:t>备注</w:t>
            </w:r>
          </w:p>
        </w:tc>
      </w:tr>
      <w:tr>
        <w:tblPrEx>
          <w:tblCellMar>
            <w:top w:w="15" w:type="dxa"/>
            <w:left w:w="15" w:type="dxa"/>
            <w:bottom w:w="15" w:type="dxa"/>
            <w:right w:w="15" w:type="dxa"/>
          </w:tblCellMar>
        </w:tblPrEx>
        <w:trPr>
          <w:trHeight w:val="655" w:hRule="atLeast"/>
        </w:trPr>
        <w:tc>
          <w:tcPr>
            <w:tcW w:w="574"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color w:val="000000"/>
                <w:sz w:val="22"/>
                <w:szCs w:val="22"/>
              </w:rPr>
            </w:pPr>
          </w:p>
        </w:tc>
        <w:tc>
          <w:tcPr>
            <w:tcW w:w="600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2"/>
                <w:szCs w:val="22"/>
              </w:rPr>
            </w:pPr>
          </w:p>
        </w:tc>
        <w:tc>
          <w:tcPr>
            <w:tcW w:w="249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2"/>
                <w:szCs w:val="22"/>
              </w:rPr>
            </w:pPr>
          </w:p>
        </w:tc>
        <w:tc>
          <w:tcPr>
            <w:tcW w:w="3990"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color w:val="000000"/>
                <w:sz w:val="22"/>
                <w:szCs w:val="22"/>
              </w:rPr>
            </w:pPr>
          </w:p>
        </w:tc>
      </w:tr>
      <w:tr>
        <w:tblPrEx>
          <w:tblCellMar>
            <w:top w:w="15" w:type="dxa"/>
            <w:left w:w="15" w:type="dxa"/>
            <w:bottom w:w="15" w:type="dxa"/>
            <w:right w:w="15" w:type="dxa"/>
          </w:tblCellMar>
        </w:tblPrEx>
        <w:trPr>
          <w:trHeight w:val="645" w:hRule="atLeast"/>
        </w:trPr>
        <w:tc>
          <w:tcPr>
            <w:tcW w:w="33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 w:hAnsi="仿宋" w:eastAsia="仿宋" w:cs="仿宋"/>
                <w:color w:val="000000"/>
                <w:sz w:val="22"/>
                <w:szCs w:val="22"/>
              </w:rPr>
            </w:pPr>
            <w:r>
              <w:rPr>
                <w:rFonts w:hint="eastAsia" w:ascii="仿宋" w:hAnsi="仿宋" w:eastAsia="仿宋" w:cs="仿宋"/>
                <w:color w:val="000000"/>
                <w:kern w:val="0"/>
                <w:sz w:val="22"/>
                <w:szCs w:val="22"/>
              </w:rPr>
              <w:t>投标总价(人民币大写)</w:t>
            </w:r>
          </w:p>
        </w:tc>
        <w:tc>
          <w:tcPr>
            <w:tcW w:w="326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2"/>
                <w:szCs w:val="22"/>
              </w:rPr>
            </w:pPr>
          </w:p>
        </w:tc>
        <w:tc>
          <w:tcPr>
            <w:tcW w:w="2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color w:val="000000"/>
                <w:sz w:val="22"/>
                <w:szCs w:val="22"/>
                <w:lang w:eastAsia="zh-CN"/>
              </w:rPr>
            </w:pPr>
            <w:r>
              <w:rPr>
                <w:rFonts w:hint="eastAsia" w:ascii="仿宋" w:hAnsi="仿宋" w:eastAsia="仿宋" w:cs="仿宋"/>
                <w:color w:val="000000"/>
                <w:kern w:val="0"/>
                <w:sz w:val="22"/>
                <w:szCs w:val="22"/>
              </w:rPr>
              <w:t>人民币小写</w:t>
            </w:r>
            <w:r>
              <w:rPr>
                <w:rFonts w:hint="eastAsia" w:ascii="仿宋" w:hAnsi="仿宋" w:eastAsia="仿宋" w:cs="仿宋"/>
                <w:color w:val="000000"/>
                <w:kern w:val="0"/>
                <w:sz w:val="22"/>
                <w:szCs w:val="22"/>
                <w:lang w:eastAsia="zh-CN"/>
              </w:rPr>
              <w:t>（</w:t>
            </w:r>
            <w:r>
              <w:rPr>
                <w:rFonts w:hint="eastAsia" w:ascii="仿宋" w:hAnsi="仿宋" w:eastAsia="仿宋" w:cs="仿宋"/>
                <w:color w:val="000000"/>
                <w:kern w:val="0"/>
                <w:sz w:val="22"/>
                <w:szCs w:val="22"/>
                <w:lang w:val="en-US" w:eastAsia="zh-CN"/>
              </w:rPr>
              <w:t>元</w:t>
            </w:r>
            <w:r>
              <w:rPr>
                <w:rFonts w:hint="eastAsia" w:ascii="仿宋" w:hAnsi="仿宋" w:eastAsia="仿宋" w:cs="仿宋"/>
                <w:color w:val="000000"/>
                <w:kern w:val="0"/>
                <w:sz w:val="22"/>
                <w:szCs w:val="22"/>
                <w:lang w:eastAsia="zh-CN"/>
              </w:rPr>
              <w:t>）</w:t>
            </w:r>
          </w:p>
        </w:tc>
        <w:tc>
          <w:tcPr>
            <w:tcW w:w="399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2"/>
                <w:szCs w:val="22"/>
              </w:rPr>
            </w:pPr>
          </w:p>
        </w:tc>
      </w:tr>
    </w:tbl>
    <w:p>
      <w:pPr>
        <w:numPr>
          <w:ilvl w:val="0"/>
          <w:numId w:val="6"/>
        </w:numPr>
        <w:spacing w:line="500" w:lineRule="exact"/>
        <w:jc w:val="left"/>
        <w:rPr>
          <w:rFonts w:ascii="仿宋" w:hAnsi="仿宋" w:eastAsia="仿宋" w:cs="仿宋"/>
          <w:sz w:val="28"/>
          <w:szCs w:val="28"/>
        </w:rPr>
      </w:pPr>
      <w:r>
        <w:rPr>
          <w:rFonts w:hint="eastAsia" w:ascii="仿宋" w:hAnsi="仿宋" w:eastAsia="仿宋" w:cs="仿宋"/>
          <w:sz w:val="28"/>
          <w:szCs w:val="28"/>
        </w:rPr>
        <w:t>开标一览表格式不得自行改动。</w:t>
      </w:r>
    </w:p>
    <w:p>
      <w:pPr>
        <w:numPr>
          <w:ilvl w:val="0"/>
          <w:numId w:val="6"/>
        </w:numPr>
        <w:spacing w:line="500" w:lineRule="exact"/>
        <w:jc w:val="left"/>
        <w:rPr>
          <w:rFonts w:ascii="仿宋" w:hAnsi="仿宋" w:eastAsia="仿宋" w:cs="仿宋"/>
          <w:sz w:val="28"/>
          <w:szCs w:val="28"/>
        </w:rPr>
      </w:pPr>
      <w:r>
        <w:rPr>
          <w:rFonts w:hint="eastAsia" w:ascii="仿宋" w:hAnsi="仿宋" w:eastAsia="仿宋" w:cs="仿宋"/>
          <w:sz w:val="28"/>
          <w:szCs w:val="28"/>
        </w:rPr>
        <w:t>价格条件为能否满足标书要求的投标报价。</w:t>
      </w:r>
    </w:p>
    <w:p>
      <w:pPr>
        <w:numPr>
          <w:ilvl w:val="0"/>
          <w:numId w:val="6"/>
        </w:numPr>
        <w:spacing w:line="500" w:lineRule="exact"/>
        <w:jc w:val="left"/>
        <w:rPr>
          <w:rFonts w:ascii="仿宋" w:hAnsi="仿宋" w:eastAsia="仿宋" w:cs="仿宋"/>
          <w:sz w:val="28"/>
          <w:szCs w:val="36"/>
        </w:rPr>
      </w:pPr>
      <w:r>
        <w:rPr>
          <w:rFonts w:hint="eastAsia" w:ascii="仿宋" w:hAnsi="仿宋" w:eastAsia="仿宋" w:cs="仿宋"/>
          <w:sz w:val="28"/>
          <w:szCs w:val="28"/>
        </w:rPr>
        <w:t>无内容空格填“-”。</w:t>
      </w:r>
    </w:p>
    <w:p>
      <w:pPr>
        <w:ind w:firstLine="280" w:firstLineChars="100"/>
        <w:rPr>
          <w:rFonts w:hint="eastAsia" w:ascii="仿宋" w:hAnsi="仿宋" w:eastAsia="仿宋" w:cs="仿宋"/>
          <w:sz w:val="28"/>
          <w:szCs w:val="28"/>
        </w:rPr>
      </w:pPr>
    </w:p>
    <w:p>
      <w:pPr>
        <w:ind w:firstLine="280" w:firstLineChars="100"/>
        <w:rPr>
          <w:rFonts w:hint="eastAsia" w:ascii="仿宋" w:hAnsi="仿宋" w:eastAsia="仿宋" w:cs="仿宋"/>
          <w:sz w:val="28"/>
          <w:szCs w:val="28"/>
        </w:rPr>
      </w:pPr>
    </w:p>
    <w:p>
      <w:pPr>
        <w:ind w:firstLine="280" w:firstLineChars="100"/>
        <w:rPr>
          <w:rFonts w:ascii="仿宋" w:hAnsi="仿宋" w:eastAsia="仿宋" w:cs="仿宋"/>
          <w:sz w:val="28"/>
          <w:szCs w:val="28"/>
        </w:rPr>
      </w:pPr>
      <w:r>
        <w:rPr>
          <w:rFonts w:hint="eastAsia" w:ascii="仿宋" w:hAnsi="仿宋" w:eastAsia="仿宋" w:cs="仿宋"/>
          <w:sz w:val="28"/>
          <w:szCs w:val="28"/>
        </w:rPr>
        <w:t>法定代表人或其委托人（签字）：</w:t>
      </w:r>
    </w:p>
    <w:p>
      <w:pPr>
        <w:rPr>
          <w:rFonts w:hint="eastAsia" w:ascii="仿宋" w:hAnsi="仿宋" w:eastAsia="仿宋" w:cs="仿宋"/>
          <w:sz w:val="28"/>
          <w:szCs w:val="28"/>
          <w:lang w:val="en-US" w:eastAsia="zh-CN"/>
        </w:rPr>
      </w:pPr>
      <w:r>
        <w:rPr>
          <w:rFonts w:hint="eastAsia" w:ascii="仿宋" w:hAnsi="仿宋" w:eastAsia="仿宋" w:cs="仿宋"/>
          <w:sz w:val="28"/>
          <w:szCs w:val="28"/>
        </w:rPr>
        <w:t xml:space="preserve">  投标单位全称（加盖公</w:t>
      </w:r>
      <w:r>
        <w:rPr>
          <w:rFonts w:hint="eastAsia" w:ascii="仿宋" w:hAnsi="仿宋" w:eastAsia="仿宋" w:cs="仿宋"/>
          <w:sz w:val="28"/>
          <w:szCs w:val="28"/>
          <w:lang w:val="en-US" w:eastAsia="zh-CN"/>
        </w:rPr>
        <w:t>章）</w:t>
      </w:r>
    </w:p>
    <w:p>
      <w:pPr>
        <w:rPr>
          <w:rFonts w:hint="eastAsia" w:ascii="仿宋" w:hAnsi="仿宋" w:eastAsia="仿宋" w:cs="仿宋"/>
          <w:sz w:val="28"/>
          <w:szCs w:val="28"/>
          <w:lang w:val="en-US" w:eastAsia="zh-CN"/>
        </w:rPr>
      </w:pPr>
    </w:p>
    <w:p>
      <w:pPr>
        <w:keepNext w:val="0"/>
        <w:keepLines w:val="0"/>
        <w:widowControl/>
        <w:suppressLineNumbers w:val="0"/>
        <w:jc w:val="center"/>
        <w:rPr>
          <w:rFonts w:hint="eastAsia" w:ascii="宋体" w:hAnsi="宋体" w:eastAsia="宋体" w:cs="宋体"/>
          <w:b w:val="0"/>
          <w:bCs w:val="0"/>
          <w:i w:val="0"/>
          <w:iCs w:val="0"/>
          <w:color w:val="000000"/>
          <w:kern w:val="0"/>
          <w:sz w:val="44"/>
          <w:szCs w:val="44"/>
          <w:u w:val="none"/>
          <w:lang w:val="en-US" w:eastAsia="zh-CN" w:bidi="ar"/>
        </w:rPr>
      </w:pPr>
      <w:r>
        <w:rPr>
          <w:rFonts w:hint="eastAsia" w:ascii="宋体" w:hAnsi="宋体" w:eastAsia="宋体" w:cs="宋体"/>
          <w:b/>
          <w:bCs/>
          <w:i w:val="0"/>
          <w:iCs w:val="0"/>
          <w:color w:val="000000"/>
          <w:kern w:val="0"/>
          <w:sz w:val="36"/>
          <w:szCs w:val="36"/>
          <w:u w:val="none"/>
          <w:lang w:val="en-US" w:eastAsia="zh-CN" w:bidi="ar"/>
        </w:rPr>
        <w:t>医用污水处理设施保养维护、运行管理服务项目明细</w:t>
      </w:r>
      <w:r>
        <w:rPr>
          <w:rFonts w:hint="eastAsia" w:ascii="宋体" w:hAnsi="宋体" w:cs="宋体"/>
          <w:b/>
          <w:bCs/>
          <w:i w:val="0"/>
          <w:iCs w:val="0"/>
          <w:color w:val="000000"/>
          <w:kern w:val="0"/>
          <w:sz w:val="36"/>
          <w:szCs w:val="36"/>
          <w:u w:val="none"/>
          <w:lang w:val="en-US" w:eastAsia="zh-CN" w:bidi="ar"/>
        </w:rPr>
        <w:t>报价</w:t>
      </w:r>
      <w:r>
        <w:rPr>
          <w:rFonts w:hint="eastAsia" w:ascii="宋体" w:hAnsi="宋体" w:eastAsia="宋体" w:cs="宋体"/>
          <w:b/>
          <w:bCs/>
          <w:i w:val="0"/>
          <w:iCs w:val="0"/>
          <w:color w:val="000000"/>
          <w:kern w:val="0"/>
          <w:sz w:val="36"/>
          <w:szCs w:val="36"/>
          <w:u w:val="none"/>
          <w:lang w:val="en-US" w:eastAsia="zh-CN" w:bidi="ar"/>
        </w:rPr>
        <w:t>表</w:t>
      </w:r>
    </w:p>
    <w:tbl>
      <w:tblPr>
        <w:tblStyle w:val="21"/>
        <w:tblW w:w="141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83"/>
        <w:gridCol w:w="2134"/>
        <w:gridCol w:w="720"/>
        <w:gridCol w:w="3210"/>
        <w:gridCol w:w="1170"/>
        <w:gridCol w:w="1170"/>
        <w:gridCol w:w="1380"/>
        <w:gridCol w:w="1815"/>
        <w:gridCol w:w="1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费用项目</w:t>
            </w:r>
          </w:p>
        </w:tc>
        <w:tc>
          <w:tcPr>
            <w:tcW w:w="39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内容</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单价报价(元）</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cs="宋体"/>
                <w:i w:val="0"/>
                <w:iCs w:val="0"/>
                <w:color w:val="000000"/>
                <w:kern w:val="2"/>
                <w:sz w:val="24"/>
                <w:szCs w:val="24"/>
                <w:u w:val="none"/>
                <w:lang w:val="en-US" w:eastAsia="zh-CN" w:bidi="ar-SA"/>
              </w:rPr>
            </w:pPr>
            <w:r>
              <w:rPr>
                <w:rFonts w:hint="eastAsia" w:ascii="宋体" w:hAnsi="宋体" w:cs="宋体"/>
                <w:i w:val="0"/>
                <w:iCs w:val="0"/>
                <w:color w:val="000000"/>
                <w:kern w:val="2"/>
                <w:sz w:val="24"/>
                <w:szCs w:val="24"/>
                <w:u w:val="none"/>
                <w:lang w:val="en-US" w:eastAsia="zh-CN" w:bidi="ar-SA"/>
              </w:rPr>
              <w:t>单项总价</w:t>
            </w:r>
          </w:p>
          <w:p>
            <w:pPr>
              <w:keepNext w:val="0"/>
              <w:keepLines w:val="0"/>
              <w:widowControl/>
              <w:suppressLineNumbers w:val="0"/>
              <w:jc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(元）</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宋体" w:hAnsi="宋体" w:cs="宋体"/>
                <w:i w:val="0"/>
                <w:iCs w:val="0"/>
                <w:color w:val="000000"/>
                <w:kern w:val="2"/>
                <w:sz w:val="24"/>
                <w:szCs w:val="24"/>
                <w:u w:val="none"/>
                <w:lang w:val="en-US" w:eastAsia="zh-CN" w:bidi="ar-SA"/>
              </w:rPr>
            </w:pPr>
            <w:r>
              <w:rPr>
                <w:rFonts w:hint="eastAsia" w:ascii="宋体" w:hAnsi="宋体" w:cs="宋体"/>
                <w:i w:val="0"/>
                <w:iCs w:val="0"/>
                <w:color w:val="000000"/>
                <w:kern w:val="2"/>
                <w:sz w:val="24"/>
                <w:szCs w:val="24"/>
                <w:u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2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人工费</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人工费</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eastAsia" w:ascii="Arial" w:hAnsi="Arial" w:cs="Arial"/>
                <w:i w:val="0"/>
                <w:iCs w:val="0"/>
                <w:color w:val="000000"/>
                <w:kern w:val="0"/>
                <w:sz w:val="24"/>
                <w:szCs w:val="24"/>
                <w:u w:val="none"/>
                <w:lang w:val="en-US" w:eastAsia="zh-CN" w:bidi="ar"/>
              </w:rPr>
              <w:t>1</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项</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jc w:val="center"/>
        </w:trPr>
        <w:tc>
          <w:tcPr>
            <w:tcW w:w="7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2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劳保费</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胶手套</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12</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i w:val="0"/>
                <w:iCs w:val="0"/>
                <w:color w:val="000000"/>
                <w:sz w:val="24"/>
                <w:szCs w:val="24"/>
                <w:u w:val="none"/>
              </w:rPr>
            </w:pPr>
          </w:p>
        </w:tc>
        <w:tc>
          <w:tcPr>
            <w:tcW w:w="2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劳保鞋</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i w:val="0"/>
                <w:iCs w:val="0"/>
                <w:color w:val="000000"/>
                <w:sz w:val="24"/>
                <w:szCs w:val="24"/>
                <w:u w:val="none"/>
              </w:rPr>
            </w:pPr>
          </w:p>
        </w:tc>
        <w:tc>
          <w:tcPr>
            <w:tcW w:w="2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工作服</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i w:val="0"/>
                <w:iCs w:val="0"/>
                <w:color w:val="000000"/>
                <w:sz w:val="24"/>
                <w:szCs w:val="24"/>
                <w:u w:val="none"/>
              </w:rPr>
            </w:pPr>
          </w:p>
        </w:tc>
        <w:tc>
          <w:tcPr>
            <w:tcW w:w="2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防护眼镜</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2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设备、管道维修维护费</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工艺系统机电设备维护</w:t>
            </w:r>
          </w:p>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（季度维保）</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kern w:val="2"/>
                <w:sz w:val="24"/>
                <w:szCs w:val="24"/>
                <w:u w:val="none"/>
                <w:lang w:val="en-US" w:eastAsia="zh-CN" w:bidi="ar-SA"/>
              </w:rPr>
            </w:pP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kern w:val="0"/>
                <w:sz w:val="24"/>
                <w:szCs w:val="24"/>
                <w:u w:val="none"/>
                <w:lang w:val="en-US" w:eastAsia="zh-CN" w:bidi="ar"/>
              </w:rPr>
            </w:pP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i w:val="0"/>
                <w:iCs w:val="0"/>
                <w:color w:val="000000"/>
                <w:sz w:val="24"/>
                <w:szCs w:val="24"/>
                <w:u w:val="none"/>
              </w:rPr>
            </w:pPr>
          </w:p>
        </w:tc>
        <w:tc>
          <w:tcPr>
            <w:tcW w:w="2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工艺系统机电设备维护</w:t>
            </w:r>
          </w:p>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（月度维保）</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12</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kern w:val="2"/>
                <w:sz w:val="24"/>
                <w:szCs w:val="24"/>
                <w:u w:val="none"/>
                <w:lang w:val="en-US" w:eastAsia="zh-CN" w:bidi="ar-SA"/>
              </w:rPr>
            </w:pP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kern w:val="0"/>
                <w:sz w:val="24"/>
                <w:szCs w:val="24"/>
                <w:u w:val="none"/>
                <w:lang w:val="en-US" w:eastAsia="zh-CN" w:bidi="ar"/>
              </w:rPr>
            </w:pP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jc w:val="center"/>
        </w:trPr>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2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数据填写</w:t>
            </w:r>
          </w:p>
        </w:tc>
        <w:tc>
          <w:tcPr>
            <w:tcW w:w="39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日报、季度、年度</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jc w:val="center"/>
        </w:trPr>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2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第三方检测费</w:t>
            </w:r>
          </w:p>
        </w:tc>
        <w:tc>
          <w:tcPr>
            <w:tcW w:w="39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护理院及一个社康每月1次的第三方检测</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12</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月</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kern w:val="2"/>
                <w:sz w:val="24"/>
                <w:szCs w:val="24"/>
                <w:u w:val="none"/>
                <w:lang w:val="en-US" w:eastAsia="zh-CN" w:bidi="ar-SA"/>
              </w:rPr>
            </w:pP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2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药剂费</w:t>
            </w:r>
          </w:p>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（合同有效期内投加）</w:t>
            </w:r>
          </w:p>
        </w:tc>
        <w:tc>
          <w:tcPr>
            <w:tcW w:w="39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折合次氯酸钠计</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3600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Kg</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jc w:val="center"/>
        </w:trPr>
        <w:tc>
          <w:tcPr>
            <w:tcW w:w="1056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合计（元）</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67" w:type="dxa"/>
            <w:gridSpan w:val="7"/>
            <w:tcBorders>
              <w:top w:val="single" w:color="auto" w:sz="4" w:space="0"/>
              <w:left w:val="nil"/>
              <w:bottom w:val="nil"/>
              <w:right w:val="nil"/>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备注：1、污水排放标准执行《医疗机构水污染物排放标准》（GB18466-2</w:t>
            </w:r>
            <w:bookmarkStart w:id="2" w:name="_GoBack"/>
            <w:bookmarkEnd w:id="2"/>
            <w:r>
              <w:rPr>
                <w:rFonts w:hint="eastAsia" w:ascii="宋体" w:hAnsi="宋体" w:eastAsia="宋体" w:cs="宋体"/>
                <w:i w:val="0"/>
                <w:iCs w:val="0"/>
                <w:color w:val="000000"/>
                <w:kern w:val="0"/>
                <w:sz w:val="24"/>
                <w:szCs w:val="24"/>
                <w:u w:val="none"/>
                <w:lang w:val="en-US" w:eastAsia="zh-CN" w:bidi="ar"/>
              </w:rPr>
              <w:t>005）预处理标准。</w:t>
            </w:r>
          </w:p>
        </w:tc>
        <w:tc>
          <w:tcPr>
            <w:tcW w:w="1815" w:type="dxa"/>
            <w:tcBorders>
              <w:top w:val="single" w:color="auto" w:sz="4" w:space="0"/>
              <w:left w:val="nil"/>
              <w:bottom w:val="nil"/>
              <w:right w:val="nil"/>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kern w:val="0"/>
                <w:sz w:val="24"/>
                <w:szCs w:val="24"/>
                <w:u w:val="none"/>
                <w:lang w:val="en-US" w:eastAsia="zh-CN" w:bidi="ar"/>
              </w:rPr>
            </w:pPr>
          </w:p>
        </w:tc>
        <w:tc>
          <w:tcPr>
            <w:tcW w:w="1815" w:type="dxa"/>
            <w:tcBorders>
              <w:top w:val="single" w:color="auto" w:sz="4" w:space="0"/>
              <w:left w:val="nil"/>
              <w:bottom w:val="nil"/>
              <w:right w:val="nil"/>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kern w:val="0"/>
                <w:sz w:val="24"/>
                <w:szCs w:val="24"/>
                <w:u w:val="none"/>
                <w:lang w:val="en-US" w:eastAsia="zh-CN" w:bidi="ar"/>
              </w:rPr>
            </w:pPr>
          </w:p>
        </w:tc>
      </w:tr>
    </w:tbl>
    <w:p>
      <w:pPr>
        <w:keepNext w:val="0"/>
        <w:keepLines w:val="0"/>
        <w:widowControl/>
        <w:suppressLineNumbers w:val="0"/>
        <w:jc w:val="both"/>
        <w:rPr>
          <w:rFonts w:hint="eastAsia" w:ascii="宋体" w:hAnsi="宋体" w:eastAsia="宋体" w:cs="宋体"/>
          <w:b w:val="0"/>
          <w:bCs w:val="0"/>
          <w:i w:val="0"/>
          <w:iCs w:val="0"/>
          <w:color w:val="000000"/>
          <w:kern w:val="0"/>
          <w:sz w:val="44"/>
          <w:szCs w:val="44"/>
          <w:u w:val="none"/>
          <w:lang w:val="en-US" w:eastAsia="zh-CN" w:bidi="ar"/>
        </w:rPr>
        <w:sectPr>
          <w:pgSz w:w="16838" w:h="11906" w:orient="landscape"/>
          <w:pgMar w:top="1587" w:right="2098" w:bottom="1474" w:left="1984" w:header="851" w:footer="1417" w:gutter="0"/>
          <w:pgNumType w:fmt="numberInDash"/>
          <w:cols w:space="0" w:num="1"/>
          <w:rtlGutter w:val="0"/>
          <w:docGrid w:type="lines" w:linePitch="327" w:charSpace="0"/>
        </w:sectPr>
      </w:pPr>
    </w:p>
    <w:p>
      <w:pPr>
        <w:rPr>
          <w:rFonts w:hint="eastAsia"/>
          <w:lang w:val="en-US" w:eastAsia="zh-CN"/>
        </w:rPr>
      </w:pPr>
    </w:p>
    <w:p>
      <w:pPr>
        <w:keepNext w:val="0"/>
        <w:keepLines w:val="0"/>
        <w:widowControl/>
        <w:suppressLineNumbers w:val="0"/>
        <w:jc w:val="center"/>
        <w:rPr>
          <w:rFonts w:hint="eastAsia" w:ascii="宋体" w:hAnsi="宋体" w:eastAsia="宋体" w:cs="宋体"/>
          <w:b w:val="0"/>
          <w:bCs w:val="0"/>
          <w:i w:val="0"/>
          <w:iCs w:val="0"/>
          <w:color w:val="000000"/>
          <w:kern w:val="0"/>
          <w:sz w:val="44"/>
          <w:szCs w:val="44"/>
          <w:u w:val="none"/>
          <w:lang w:val="en-US" w:eastAsia="zh-CN" w:bidi="ar"/>
        </w:rPr>
      </w:pPr>
      <w:r>
        <w:rPr>
          <w:rFonts w:hint="eastAsia" w:ascii="宋体" w:hAnsi="宋体" w:eastAsia="宋体" w:cs="宋体"/>
          <w:b w:val="0"/>
          <w:bCs w:val="0"/>
          <w:i w:val="0"/>
          <w:iCs w:val="0"/>
          <w:color w:val="000000"/>
          <w:kern w:val="0"/>
          <w:sz w:val="44"/>
          <w:szCs w:val="44"/>
          <w:u w:val="none"/>
          <w:lang w:val="en-US" w:eastAsia="zh-CN" w:bidi="ar"/>
        </w:rPr>
        <w:t>法定代表人证明书</w:t>
      </w:r>
    </w:p>
    <w:p>
      <w:pPr>
        <w:rPr>
          <w:rFonts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60" w:lineRule="exact"/>
        <w:rPr>
          <w:rFonts w:ascii="仿宋" w:hAnsi="仿宋" w:eastAsia="仿宋" w:cs="仿宋"/>
          <w:color w:val="000000"/>
          <w:sz w:val="32"/>
          <w:szCs w:val="32"/>
        </w:rPr>
      </w:pP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single"/>
        </w:rPr>
        <w:t>　</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rPr>
        <w:t>先生/小姐，现任我单位职务，为法定代表人，特此证明。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有效日期：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 xml:space="preserve">     签发日期：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 xml:space="preserve">单位：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 xml:space="preserve">   （盖章）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代表人性别：        年龄：       身份证号码：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营业执照号码：                   经济性质：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主营（产）：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兼营（产）：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进口物品经营许可证号码：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主营（产）：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兼营（产）：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身份证复印件：</w:t>
      </w:r>
    </w:p>
    <w:tbl>
      <w:tblPr>
        <w:tblStyle w:val="21"/>
        <w:tblW w:w="0" w:type="auto"/>
        <w:tblInd w:w="19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1" w:hRule="atLeast"/>
        </w:trPr>
        <w:tc>
          <w:tcPr>
            <w:tcW w:w="5460" w:type="dxa"/>
            <w:noWrap/>
            <w:vAlign w:val="top"/>
          </w:tcPr>
          <w:p/>
          <w:p/>
          <w:p>
            <w:pPr>
              <w:pStyle w:val="9"/>
            </w:pPr>
          </w:p>
          <w:p>
            <w:pPr>
              <w:ind w:firstLine="2100" w:firstLineChars="1000"/>
            </w:pPr>
            <w:r>
              <w:rPr>
                <w:rFonts w:hint="eastAsia"/>
              </w:rPr>
              <w:t>正反面</w:t>
            </w:r>
          </w:p>
        </w:tc>
      </w:tr>
    </w:tbl>
    <w:p>
      <w:pPr>
        <w:keepNext w:val="0"/>
        <w:keepLines w:val="0"/>
        <w:pageBreakBefore w:val="0"/>
        <w:widowControl/>
        <w:suppressLineNumbers w:val="0"/>
        <w:kinsoku/>
        <w:wordWrap/>
        <w:overflowPunct/>
        <w:topLinePunct w:val="0"/>
        <w:autoSpaceDE/>
        <w:autoSpaceDN/>
        <w:bidi w:val="0"/>
        <w:adjustRightInd/>
        <w:snapToGrid/>
        <w:spacing w:line="440" w:lineRule="exact"/>
        <w:jc w:val="center"/>
        <w:rPr>
          <w:rFonts w:hint="eastAsia" w:ascii="宋体" w:hAnsi="宋体" w:eastAsia="宋体" w:cs="宋体"/>
          <w:b w:val="0"/>
          <w:bCs w:val="0"/>
          <w:i w:val="0"/>
          <w:iCs w:val="0"/>
          <w:color w:val="000000"/>
          <w:kern w:val="0"/>
          <w:sz w:val="44"/>
          <w:szCs w:val="4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jc w:val="center"/>
        <w:rPr>
          <w:rFonts w:hint="eastAsia" w:ascii="宋体" w:hAnsi="宋体" w:eastAsia="宋体" w:cs="宋体"/>
          <w:b w:val="0"/>
          <w:bCs w:val="0"/>
          <w:i w:val="0"/>
          <w:iCs w:val="0"/>
          <w:color w:val="000000"/>
          <w:kern w:val="0"/>
          <w:sz w:val="44"/>
          <w:szCs w:val="44"/>
          <w:u w:val="none"/>
          <w:lang w:val="en-US" w:eastAsia="zh-CN" w:bidi="ar"/>
        </w:rPr>
      </w:pPr>
      <w:r>
        <w:rPr>
          <w:rFonts w:hint="eastAsia" w:ascii="宋体" w:hAnsi="宋体" w:eastAsia="宋体" w:cs="宋体"/>
          <w:b w:val="0"/>
          <w:bCs w:val="0"/>
          <w:i w:val="0"/>
          <w:iCs w:val="0"/>
          <w:color w:val="000000"/>
          <w:kern w:val="0"/>
          <w:sz w:val="44"/>
          <w:szCs w:val="44"/>
          <w:u w:val="none"/>
          <w:lang w:val="en-US" w:eastAsia="zh-CN" w:bidi="ar"/>
        </w:rPr>
        <w:t>法定代表人授权书</w:t>
      </w:r>
    </w:p>
    <w:p>
      <w:pPr>
        <w:keepNext w:val="0"/>
        <w:keepLines w:val="0"/>
        <w:pageBreakBefore w:val="0"/>
        <w:widowControl w:val="0"/>
        <w:kinsoku/>
        <w:wordWrap/>
        <w:overflowPunct/>
        <w:topLinePunct w:val="0"/>
        <w:autoSpaceDE/>
        <w:autoSpaceDN/>
        <w:bidi w:val="0"/>
        <w:adjustRightInd/>
        <w:snapToGrid/>
        <w:spacing w:line="440" w:lineRule="exact"/>
        <w:rPr>
          <w:color w:val="000000"/>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本授权书声明：注册于（国家或地区的名称）的（公司名称）的在下面签字的（法定代表人姓名、职务）代表本公司授权（单位名称）的在下面签字的（被授权人的姓名、职务）为本公司的合法代理人，就（项目名称）投标及参加项目谈判，以本公司名义处理一切与之有关的事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本授权书于</w:t>
      </w:r>
      <w:r>
        <w:rPr>
          <w:rFonts w:hint="eastAsia" w:ascii="仿宋" w:hAnsi="仿宋" w:eastAsia="仿宋" w:cs="仿宋"/>
          <w:color w:val="000000"/>
          <w:sz w:val="32"/>
          <w:szCs w:val="32"/>
          <w:u w:val="single"/>
        </w:rPr>
        <w:t>　　</w:t>
      </w:r>
      <w:r>
        <w:rPr>
          <w:rFonts w:hint="eastAsia" w:ascii="仿宋" w:hAnsi="仿宋" w:eastAsia="仿宋" w:cs="仿宋"/>
          <w:color w:val="000000"/>
          <w:sz w:val="32"/>
          <w:szCs w:val="32"/>
        </w:rPr>
        <w:t>年</w:t>
      </w:r>
      <w:r>
        <w:rPr>
          <w:rFonts w:hint="eastAsia" w:ascii="仿宋" w:hAnsi="仿宋" w:eastAsia="仿宋" w:cs="仿宋"/>
          <w:color w:val="000000"/>
          <w:sz w:val="32"/>
          <w:szCs w:val="32"/>
          <w:u w:val="single"/>
        </w:rPr>
        <w:t>　　</w:t>
      </w:r>
      <w:r>
        <w:rPr>
          <w:rFonts w:hint="eastAsia" w:ascii="仿宋" w:hAnsi="仿宋" w:eastAsia="仿宋" w:cs="仿宋"/>
          <w:color w:val="000000"/>
          <w:sz w:val="32"/>
          <w:szCs w:val="32"/>
        </w:rPr>
        <w:t>月</w:t>
      </w:r>
      <w:r>
        <w:rPr>
          <w:rFonts w:hint="eastAsia" w:ascii="仿宋" w:hAnsi="仿宋" w:eastAsia="仿宋" w:cs="仿宋"/>
          <w:color w:val="000000"/>
          <w:sz w:val="32"/>
          <w:szCs w:val="32"/>
          <w:u w:val="single"/>
        </w:rPr>
        <w:t>　　</w:t>
      </w:r>
      <w:r>
        <w:rPr>
          <w:rFonts w:hint="eastAsia" w:ascii="仿宋" w:hAnsi="仿宋" w:eastAsia="仿宋" w:cs="仿宋"/>
          <w:color w:val="000000"/>
          <w:sz w:val="32"/>
          <w:szCs w:val="32"/>
        </w:rPr>
        <w:t>日签字生效，有效期至特此声明。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仿宋" w:hAnsi="仿宋" w:eastAsia="仿宋" w:cs="仿宋"/>
          <w:color w:val="000000"/>
          <w:sz w:val="24"/>
          <w:szCs w:val="32"/>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法定代表人签字： </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rPr>
          <w:rFonts w:hint="eastAsia" w:ascii="仿宋" w:hAnsi="仿宋" w:eastAsia="仿宋" w:cs="仿宋"/>
          <w:color w:val="000000"/>
          <w:sz w:val="32"/>
          <w:szCs w:val="32"/>
        </w:rPr>
      </w:pPr>
      <w:r>
        <w:rPr>
          <w:rFonts w:hint="eastAsia" w:ascii="仿宋" w:hAnsi="仿宋" w:eastAsia="仿宋" w:cs="仿宋"/>
          <w:color w:val="000000"/>
          <w:sz w:val="32"/>
          <w:szCs w:val="32"/>
        </w:rPr>
        <w:t>被授权人签字：　</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rPr>
          <w:rFonts w:hint="eastAsia" w:ascii="仿宋" w:hAnsi="仿宋" w:eastAsia="仿宋" w:cs="仿宋"/>
          <w:color w:val="000000"/>
          <w:sz w:val="32"/>
          <w:szCs w:val="32"/>
        </w:rPr>
      </w:pPr>
      <w:r>
        <w:rPr>
          <w:rFonts w:hint="eastAsia" w:ascii="仿宋" w:hAnsi="仿宋" w:eastAsia="仿宋" w:cs="仿宋"/>
          <w:color w:val="000000"/>
          <w:sz w:val="32"/>
          <w:szCs w:val="32"/>
        </w:rPr>
        <w:t>单位盖章：　</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rPr>
          <w:rFonts w:ascii="仿宋" w:hAnsi="仿宋" w:eastAsia="仿宋" w:cs="仿宋"/>
          <w:color w:val="000000"/>
          <w:sz w:val="24"/>
          <w:szCs w:val="32"/>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rPr>
          <w:rFonts w:hint="eastAsia" w:ascii="仿宋" w:hAnsi="仿宋" w:eastAsia="仿宋" w:cs="仿宋"/>
          <w:color w:val="000000"/>
          <w:sz w:val="32"/>
          <w:szCs w:val="32"/>
        </w:rPr>
      </w:pPr>
      <w:r>
        <w:rPr>
          <w:rFonts w:hint="eastAsia" w:ascii="仿宋" w:hAnsi="仿宋" w:eastAsia="仿宋" w:cs="仿宋"/>
          <w:color w:val="000000"/>
          <w:sz w:val="32"/>
          <w:szCs w:val="32"/>
        </w:rPr>
        <w:t>附：</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rPr>
          <w:rFonts w:hint="eastAsia" w:ascii="仿宋" w:hAnsi="仿宋" w:eastAsia="仿宋" w:cs="仿宋"/>
          <w:color w:val="000000"/>
          <w:sz w:val="32"/>
          <w:szCs w:val="32"/>
        </w:rPr>
      </w:pPr>
      <w:r>
        <w:rPr>
          <w:rFonts w:hint="eastAsia" w:ascii="仿宋" w:hAnsi="仿宋" w:eastAsia="仿宋" w:cs="仿宋"/>
          <w:color w:val="000000"/>
          <w:sz w:val="32"/>
          <w:szCs w:val="32"/>
        </w:rPr>
        <w:t>被授权人姓名：                       身份证号：</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rPr>
          <w:rFonts w:hint="eastAsia" w:ascii="仿宋" w:hAnsi="仿宋" w:eastAsia="仿宋" w:cs="仿宋"/>
          <w:color w:val="000000"/>
          <w:sz w:val="32"/>
          <w:szCs w:val="32"/>
        </w:rPr>
      </w:pPr>
      <w:r>
        <w:rPr>
          <w:rFonts w:hint="eastAsia" w:ascii="仿宋" w:hAnsi="仿宋" w:eastAsia="仿宋" w:cs="仿宋"/>
          <w:color w:val="000000"/>
          <w:sz w:val="32"/>
          <w:szCs w:val="32"/>
        </w:rPr>
        <w:t>职务：</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rPr>
          <w:rFonts w:hint="eastAsia" w:ascii="仿宋" w:hAnsi="仿宋" w:eastAsia="仿宋" w:cs="仿宋"/>
          <w:color w:val="000000"/>
          <w:sz w:val="32"/>
          <w:szCs w:val="32"/>
        </w:rPr>
      </w:pPr>
      <w:r>
        <w:rPr>
          <w:rFonts w:hint="eastAsia" w:ascii="仿宋" w:hAnsi="仿宋" w:eastAsia="仿宋" w:cs="仿宋"/>
          <w:color w:val="000000"/>
          <w:sz w:val="32"/>
          <w:szCs w:val="32"/>
        </w:rPr>
        <w:t>详细通</w:t>
      </w:r>
      <w:r>
        <w:rPr>
          <w:rFonts w:hint="eastAsia" w:ascii="仿宋" w:hAnsi="仿宋" w:eastAsia="仿宋" w:cs="仿宋"/>
          <w:color w:val="000000"/>
          <w:sz w:val="32"/>
          <w:szCs w:val="32"/>
          <w:lang w:val="en-US" w:eastAsia="zh-CN"/>
        </w:rPr>
        <w:t>信</w:t>
      </w:r>
      <w:r>
        <w:rPr>
          <w:rFonts w:hint="eastAsia" w:ascii="仿宋" w:hAnsi="仿宋" w:eastAsia="仿宋" w:cs="仿宋"/>
          <w:color w:val="000000"/>
          <w:sz w:val="32"/>
          <w:szCs w:val="32"/>
        </w:rPr>
        <w:t>地址：</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rPr>
          <w:rFonts w:hint="eastAsia" w:ascii="仿宋" w:hAnsi="仿宋" w:eastAsia="仿宋" w:cs="仿宋"/>
          <w:color w:val="000000"/>
          <w:sz w:val="32"/>
          <w:szCs w:val="32"/>
        </w:rPr>
      </w:pPr>
      <w:r>
        <w:rPr>
          <w:rFonts w:hint="eastAsia" w:ascii="仿宋" w:hAnsi="仿宋" w:eastAsia="仿宋" w:cs="仿宋"/>
          <w:color w:val="000000"/>
          <w:sz w:val="32"/>
          <w:szCs w:val="32"/>
        </w:rPr>
        <w:t>邮政编码：</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联系</w:t>
      </w:r>
      <w:r>
        <w:rPr>
          <w:rFonts w:hint="eastAsia" w:ascii="仿宋" w:hAnsi="仿宋" w:eastAsia="仿宋" w:cs="仿宋"/>
          <w:color w:val="000000"/>
          <w:sz w:val="32"/>
          <w:szCs w:val="32"/>
        </w:rPr>
        <w:t>电话：</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rPr>
          <w:rFonts w:hint="eastAsia" w:ascii="仿宋" w:hAnsi="仿宋" w:eastAsia="仿宋" w:cs="仿宋"/>
          <w:color w:val="000000"/>
          <w:sz w:val="32"/>
          <w:szCs w:val="32"/>
        </w:rPr>
      </w:pPr>
      <w:r>
        <w:rPr>
          <w:rFonts w:hint="eastAsia" w:ascii="仿宋" w:hAnsi="仿宋" w:eastAsia="仿宋" w:cs="仿宋"/>
          <w:color w:val="000000"/>
          <w:sz w:val="32"/>
          <w:szCs w:val="32"/>
        </w:rPr>
        <w:t>移动电话：</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rPr>
          <w:rFonts w:ascii="仿宋" w:hAnsi="仿宋" w:eastAsia="仿宋" w:cs="仿宋"/>
          <w:color w:val="000000"/>
          <w:sz w:val="24"/>
          <w:szCs w:val="32"/>
        </w:rPr>
      </w:pPr>
      <w:r>
        <w:rPr>
          <w:rFonts w:hint="eastAsia" w:ascii="仿宋" w:hAnsi="仿宋" w:eastAsia="仿宋" w:cs="仿宋"/>
          <w:color w:val="000000"/>
          <w:sz w:val="32"/>
          <w:szCs w:val="32"/>
        </w:rPr>
        <w:t>传真：</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rPr>
          <w:rFonts w:hint="eastAsia" w:ascii="仿宋" w:hAnsi="仿宋" w:eastAsia="仿宋" w:cs="仿宋"/>
          <w:color w:val="000000"/>
          <w:sz w:val="32"/>
          <w:szCs w:val="32"/>
        </w:rPr>
      </w:pPr>
      <w:r>
        <w:rPr>
          <w:rFonts w:hint="eastAsia" w:ascii="仿宋" w:hAnsi="仿宋" w:eastAsia="仿宋" w:cs="仿宋"/>
          <w:color w:val="000000"/>
          <w:sz w:val="32"/>
          <w:szCs w:val="32"/>
        </w:rPr>
        <w:t>身份证复印件：</w:t>
      </w:r>
    </w:p>
    <w:tbl>
      <w:tblPr>
        <w:tblStyle w:val="21"/>
        <w:tblW w:w="0" w:type="auto"/>
        <w:tblInd w:w="19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1" w:hRule="atLeast"/>
        </w:trPr>
        <w:tc>
          <w:tcPr>
            <w:tcW w:w="5580" w:type="dxa"/>
            <w:noWrap/>
            <w:vAlign w:val="top"/>
          </w:tcPr>
          <w:p/>
          <w:p/>
          <w:p>
            <w:pPr>
              <w:ind w:firstLine="2310" w:firstLineChars="1100"/>
              <w:rPr>
                <w:rFonts w:hint="eastAsia"/>
              </w:rPr>
            </w:pPr>
          </w:p>
          <w:p>
            <w:pPr>
              <w:ind w:firstLine="2310" w:firstLineChars="1100"/>
            </w:pPr>
            <w:r>
              <w:rPr>
                <w:rFonts w:hint="eastAsia"/>
              </w:rPr>
              <w:t>正反面</w:t>
            </w:r>
          </w:p>
        </w:tc>
      </w:tr>
    </w:tbl>
    <w:p>
      <w:pPr>
        <w:tabs>
          <w:tab w:val="left" w:pos="0"/>
        </w:tabs>
        <w:snapToGrid w:val="0"/>
        <w:spacing w:line="480" w:lineRule="exact"/>
        <w:rPr>
          <w:rFonts w:ascii="仿宋" w:hAnsi="仿宋" w:eastAsia="仿宋" w:cs="仿宋"/>
          <w:b/>
          <w:color w:val="000000"/>
          <w:kern w:val="0"/>
          <w:sz w:val="28"/>
          <w:szCs w:val="28"/>
          <w:highlight w:val="yellow"/>
        </w:rPr>
      </w:pPr>
      <w:r>
        <w:rPr>
          <w:rFonts w:hint="eastAsia" w:ascii="仿宋" w:hAnsi="仿宋" w:eastAsia="仿宋" w:cs="仿宋"/>
          <w:b/>
          <w:bCs/>
          <w:sz w:val="32"/>
          <w:szCs w:val="32"/>
        </w:rPr>
        <w:t>合同模</w:t>
      </w:r>
      <w:r>
        <w:rPr>
          <w:rFonts w:hint="eastAsia" w:ascii="仿宋" w:hAnsi="仿宋" w:eastAsia="仿宋" w:cs="仿宋"/>
          <w:b/>
          <w:bCs/>
          <w:sz w:val="32"/>
          <w:szCs w:val="32"/>
          <w:lang w:val="en-US" w:eastAsia="zh-CN"/>
        </w:rPr>
        <w:t>板</w:t>
      </w:r>
      <w:r>
        <w:rPr>
          <w:rFonts w:hint="eastAsia" w:ascii="仿宋" w:hAnsi="仿宋" w:eastAsia="仿宋" w:cs="仿宋"/>
          <w:b/>
          <w:color w:val="000000"/>
          <w:kern w:val="0"/>
          <w:sz w:val="28"/>
          <w:szCs w:val="28"/>
        </w:rPr>
        <w:t>(合同模</w:t>
      </w:r>
      <w:r>
        <w:rPr>
          <w:rFonts w:hint="eastAsia" w:ascii="仿宋" w:hAnsi="仿宋" w:eastAsia="仿宋" w:cs="仿宋"/>
          <w:b/>
          <w:color w:val="000000"/>
          <w:kern w:val="0"/>
          <w:sz w:val="28"/>
          <w:szCs w:val="28"/>
          <w:lang w:val="en-US" w:eastAsia="zh-CN"/>
        </w:rPr>
        <w:t>板</w:t>
      </w:r>
      <w:r>
        <w:rPr>
          <w:rFonts w:hint="eastAsia" w:ascii="仿宋" w:hAnsi="仿宋" w:eastAsia="仿宋" w:cs="仿宋"/>
          <w:b/>
          <w:color w:val="000000"/>
          <w:kern w:val="0"/>
          <w:sz w:val="28"/>
          <w:szCs w:val="28"/>
        </w:rPr>
        <w:t>仅供参考，中标人根据招投标文件拟定)</w:t>
      </w:r>
    </w:p>
    <w:p>
      <w:pPr>
        <w:keepNext w:val="0"/>
        <w:keepLines w:val="0"/>
        <w:pageBreakBefore w:val="0"/>
        <w:kinsoku/>
        <w:wordWrap/>
        <w:overflowPunct/>
        <w:topLinePunct w:val="0"/>
        <w:autoSpaceDE/>
        <w:autoSpaceDN/>
        <w:bidi w:val="0"/>
        <w:adjustRightInd/>
        <w:snapToGrid/>
        <w:spacing w:line="440" w:lineRule="exact"/>
      </w:pPr>
    </w:p>
    <w:p>
      <w:pPr>
        <w:keepNext w:val="0"/>
        <w:keepLines w:val="0"/>
        <w:pageBreakBefore w:val="0"/>
        <w:widowControl/>
        <w:suppressLineNumbers w:val="0"/>
        <w:kinsoku/>
        <w:wordWrap/>
        <w:overflowPunct/>
        <w:topLinePunct w:val="0"/>
        <w:autoSpaceDE/>
        <w:autoSpaceDN/>
        <w:bidi w:val="0"/>
        <w:adjustRightInd/>
        <w:snapToGrid/>
        <w:spacing w:line="440" w:lineRule="exact"/>
        <w:jc w:val="center"/>
      </w:pPr>
      <w:r>
        <w:rPr>
          <w:rFonts w:hint="eastAsia" w:ascii="宋体" w:hAnsi="宋体" w:eastAsia="宋体" w:cs="宋体"/>
          <w:b w:val="0"/>
          <w:bCs w:val="0"/>
          <w:i w:val="0"/>
          <w:iCs w:val="0"/>
          <w:color w:val="000000"/>
          <w:kern w:val="0"/>
          <w:sz w:val="44"/>
          <w:szCs w:val="44"/>
          <w:u w:val="none"/>
          <w:lang w:val="en-US" w:eastAsia="zh-CN" w:bidi="ar"/>
        </w:rPr>
        <w:t>《龙岗区第七人民医院采购合同》</w:t>
      </w:r>
    </w:p>
    <w:p>
      <w:pPr>
        <w:keepNext w:val="0"/>
        <w:keepLines w:val="0"/>
        <w:pageBreakBefore w:val="0"/>
        <w:kinsoku/>
        <w:wordWrap/>
        <w:overflowPunct/>
        <w:topLinePunct w:val="0"/>
        <w:autoSpaceDE/>
        <w:autoSpaceDN/>
        <w:bidi w:val="0"/>
        <w:adjustRightInd/>
        <w:snapToGrid/>
        <w:spacing w:line="440" w:lineRule="exact"/>
        <w:ind w:firstLine="560" w:firstLineChars="200"/>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44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项目名称：</w:t>
      </w:r>
    </w:p>
    <w:p>
      <w:pPr>
        <w:spacing w:line="44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项目编号：</w:t>
      </w:r>
      <w:r>
        <w:rPr>
          <w:rFonts w:hint="eastAsia" w:ascii="仿宋" w:hAnsi="仿宋" w:eastAsia="仿宋" w:cs="仿宋_GB2312"/>
          <w:sz w:val="28"/>
          <w:szCs w:val="28"/>
          <w:u w:val="single"/>
        </w:rPr>
        <w:t>深龙</w:t>
      </w:r>
      <w:r>
        <w:rPr>
          <w:rFonts w:hint="eastAsia" w:ascii="仿宋" w:hAnsi="仿宋" w:eastAsia="仿宋" w:cs="仿宋_GB2312"/>
          <w:sz w:val="28"/>
          <w:szCs w:val="28"/>
          <w:u w:val="single"/>
          <w:lang w:val="en-US" w:eastAsia="zh-CN"/>
        </w:rPr>
        <w:t>七</w:t>
      </w:r>
      <w:r>
        <w:rPr>
          <w:rFonts w:hint="eastAsia" w:ascii="仿宋" w:hAnsi="仿宋" w:eastAsia="仿宋" w:cs="仿宋_GB2312"/>
          <w:sz w:val="28"/>
          <w:szCs w:val="28"/>
          <w:u w:val="single"/>
        </w:rPr>
        <w:t>医采【】号</w:t>
      </w:r>
    </w:p>
    <w:p>
      <w:pPr>
        <w:spacing w:line="44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项目类型：</w:t>
      </w:r>
      <w:r>
        <w:rPr>
          <w:rFonts w:hint="eastAsia" w:ascii="仿宋" w:hAnsi="仿宋" w:eastAsia="仿宋" w:cs="仿宋"/>
          <w:sz w:val="28"/>
          <w:szCs w:val="28"/>
          <w:u w:val="single"/>
        </w:rPr>
        <w:t>　</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采购单位（甲方）：</w:t>
      </w:r>
      <w:r>
        <w:rPr>
          <w:rFonts w:hint="eastAsia" w:ascii="仿宋" w:hAnsi="仿宋" w:eastAsia="仿宋"/>
          <w:sz w:val="28"/>
          <w:szCs w:val="28"/>
          <w:u w:val="single"/>
        </w:rPr>
        <w:t>深圳市龙岗区第</w:t>
      </w:r>
      <w:r>
        <w:rPr>
          <w:rFonts w:hint="eastAsia" w:ascii="仿宋" w:hAnsi="仿宋" w:eastAsia="仿宋"/>
          <w:sz w:val="28"/>
          <w:szCs w:val="28"/>
          <w:u w:val="single"/>
          <w:lang w:val="en-US" w:eastAsia="zh-CN"/>
        </w:rPr>
        <w:t>七</w:t>
      </w:r>
      <w:r>
        <w:rPr>
          <w:rFonts w:hint="eastAsia" w:ascii="仿宋" w:hAnsi="仿宋" w:eastAsia="仿宋"/>
          <w:sz w:val="28"/>
          <w:szCs w:val="28"/>
          <w:u w:val="single"/>
        </w:rPr>
        <w:t>人民医院</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供 应 商（乙方）：</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根据《中华人民共和国政府采购法》《中华人民共和国民法典》《深圳经济特区政府采购条例实施细则》《深圳经济特区政府采购条例》等法律法规的规定，甲乙双方按照</w:t>
      </w:r>
      <w:r>
        <w:rPr>
          <w:rFonts w:hint="eastAsia" w:ascii="仿宋" w:hAnsi="仿宋" w:eastAsia="仿宋" w:cs="仿宋"/>
          <w:sz w:val="28"/>
          <w:szCs w:val="28"/>
          <w:u w:val="single"/>
        </w:rPr>
        <w:t>龙岗区第</w:t>
      </w:r>
      <w:r>
        <w:rPr>
          <w:rFonts w:hint="eastAsia" w:ascii="仿宋" w:hAnsi="仿宋" w:eastAsia="仿宋" w:cs="仿宋"/>
          <w:sz w:val="28"/>
          <w:szCs w:val="28"/>
          <w:u w:val="single"/>
          <w:lang w:val="en-US" w:eastAsia="zh-CN"/>
        </w:rPr>
        <w:t>七</w:t>
      </w:r>
      <w:r>
        <w:rPr>
          <w:rFonts w:hint="eastAsia" w:ascii="仿宋" w:hAnsi="仿宋" w:eastAsia="仿宋" w:cs="仿宋"/>
          <w:sz w:val="28"/>
          <w:szCs w:val="28"/>
          <w:u w:val="single"/>
        </w:rPr>
        <w:t>人民医院</w:t>
      </w:r>
      <w:r>
        <w:rPr>
          <w:rFonts w:hint="eastAsia" w:ascii="仿宋" w:hAnsi="仿宋" w:eastAsia="仿宋" w:cs="仿宋"/>
          <w:sz w:val="28"/>
          <w:szCs w:val="28"/>
        </w:rPr>
        <w:t>的招标结果并经双方协商签订本合同。</w:t>
      </w:r>
    </w:p>
    <w:p>
      <w:pPr>
        <w:spacing w:line="440" w:lineRule="exact"/>
        <w:ind w:firstLine="562" w:firstLineChars="200"/>
        <w:rPr>
          <w:rFonts w:ascii="仿宋" w:hAnsi="仿宋" w:eastAsia="仿宋" w:cs="仿宋"/>
          <w:b/>
          <w:sz w:val="28"/>
          <w:szCs w:val="28"/>
        </w:rPr>
      </w:pPr>
      <w:r>
        <w:rPr>
          <w:rFonts w:hint="eastAsia" w:ascii="仿宋" w:hAnsi="仿宋" w:eastAsia="仿宋" w:cs="仿宋"/>
          <w:b/>
          <w:sz w:val="28"/>
          <w:szCs w:val="28"/>
        </w:rPr>
        <w:t>第一条  合同标的</w:t>
      </w:r>
    </w:p>
    <w:p>
      <w:pPr>
        <w:widowControl/>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乙方根据甲方需求提供下列货物：</w:t>
      </w:r>
    </w:p>
    <w:p>
      <w:pPr>
        <w:widowControl/>
        <w:spacing w:line="440" w:lineRule="exact"/>
        <w:ind w:firstLine="560" w:firstLineChars="200"/>
        <w:rPr>
          <w:rFonts w:ascii="仿宋" w:hAnsi="仿宋" w:eastAsia="仿宋" w:cs="宋体"/>
          <w:sz w:val="28"/>
          <w:szCs w:val="28"/>
        </w:rPr>
      </w:pPr>
      <w:r>
        <w:rPr>
          <w:rFonts w:hint="eastAsia" w:ascii="仿宋" w:hAnsi="仿宋" w:eastAsia="仿宋" w:cs="宋体"/>
          <w:sz w:val="28"/>
          <w:szCs w:val="28"/>
        </w:rPr>
        <w:t>货物名称、规格及单价</w:t>
      </w:r>
      <w:r>
        <w:rPr>
          <w:rFonts w:hint="eastAsia" w:ascii="仿宋" w:hAnsi="仿宋" w:eastAsia="仿宋" w:cs="宋体"/>
          <w:sz w:val="28"/>
          <w:szCs w:val="28"/>
          <w:u w:val="single"/>
        </w:rPr>
        <w:t>见附件 “供货一览表”</w:t>
      </w:r>
      <w:r>
        <w:rPr>
          <w:rFonts w:hint="eastAsia" w:ascii="仿宋" w:hAnsi="仿宋" w:eastAsia="仿宋" w:cs="宋体"/>
          <w:sz w:val="28"/>
          <w:szCs w:val="28"/>
        </w:rPr>
        <w:t>。</w:t>
      </w:r>
    </w:p>
    <w:p>
      <w:pPr>
        <w:widowControl/>
        <w:spacing w:line="440" w:lineRule="exact"/>
        <w:ind w:firstLine="562" w:firstLineChars="200"/>
        <w:rPr>
          <w:rFonts w:ascii="仿宋" w:hAnsi="仿宋" w:eastAsia="仿宋" w:cs="仿宋"/>
          <w:sz w:val="28"/>
          <w:szCs w:val="28"/>
        </w:rPr>
      </w:pPr>
      <w:r>
        <w:rPr>
          <w:rFonts w:hint="eastAsia" w:ascii="仿宋" w:hAnsi="仿宋" w:eastAsia="仿宋" w:cs="仿宋"/>
          <w:b/>
          <w:sz w:val="28"/>
          <w:szCs w:val="28"/>
        </w:rPr>
        <w:t>第二条  合同总价款</w:t>
      </w:r>
    </w:p>
    <w:p>
      <w:pPr>
        <w:pStyle w:val="27"/>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1.本合同总金额为（大写）人民币</w:t>
      </w:r>
      <w:r>
        <w:rPr>
          <w:rFonts w:hint="eastAsia" w:ascii="仿宋" w:hAnsi="仿宋" w:eastAsia="仿宋" w:cs="宋体"/>
          <w:b/>
          <w:sz w:val="28"/>
          <w:szCs w:val="28"/>
          <w:u w:val="single"/>
        </w:rPr>
        <w:t xml:space="preserve">     元整</w:t>
      </w:r>
      <w:r>
        <w:rPr>
          <w:rFonts w:hint="eastAsia" w:ascii="仿宋" w:hAnsi="仿宋" w:eastAsia="仿宋" w:cs="仿宋"/>
          <w:sz w:val="28"/>
          <w:szCs w:val="28"/>
        </w:rPr>
        <w:t>（）。</w:t>
      </w:r>
    </w:p>
    <w:p>
      <w:pPr>
        <w:pStyle w:val="27"/>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2. 本合同金额</w:t>
      </w:r>
      <w:r>
        <w:rPr>
          <w:rFonts w:hint="eastAsia" w:ascii="仿宋" w:hAnsi="仿宋" w:eastAsia="仿宋" w:cs="仿宋_GB2312"/>
          <w:sz w:val="28"/>
          <w:szCs w:val="28"/>
        </w:rPr>
        <w:t>包含货物价格及货物的包装费、运输费、保修费、保险费、伴随服务费及货物验收之前的所有含税金额。</w:t>
      </w:r>
    </w:p>
    <w:p>
      <w:pPr>
        <w:pStyle w:val="27"/>
        <w:spacing w:line="440" w:lineRule="exact"/>
        <w:ind w:firstLine="562" w:firstLineChars="200"/>
        <w:rPr>
          <w:rFonts w:ascii="仿宋" w:hAnsi="仿宋" w:eastAsia="仿宋" w:cs="仿宋"/>
          <w:b/>
          <w:sz w:val="28"/>
          <w:szCs w:val="28"/>
        </w:rPr>
      </w:pPr>
      <w:r>
        <w:rPr>
          <w:rFonts w:hint="eastAsia" w:ascii="仿宋" w:hAnsi="仿宋" w:eastAsia="仿宋" w:cs="仿宋"/>
          <w:b/>
          <w:sz w:val="28"/>
          <w:szCs w:val="28"/>
        </w:rPr>
        <w:t>第三条  组成本合同的有关文件</w:t>
      </w:r>
    </w:p>
    <w:p>
      <w:pPr>
        <w:pStyle w:val="27"/>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下列关于采购（项目编号</w:t>
      </w:r>
      <w:r>
        <w:rPr>
          <w:rFonts w:hint="eastAsia" w:ascii="仿宋" w:hAnsi="仿宋" w:eastAsia="仿宋" w:cs="仿宋"/>
          <w:sz w:val="28"/>
          <w:szCs w:val="28"/>
          <w:u w:val="single"/>
        </w:rPr>
        <w:t xml:space="preserve">）       </w:t>
      </w:r>
      <w:r>
        <w:rPr>
          <w:rFonts w:hint="eastAsia" w:ascii="仿宋" w:hAnsi="仿宋" w:eastAsia="仿宋" w:cs="仿宋"/>
          <w:sz w:val="28"/>
          <w:szCs w:val="28"/>
        </w:rPr>
        <w:t>的招投标文件或与本次采购活动方式相适应的文件及有关附件是本合同不可分割的组成部分，与本合同具有同等法律效力，这些文件包括但不限于：</w:t>
      </w:r>
    </w:p>
    <w:p>
      <w:pPr>
        <w:pStyle w:val="27"/>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（1）乙方提供的投标文件（含澄清文件）和投标报价表；</w:t>
      </w:r>
    </w:p>
    <w:p>
      <w:pPr>
        <w:pStyle w:val="27"/>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（2）供货一览表；　　    （3）交货地点一览表；</w:t>
      </w:r>
    </w:p>
    <w:p>
      <w:pPr>
        <w:pStyle w:val="27"/>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（4）技术规格响应表；　　（5）投标承诺；</w:t>
      </w:r>
    </w:p>
    <w:p>
      <w:pPr>
        <w:pStyle w:val="27"/>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（6）服务承诺；　　      （7）中标或成交通知书；</w:t>
      </w:r>
    </w:p>
    <w:p>
      <w:pPr>
        <w:pStyle w:val="27"/>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（8）招标文件（含招标文件补充通知）；</w:t>
      </w:r>
    </w:p>
    <w:p>
      <w:pPr>
        <w:pStyle w:val="27"/>
        <w:keepNext w:val="0"/>
        <w:keepLines w:val="0"/>
        <w:pageBreakBefore w:val="0"/>
        <w:widowControl w:val="0"/>
        <w:kinsoku/>
        <w:wordWrap/>
        <w:overflowPunct/>
        <w:topLinePunct w:val="0"/>
        <w:autoSpaceDE/>
        <w:autoSpaceDN/>
        <w:bidi w:val="0"/>
        <w:adjustRightInd/>
        <w:snapToGrid/>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（9）甲乙双方商定的其他合同补充条款或协议。 </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rPr>
          <w:rFonts w:ascii="仿宋" w:hAnsi="仿宋" w:eastAsia="仿宋" w:cs="宋体"/>
          <w:b/>
          <w:sz w:val="28"/>
          <w:szCs w:val="28"/>
        </w:rPr>
      </w:pPr>
      <w:r>
        <w:rPr>
          <w:rFonts w:hint="eastAsia" w:ascii="仿宋" w:hAnsi="仿宋" w:eastAsia="仿宋" w:cs="宋体"/>
          <w:b/>
          <w:sz w:val="28"/>
          <w:szCs w:val="28"/>
        </w:rPr>
        <w:t>第四条  权利保证</w:t>
      </w:r>
    </w:p>
    <w:p>
      <w:pPr>
        <w:spacing w:line="440" w:lineRule="exact"/>
        <w:ind w:firstLine="560" w:firstLineChars="200"/>
        <w:rPr>
          <w:rFonts w:ascii="仿宋" w:hAnsi="仿宋" w:eastAsia="仿宋" w:cs="仿宋"/>
          <w:b/>
          <w:sz w:val="28"/>
          <w:szCs w:val="28"/>
        </w:rPr>
      </w:pPr>
      <w:r>
        <w:rPr>
          <w:rFonts w:hint="eastAsia" w:ascii="仿宋" w:hAnsi="仿宋" w:eastAsia="仿宋" w:cs="宋体"/>
          <w:sz w:val="28"/>
          <w:szCs w:val="28"/>
        </w:rPr>
        <w:t>乙方应保证甲方在使用、接受本合同货物和服务或其任何一部分时不受第三方提出侵犯其专利权、版权、商标权和工业设计权等知识产权以及所有权、使用权等物权方面的起诉。</w:t>
      </w:r>
      <w:r>
        <w:rPr>
          <w:rFonts w:hint="eastAsia" w:ascii="仿宋" w:hAnsi="仿宋" w:eastAsia="仿宋" w:cs="仿宋"/>
          <w:sz w:val="28"/>
          <w:szCs w:val="28"/>
        </w:rPr>
        <w:t>一旦出现侵权相关纠纷</w:t>
      </w:r>
      <w:r>
        <w:rPr>
          <w:rFonts w:hint="eastAsia" w:ascii="仿宋" w:hAnsi="仿宋" w:eastAsia="仿宋" w:cs="宋体"/>
          <w:sz w:val="28"/>
          <w:szCs w:val="28"/>
        </w:rPr>
        <w:t>，</w:t>
      </w:r>
      <w:r>
        <w:rPr>
          <w:rFonts w:hint="eastAsia" w:ascii="仿宋" w:hAnsi="仿宋" w:eastAsia="仿宋" w:cs="仿宋"/>
          <w:sz w:val="28"/>
          <w:szCs w:val="28"/>
        </w:rPr>
        <w:t>由乙方负全部责任包含因此纠纷甲方支付的全部赔偿和费用。</w:t>
      </w:r>
    </w:p>
    <w:p>
      <w:pPr>
        <w:spacing w:line="440" w:lineRule="exact"/>
        <w:ind w:firstLine="562" w:firstLineChars="200"/>
        <w:rPr>
          <w:rFonts w:ascii="仿宋" w:hAnsi="仿宋" w:eastAsia="仿宋" w:cs="仿宋"/>
          <w:b/>
          <w:sz w:val="28"/>
          <w:szCs w:val="28"/>
        </w:rPr>
      </w:pPr>
      <w:r>
        <w:rPr>
          <w:rFonts w:hint="eastAsia" w:ascii="仿宋" w:hAnsi="仿宋" w:eastAsia="仿宋" w:cs="仿宋"/>
          <w:b/>
          <w:sz w:val="28"/>
          <w:szCs w:val="28"/>
        </w:rPr>
        <w:t xml:space="preserve">第五条  质量保证  </w:t>
      </w:r>
    </w:p>
    <w:p>
      <w:pPr>
        <w:spacing w:line="380" w:lineRule="exact"/>
        <w:ind w:firstLine="560" w:firstLineChars="200"/>
        <w:rPr>
          <w:rFonts w:ascii="仿宋" w:hAnsi="仿宋" w:eastAsia="仿宋" w:cs="仿宋"/>
          <w:sz w:val="28"/>
          <w:szCs w:val="28"/>
        </w:rPr>
      </w:pPr>
      <w:r>
        <w:rPr>
          <w:rFonts w:hint="eastAsia" w:ascii="仿宋" w:hAnsi="仿宋" w:eastAsia="仿宋" w:cs="仿宋"/>
          <w:sz w:val="28"/>
          <w:szCs w:val="28"/>
        </w:rPr>
        <w:t>1.乙方所提供的货物的技术规格符合招标文件规定的技术规格，货物符合中华人民共和国的设计和制造生产标准或行业标准。</w:t>
      </w:r>
    </w:p>
    <w:p>
      <w:pPr>
        <w:spacing w:line="380" w:lineRule="exact"/>
        <w:ind w:firstLine="560" w:firstLineChars="200"/>
        <w:rPr>
          <w:rFonts w:ascii="仿宋" w:hAnsi="仿宋" w:eastAsia="仿宋" w:cs="仿宋"/>
          <w:sz w:val="28"/>
          <w:szCs w:val="28"/>
        </w:rPr>
      </w:pPr>
      <w:r>
        <w:rPr>
          <w:rFonts w:hint="eastAsia" w:ascii="仿宋" w:hAnsi="仿宋" w:eastAsia="仿宋" w:cs="仿宋"/>
          <w:sz w:val="28"/>
          <w:szCs w:val="28"/>
        </w:rPr>
        <w:t>2.乙方应保证货物是全新、未使用过的原装合格正品（包括零部件），并完全符合甲方要求的质量、规格和性能的要求。如货物安装或配置了软件的，乙方保证相关软件均为正版软件。</w:t>
      </w:r>
    </w:p>
    <w:p>
      <w:pPr>
        <w:spacing w:line="380" w:lineRule="exact"/>
        <w:ind w:firstLine="560" w:firstLineChars="200"/>
        <w:rPr>
          <w:rFonts w:ascii="仿宋" w:hAnsi="仿宋" w:eastAsia="仿宋" w:cs="仿宋"/>
          <w:sz w:val="28"/>
          <w:szCs w:val="28"/>
        </w:rPr>
      </w:pPr>
      <w:r>
        <w:rPr>
          <w:rFonts w:hint="eastAsia" w:ascii="仿宋" w:hAnsi="仿宋" w:eastAsia="仿宋" w:cs="仿宋"/>
          <w:sz w:val="28"/>
          <w:szCs w:val="28"/>
        </w:rPr>
        <w:t>3.乙方保证交货时一并提供货物的质量合格凭证或文件。</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4.乙方应保证其提供的货物在正确安装、正常使用和保养</w:t>
      </w:r>
      <w:r>
        <w:rPr>
          <w:rFonts w:hint="eastAsia" w:ascii="仿宋" w:hAnsi="仿宋" w:eastAsia="仿宋" w:cs="仿宋"/>
          <w:color w:val="auto"/>
          <w:sz w:val="28"/>
          <w:szCs w:val="28"/>
          <w:u w:val="none"/>
        </w:rPr>
        <w:t>条件</w:t>
      </w:r>
      <w:r>
        <w:rPr>
          <w:rFonts w:hint="eastAsia" w:ascii="仿宋" w:hAnsi="仿宋" w:eastAsia="仿宋" w:cs="仿宋"/>
          <w:sz w:val="28"/>
          <w:szCs w:val="28"/>
        </w:rPr>
        <w:t>下，在其使用寿命内具有良好的性能。</w:t>
      </w:r>
    </w:p>
    <w:p>
      <w:pPr>
        <w:spacing w:line="440" w:lineRule="exact"/>
        <w:ind w:firstLine="560" w:firstLineChars="200"/>
        <w:rPr>
          <w:rFonts w:ascii="仿宋" w:hAnsi="仿宋" w:eastAsia="仿宋" w:cs="宋体"/>
          <w:sz w:val="28"/>
          <w:szCs w:val="28"/>
        </w:rPr>
      </w:pPr>
      <w:r>
        <w:rPr>
          <w:rFonts w:hint="eastAsia" w:ascii="仿宋" w:hAnsi="仿宋" w:eastAsia="仿宋" w:cs="仿宋"/>
          <w:sz w:val="28"/>
          <w:szCs w:val="28"/>
        </w:rPr>
        <w:t>5.在质量保证期内，乙方应对由于设计、工艺、材料的缺陷或不足发生的质量问题检测、检定等所产生的一切费用负责。</w:t>
      </w:r>
    </w:p>
    <w:p>
      <w:pPr>
        <w:spacing w:line="440" w:lineRule="exact"/>
        <w:ind w:firstLine="562" w:firstLineChars="200"/>
        <w:rPr>
          <w:rFonts w:ascii="仿宋" w:hAnsi="仿宋" w:eastAsia="仿宋" w:cs="仿宋"/>
          <w:sz w:val="28"/>
          <w:szCs w:val="28"/>
        </w:rPr>
      </w:pPr>
      <w:r>
        <w:rPr>
          <w:rFonts w:hint="eastAsia" w:ascii="仿宋" w:hAnsi="仿宋" w:eastAsia="仿宋" w:cs="仿宋"/>
          <w:b/>
          <w:sz w:val="28"/>
          <w:szCs w:val="28"/>
        </w:rPr>
        <w:t>第六条包装和运输</w:t>
      </w:r>
    </w:p>
    <w:p>
      <w:pPr>
        <w:spacing w:line="380" w:lineRule="exact"/>
        <w:ind w:firstLine="560" w:firstLineChars="200"/>
        <w:rPr>
          <w:rFonts w:ascii="仿宋" w:hAnsi="仿宋" w:eastAsia="仿宋" w:cs="仿宋"/>
          <w:sz w:val="28"/>
          <w:szCs w:val="28"/>
        </w:rPr>
      </w:pPr>
      <w:r>
        <w:rPr>
          <w:rFonts w:hint="eastAsia" w:ascii="仿宋" w:hAnsi="仿宋" w:eastAsia="仿宋" w:cs="仿宋"/>
          <w:sz w:val="28"/>
          <w:szCs w:val="28"/>
        </w:rPr>
        <w:t>1.包装要求除双方另有约定外，按照乙方公司或生产厂家包装规范予以包装。</w:t>
      </w:r>
    </w:p>
    <w:p>
      <w:pPr>
        <w:spacing w:line="380" w:lineRule="exact"/>
        <w:ind w:firstLine="560" w:firstLineChars="200"/>
        <w:rPr>
          <w:rFonts w:ascii="仿宋" w:hAnsi="仿宋" w:eastAsia="仿宋" w:cs="仿宋"/>
          <w:sz w:val="28"/>
          <w:szCs w:val="28"/>
        </w:rPr>
      </w:pPr>
      <w:r>
        <w:rPr>
          <w:rFonts w:hint="eastAsia" w:ascii="仿宋" w:hAnsi="仿宋" w:eastAsia="仿宋" w:cs="仿宋"/>
          <w:sz w:val="28"/>
          <w:szCs w:val="28"/>
        </w:rPr>
        <w:t>2.乙方供货的包装标准，应满足运输要求并能有效保护货物，乙方应确保运抵甲方处货物的完好性，包装费用由乙方承担。</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3.乙方负责送货上门，乙方应确保产品运输的安全性。乙方将货物运至双方约定的交付地点，卸载、摆放至甲方指定的位置，并办理相关交货手续，运费由乙方承担。</w:t>
      </w:r>
    </w:p>
    <w:p>
      <w:pPr>
        <w:spacing w:line="440" w:lineRule="exact"/>
        <w:ind w:firstLine="562" w:firstLineChars="200"/>
        <w:jc w:val="left"/>
        <w:rPr>
          <w:rFonts w:ascii="仿宋" w:hAnsi="仿宋" w:eastAsia="仿宋" w:cs="仿宋"/>
          <w:b/>
          <w:sz w:val="28"/>
          <w:szCs w:val="28"/>
        </w:rPr>
      </w:pPr>
      <w:r>
        <w:rPr>
          <w:rFonts w:hint="eastAsia" w:ascii="仿宋" w:hAnsi="仿宋" w:eastAsia="仿宋" w:cs="仿宋"/>
          <w:b/>
          <w:sz w:val="28"/>
          <w:szCs w:val="28"/>
        </w:rPr>
        <w:t>第七条</w:t>
      </w: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rPr>
        <w:t xml:space="preserve">交付和验收 </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1.交货时间：合同签订之日起个日历日内。</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2.交货地点：深圳市龙岗区第</w:t>
      </w:r>
      <w:r>
        <w:rPr>
          <w:rFonts w:hint="eastAsia" w:ascii="仿宋" w:hAnsi="仿宋" w:eastAsia="仿宋" w:cs="仿宋"/>
          <w:sz w:val="28"/>
          <w:szCs w:val="28"/>
          <w:lang w:val="en-US" w:eastAsia="zh-CN"/>
        </w:rPr>
        <w:t>七</w:t>
      </w:r>
      <w:r>
        <w:rPr>
          <w:rFonts w:hint="eastAsia" w:ascii="仿宋" w:hAnsi="仿宋" w:eastAsia="仿宋" w:cs="仿宋"/>
          <w:sz w:val="28"/>
          <w:szCs w:val="28"/>
        </w:rPr>
        <w:t>人民医院或指定的其他地点。</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3.交货方式：乙方按合同或招投标文件规定供货的品种、规格、数量、质量、时间等</w:t>
      </w:r>
      <w:r>
        <w:rPr>
          <w:rFonts w:hint="eastAsia" w:ascii="仿宋" w:hAnsi="仿宋" w:eastAsia="仿宋" w:cs="仿宋_GB2312"/>
          <w:sz w:val="28"/>
          <w:szCs w:val="28"/>
        </w:rPr>
        <w:t>（具体以合同及采购订单的要求为准）</w:t>
      </w:r>
      <w:r>
        <w:rPr>
          <w:rFonts w:hint="eastAsia" w:ascii="仿宋" w:hAnsi="仿宋" w:eastAsia="仿宋" w:cs="仿宋"/>
          <w:sz w:val="28"/>
          <w:szCs w:val="28"/>
        </w:rPr>
        <w:t>将所需货物运送到甲方指定地点，所产生的一切费用由乙方负责。</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4.验收：</w:t>
      </w:r>
    </w:p>
    <w:p>
      <w:pPr>
        <w:spacing w:line="380" w:lineRule="exact"/>
        <w:ind w:firstLine="560" w:firstLineChars="200"/>
        <w:rPr>
          <w:rFonts w:ascii="仿宋" w:hAnsi="仿宋" w:eastAsia="仿宋" w:cs="仿宋"/>
          <w:sz w:val="28"/>
          <w:szCs w:val="28"/>
        </w:rPr>
      </w:pPr>
      <w:r>
        <w:rPr>
          <w:rFonts w:hint="eastAsia" w:ascii="仿宋" w:hAnsi="仿宋" w:eastAsia="仿宋" w:cs="仿宋"/>
          <w:sz w:val="28"/>
          <w:szCs w:val="28"/>
        </w:rPr>
        <w:t>（1）乙方交付的货物应当完全符合招投标文件所规定的货物、数量、质量和规格要求。乙方提供的货物不符合招投标文件和合同规定的，甲方有权拒收货物，由此引起的风险，由乙方承担。</w:t>
      </w:r>
    </w:p>
    <w:p>
      <w:pPr>
        <w:spacing w:line="380" w:lineRule="exact"/>
        <w:ind w:firstLine="560" w:firstLineChars="200"/>
        <w:rPr>
          <w:rFonts w:ascii="仿宋" w:hAnsi="仿宋" w:eastAsia="仿宋" w:cs="仿宋"/>
          <w:sz w:val="28"/>
          <w:szCs w:val="28"/>
        </w:rPr>
      </w:pPr>
      <w:r>
        <w:rPr>
          <w:rFonts w:hint="eastAsia" w:ascii="仿宋" w:hAnsi="仿宋" w:eastAsia="仿宋" w:cs="仿宋"/>
          <w:sz w:val="28"/>
          <w:szCs w:val="28"/>
        </w:rPr>
        <w:t>（2）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80" w:lineRule="exact"/>
        <w:ind w:firstLine="560" w:firstLineChars="200"/>
        <w:rPr>
          <w:rFonts w:ascii="仿宋" w:hAnsi="仿宋" w:eastAsia="仿宋" w:cs="仿宋"/>
          <w:sz w:val="28"/>
          <w:szCs w:val="28"/>
        </w:rPr>
      </w:pPr>
      <w:r>
        <w:rPr>
          <w:rFonts w:hint="eastAsia" w:ascii="仿宋" w:hAnsi="仿宋" w:eastAsia="仿宋" w:cs="仿宋"/>
          <w:sz w:val="28"/>
          <w:szCs w:val="28"/>
        </w:rPr>
        <w:t>（3）由甲、</w:t>
      </w:r>
      <w:r>
        <w:rPr>
          <w:rFonts w:hint="eastAsia" w:ascii="仿宋" w:hAnsi="仿宋" w:eastAsia="仿宋" w:cs="仿宋"/>
          <w:sz w:val="28"/>
          <w:szCs w:val="28"/>
          <w:lang w:val="en-US" w:eastAsia="zh-CN"/>
        </w:rPr>
        <w:t>乙</w:t>
      </w:r>
      <w:r>
        <w:rPr>
          <w:rFonts w:hint="eastAsia" w:ascii="仿宋" w:hAnsi="仿宋" w:eastAsia="仿宋" w:cs="仿宋"/>
          <w:sz w:val="28"/>
          <w:szCs w:val="28"/>
        </w:rPr>
        <w:t>双方及使用科室代表对货物进行验收，需要乙方对货物或系统进行安装调试的，双方应在货物安装调试完毕后的（）个工作日内进行质量验收，在甲方现场验收和培训发生的一切费用由乙方承担。</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（4）货物的到货验收包括：型号、规格、数量、外观、质量及货物包装是否符合招标、投标文件以及合同等规定的标准。</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5）验收时以乙方投标文件中的技术规格偏离表为准；产品配置如《合同》中约定的标准与招投标文件不符时，适用标准应以对甲方有利的标准优先适用，甲方有权选择决定适用何种标准，乙方应予以配合。如招投标文件的内容与《合同书》不一致时，甲方有权选择对其有利的约定来要求乙方履行，乙方须予以配合，否则甲方有权解除合同。</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（6）其他约定：</w:t>
      </w:r>
    </w:p>
    <w:p>
      <w:pPr>
        <w:spacing w:line="440" w:lineRule="exact"/>
        <w:ind w:firstLine="562" w:firstLineChars="200"/>
        <w:rPr>
          <w:rFonts w:ascii="仿宋" w:hAnsi="仿宋" w:eastAsia="仿宋" w:cs="仿宋"/>
          <w:b/>
          <w:sz w:val="28"/>
          <w:szCs w:val="28"/>
        </w:rPr>
      </w:pPr>
      <w:r>
        <w:rPr>
          <w:rFonts w:hint="eastAsia" w:ascii="仿宋" w:hAnsi="仿宋" w:eastAsia="仿宋" w:cs="仿宋"/>
          <w:b/>
          <w:sz w:val="28"/>
          <w:szCs w:val="28"/>
        </w:rPr>
        <w:t>第八条  伴随服务/售后服务</w:t>
      </w:r>
    </w:p>
    <w:p>
      <w:pPr>
        <w:pStyle w:val="27"/>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1.乙方可能被要求提供下列服务中的一项或全部服务。</w:t>
      </w:r>
    </w:p>
    <w:p>
      <w:pPr>
        <w:pStyle w:val="27"/>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（1）产品的现场搬运或入库；</w:t>
      </w:r>
    </w:p>
    <w:p>
      <w:pPr>
        <w:pStyle w:val="27"/>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（2）提供产品开箱或分装的用具；</w:t>
      </w:r>
    </w:p>
    <w:p>
      <w:pPr>
        <w:pStyle w:val="27"/>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（3）对开箱时发现的破损、近效期产品或其</w:t>
      </w:r>
      <w:r>
        <w:rPr>
          <w:rFonts w:hint="eastAsia" w:ascii="仿宋" w:hAnsi="仿宋" w:eastAsia="仿宋" w:cs="仿宋"/>
          <w:sz w:val="28"/>
          <w:szCs w:val="28"/>
          <w:lang w:val="en-US" w:eastAsia="zh-CN"/>
        </w:rPr>
        <w:t>他</w:t>
      </w:r>
      <w:r>
        <w:rPr>
          <w:rFonts w:hint="eastAsia" w:ascii="仿宋" w:hAnsi="仿宋" w:eastAsia="仿宋" w:cs="仿宋"/>
          <w:sz w:val="28"/>
          <w:szCs w:val="28"/>
        </w:rPr>
        <w:t>不合格包装产品无条件及时更换；</w:t>
      </w:r>
    </w:p>
    <w:p>
      <w:pPr>
        <w:pStyle w:val="27"/>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（4）其</w:t>
      </w:r>
      <w:r>
        <w:rPr>
          <w:rFonts w:hint="eastAsia" w:ascii="仿宋" w:hAnsi="仿宋" w:eastAsia="仿宋" w:cs="仿宋"/>
          <w:sz w:val="28"/>
          <w:szCs w:val="28"/>
          <w:lang w:val="en-US" w:eastAsia="zh-CN"/>
        </w:rPr>
        <w:t>他</w:t>
      </w:r>
      <w:r>
        <w:rPr>
          <w:rFonts w:hint="eastAsia" w:ascii="仿宋" w:hAnsi="仿宋" w:eastAsia="仿宋" w:cs="仿宋"/>
          <w:sz w:val="28"/>
          <w:szCs w:val="28"/>
        </w:rPr>
        <w:t>乙方应提供的相关服务项目。</w:t>
      </w:r>
    </w:p>
    <w:p>
      <w:pPr>
        <w:snapToGrid w:val="0"/>
        <w:spacing w:line="44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2.乙方应保证提供的货物</w:t>
      </w:r>
      <w:r>
        <w:rPr>
          <w:rFonts w:hint="eastAsia" w:ascii="仿宋" w:hAnsi="仿宋" w:eastAsia="仿宋" w:cs="仿宋_GB2312"/>
          <w:sz w:val="28"/>
          <w:szCs w:val="28"/>
          <w:lang w:val="en-US" w:eastAsia="zh-CN"/>
        </w:rPr>
        <w:t>质保</w:t>
      </w:r>
      <w:r>
        <w:rPr>
          <w:rFonts w:hint="eastAsia" w:ascii="仿宋" w:hAnsi="仿宋" w:eastAsia="仿宋" w:cs="仿宋_GB2312"/>
          <w:sz w:val="28"/>
          <w:szCs w:val="28"/>
        </w:rPr>
        <w:t>期为</w:t>
      </w:r>
      <w:r>
        <w:rPr>
          <w:rFonts w:hint="eastAsia" w:ascii="仿宋" w:hAnsi="仿宋" w:eastAsia="仿宋" w:cs="仿宋_GB2312"/>
          <w:sz w:val="28"/>
          <w:szCs w:val="28"/>
          <w:u w:val="single"/>
          <w:lang w:val="en-US" w:eastAsia="zh-CN"/>
        </w:rPr>
        <w:t xml:space="preserve">       </w:t>
      </w:r>
      <w:r>
        <w:rPr>
          <w:rFonts w:hint="eastAsia" w:ascii="仿宋" w:hAnsi="仿宋" w:eastAsia="仿宋" w:cs="仿宋_GB2312"/>
          <w:sz w:val="28"/>
          <w:szCs w:val="28"/>
        </w:rPr>
        <w:t>，应按照国家有关 “三包”规定和招标文件要求及乙方投标文件的相关承诺提供保修及其他服务。</w:t>
      </w:r>
    </w:p>
    <w:p>
      <w:pPr>
        <w:snapToGrid w:val="0"/>
        <w:spacing w:line="44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w:t>
      </w:r>
      <w:r>
        <w:rPr>
          <w:rFonts w:hint="eastAsia" w:ascii="仿宋" w:hAnsi="仿宋" w:eastAsia="仿宋" w:cs="仿宋_GB2312"/>
          <w:sz w:val="28"/>
          <w:szCs w:val="28"/>
          <w:lang w:val="en-US" w:eastAsia="zh-CN"/>
        </w:rPr>
        <w:t>保修期</w:t>
      </w:r>
      <w:r>
        <w:rPr>
          <w:rFonts w:hint="eastAsia" w:ascii="仿宋" w:hAnsi="仿宋" w:eastAsia="仿宋" w:cs="仿宋_GB2312"/>
          <w:sz w:val="28"/>
          <w:szCs w:val="28"/>
        </w:rPr>
        <w:t>为</w:t>
      </w:r>
      <w:r>
        <w:rPr>
          <w:rFonts w:hint="eastAsia" w:ascii="仿宋" w:hAnsi="仿宋" w:eastAsia="仿宋" w:cs="仿宋_GB2312"/>
          <w:sz w:val="28"/>
          <w:szCs w:val="28"/>
          <w:u w:val="single"/>
          <w:lang w:val="en-US" w:eastAsia="zh-CN"/>
        </w:rPr>
        <w:t xml:space="preserve">       </w:t>
      </w:r>
      <w:r>
        <w:rPr>
          <w:rFonts w:hint="eastAsia" w:ascii="仿宋" w:hAnsi="仿宋" w:eastAsia="仿宋" w:cs="仿宋_GB2312"/>
          <w:sz w:val="28"/>
          <w:szCs w:val="28"/>
          <w:lang w:val="en-US" w:eastAsia="zh-CN"/>
        </w:rPr>
        <w:t>。</w:t>
      </w:r>
      <w:r>
        <w:rPr>
          <w:rFonts w:hint="eastAsia" w:ascii="仿宋" w:hAnsi="仿宋" w:eastAsia="仿宋" w:cs="仿宋_GB2312"/>
          <w:sz w:val="28"/>
          <w:szCs w:val="28"/>
        </w:rPr>
        <w:t>保修期内，乙方负责对其提供的货物进行维修和系统维护，不再收取任何费用。所有货物保修服务方式均为乙方上门保修，即由乙方派员到货物使用现场维修，由此产生的一切费用均由乙方承担。保修期后的货物维护另行协商。</w:t>
      </w:r>
    </w:p>
    <w:p>
      <w:pPr>
        <w:spacing w:line="440" w:lineRule="exact"/>
        <w:ind w:firstLine="562" w:firstLineChars="200"/>
        <w:rPr>
          <w:rFonts w:ascii="仿宋" w:hAnsi="仿宋" w:eastAsia="仿宋" w:cs="仿宋"/>
          <w:b/>
          <w:sz w:val="28"/>
          <w:szCs w:val="28"/>
        </w:rPr>
      </w:pPr>
      <w:r>
        <w:rPr>
          <w:rFonts w:hint="eastAsia" w:ascii="仿宋" w:hAnsi="仿宋" w:eastAsia="仿宋" w:cs="仿宋"/>
          <w:b/>
          <w:sz w:val="28"/>
          <w:szCs w:val="28"/>
        </w:rPr>
        <w:t>第九条  付款方式</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以转账方式付款，以实收货物的数量为准，验收合格后，收到供应商合法发票后（）日内一次性付款，或按深圳市龙岗区财政局有关规定执行。</w:t>
      </w:r>
    </w:p>
    <w:p>
      <w:pPr>
        <w:spacing w:line="440" w:lineRule="exact"/>
        <w:ind w:firstLine="562" w:firstLineChars="200"/>
        <w:rPr>
          <w:rFonts w:ascii="仿宋" w:hAnsi="仿宋" w:eastAsia="仿宋" w:cs="宋体"/>
          <w:sz w:val="28"/>
          <w:szCs w:val="28"/>
        </w:rPr>
      </w:pPr>
      <w:r>
        <w:rPr>
          <w:rFonts w:hint="eastAsia" w:ascii="仿宋" w:hAnsi="仿宋" w:eastAsia="仿宋" w:cs="宋体"/>
          <w:b/>
          <w:sz w:val="28"/>
          <w:szCs w:val="28"/>
        </w:rPr>
        <w:t>第十条  合同的变更、终止与转让</w:t>
      </w:r>
    </w:p>
    <w:p>
      <w:pPr>
        <w:spacing w:line="440" w:lineRule="exact"/>
        <w:ind w:firstLine="560" w:firstLineChars="200"/>
        <w:rPr>
          <w:rFonts w:ascii="仿宋" w:hAnsi="仿宋" w:eastAsia="仿宋" w:cs="宋体"/>
          <w:sz w:val="28"/>
          <w:szCs w:val="28"/>
        </w:rPr>
      </w:pPr>
      <w:r>
        <w:rPr>
          <w:rFonts w:hint="eastAsia" w:ascii="仿宋" w:hAnsi="仿宋" w:eastAsia="仿宋" w:cs="宋体"/>
          <w:sz w:val="28"/>
          <w:szCs w:val="28"/>
        </w:rPr>
        <w:t>1.除《</w:t>
      </w:r>
      <w:r>
        <w:rPr>
          <w:rFonts w:hint="eastAsia" w:ascii="仿宋" w:hAnsi="仿宋" w:eastAsia="仿宋" w:cs="仿宋"/>
          <w:sz w:val="28"/>
          <w:szCs w:val="28"/>
        </w:rPr>
        <w:t>中华人民共和国政府采购法</w:t>
      </w:r>
      <w:r>
        <w:rPr>
          <w:rFonts w:hint="eastAsia" w:ascii="仿宋" w:hAnsi="仿宋" w:eastAsia="仿宋" w:cs="宋体"/>
          <w:sz w:val="28"/>
          <w:szCs w:val="28"/>
        </w:rPr>
        <w:t xml:space="preserve">》第49条、第50条第二款规定的情形外，本合同一经签订，甲乙双方不得擅自变更、中止或终止合同。  </w:t>
      </w:r>
    </w:p>
    <w:p>
      <w:pPr>
        <w:spacing w:line="440" w:lineRule="exact"/>
        <w:ind w:firstLine="560" w:firstLineChars="200"/>
        <w:rPr>
          <w:rFonts w:ascii="仿宋" w:hAnsi="仿宋" w:eastAsia="仿宋" w:cs="仿宋"/>
          <w:kern w:val="0"/>
          <w:sz w:val="28"/>
          <w:szCs w:val="28"/>
        </w:rPr>
      </w:pPr>
      <w:r>
        <w:rPr>
          <w:rFonts w:hint="eastAsia" w:ascii="仿宋" w:hAnsi="仿宋" w:eastAsia="仿宋" w:cs="宋体"/>
          <w:sz w:val="28"/>
          <w:szCs w:val="28"/>
        </w:rPr>
        <w:t>2.乙方不得擅自部分或全部转让其应履行的</w:t>
      </w:r>
      <w:r>
        <w:rPr>
          <w:rFonts w:hint="eastAsia" w:ascii="仿宋" w:hAnsi="仿宋" w:eastAsia="仿宋" w:cs="宋体"/>
          <w:color w:val="auto"/>
          <w:sz w:val="28"/>
          <w:szCs w:val="28"/>
          <w:u w:val="none"/>
        </w:rPr>
        <w:t>合同义务</w:t>
      </w:r>
      <w:r>
        <w:rPr>
          <w:rFonts w:hint="eastAsia" w:ascii="仿宋" w:hAnsi="仿宋" w:eastAsia="仿宋" w:cs="宋体"/>
          <w:sz w:val="28"/>
          <w:szCs w:val="28"/>
        </w:rPr>
        <w:t>，否则甲方有权终止合同，并有权要求乙方支付违约金，违约金按本合同总金额的（）%计算。</w:t>
      </w:r>
    </w:p>
    <w:p>
      <w:pPr>
        <w:spacing w:line="440" w:lineRule="exact"/>
        <w:ind w:firstLine="562" w:firstLineChars="200"/>
        <w:rPr>
          <w:rFonts w:ascii="仿宋" w:hAnsi="仿宋" w:eastAsia="仿宋" w:cs="仿宋"/>
          <w:color w:val="000000"/>
          <w:sz w:val="28"/>
          <w:szCs w:val="28"/>
        </w:rPr>
      </w:pPr>
      <w:r>
        <w:rPr>
          <w:rFonts w:hint="eastAsia" w:ascii="仿宋" w:hAnsi="仿宋" w:eastAsia="仿宋" w:cs="仿宋"/>
          <w:b/>
          <w:color w:val="000000"/>
          <w:sz w:val="28"/>
          <w:szCs w:val="28"/>
        </w:rPr>
        <w:t>第十一条  违约责任</w:t>
      </w:r>
    </w:p>
    <w:p>
      <w:pPr>
        <w:widowControl/>
        <w:spacing w:line="4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1.甲方无正当理由拒收货物、拒付货物款的，由甲方向乙方偿付拒收货物总价的（）%违约金。</w:t>
      </w:r>
    </w:p>
    <w:p>
      <w:pPr>
        <w:widowControl/>
        <w:spacing w:line="4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2.甲方未按合同规定的期限向乙方支付货款的，每逾期1天甲方向乙方偿付欠款总额的（）%滞纳金，但累计滞纳金总额不超过欠款总额的（）%。</w:t>
      </w:r>
    </w:p>
    <w:p>
      <w:pPr>
        <w:widowControl/>
        <w:spacing w:line="440" w:lineRule="exact"/>
        <w:ind w:firstLine="560" w:firstLineChars="200"/>
        <w:rPr>
          <w:rFonts w:ascii="仿宋" w:hAnsi="仿宋" w:eastAsia="仿宋" w:cs="仿宋"/>
          <w:sz w:val="28"/>
          <w:szCs w:val="28"/>
        </w:rPr>
      </w:pPr>
      <w:r>
        <w:rPr>
          <w:rFonts w:hint="eastAsia" w:ascii="仿宋" w:hAnsi="仿宋" w:eastAsia="仿宋" w:cs="仿宋"/>
          <w:color w:val="000000"/>
          <w:sz w:val="28"/>
          <w:szCs w:val="28"/>
        </w:rPr>
        <w:t>3.乙方逾期交付货物的，每逾</w:t>
      </w:r>
      <w:r>
        <w:rPr>
          <w:rFonts w:hint="eastAsia" w:ascii="仿宋" w:hAnsi="仿宋" w:eastAsia="仿宋" w:cs="仿宋"/>
          <w:sz w:val="28"/>
          <w:szCs w:val="28"/>
        </w:rPr>
        <w:t>期1天，乙方向甲方偿付逾期交货部分货款总额的（）%的滞纳金。如超过供货期30天,甲方有权终止合同，同时乙方应向甲方支付合同总价（</w:t>
      </w:r>
      <w:r>
        <w:rPr>
          <w:rFonts w:ascii="仿宋" w:hAnsi="仿宋" w:eastAsia="仿宋" w:cs="仿宋"/>
          <w:sz w:val="28"/>
          <w:szCs w:val="28"/>
        </w:rPr>
        <w:t>）</w:t>
      </w:r>
      <w:r>
        <w:rPr>
          <w:rFonts w:hint="eastAsia" w:ascii="仿宋" w:hAnsi="仿宋" w:eastAsia="仿宋" w:cs="仿宋"/>
          <w:sz w:val="28"/>
          <w:szCs w:val="28"/>
        </w:rPr>
        <w:t>%的违约金。给甲方造成损失的将通过法律程序向乙方进行索赔。</w:t>
      </w:r>
    </w:p>
    <w:p>
      <w:pPr>
        <w:widowControl/>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4.乙方所交付的货物品种、型号、规格不符合合同规定的，甲方有权拒收。甲方拒收的，乙方应向甲方支付货款总额（）%的违约金。</w:t>
      </w:r>
    </w:p>
    <w:p>
      <w:pPr>
        <w:widowControl/>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5.在乙方承诺的或国家规定的质量保证期内（取两者中最长的期限），如经乙方两次更换，货物仍不能达到合同约定的质量标准，甲方有权退货，乙方应退回全部货款。并解除合同</w:t>
      </w:r>
    </w:p>
    <w:p>
      <w:pPr>
        <w:widowControl/>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6.乙方未按本合同的规定和“服务承诺”提供伴随服务/售后服务的，应按合同总价款的（）%向甲方承担违约责任。</w:t>
      </w:r>
    </w:p>
    <w:p>
      <w:pPr>
        <w:widowControl/>
        <w:spacing w:line="440" w:lineRule="exact"/>
        <w:ind w:firstLine="560" w:firstLineChars="200"/>
        <w:rPr>
          <w:rFonts w:ascii="仿宋" w:hAnsi="仿宋" w:eastAsia="仿宋" w:cs="仿宋"/>
          <w:sz w:val="28"/>
          <w:szCs w:val="28"/>
        </w:rPr>
      </w:pPr>
      <w:r>
        <w:rPr>
          <w:rFonts w:hint="eastAsia" w:ascii="仿宋" w:hAnsi="仿宋" w:eastAsia="仿宋" w:cs="仿宋"/>
          <w:kern w:val="0"/>
          <w:sz w:val="28"/>
          <w:szCs w:val="28"/>
        </w:rPr>
        <w:t>7.</w:t>
      </w:r>
      <w:r>
        <w:rPr>
          <w:rFonts w:hint="eastAsia" w:ascii="仿宋" w:hAnsi="仿宋" w:eastAsia="仿宋" w:cs="仿宋"/>
          <w:sz w:val="28"/>
          <w:szCs w:val="28"/>
        </w:rPr>
        <w:t>乙方在承担上述3-6款一项或多项违约责任后，仍应继续履行合同规定的义务（甲方解除合同的除外）。甲方未能及时追究乙方的任何一项违约责任并不表明甲方放弃追究乙方该项或其他违约责任。</w:t>
      </w:r>
    </w:p>
    <w:p>
      <w:pPr>
        <w:spacing w:line="380" w:lineRule="exact"/>
        <w:ind w:firstLine="560" w:firstLineChars="200"/>
        <w:rPr>
          <w:rFonts w:ascii="仿宋" w:hAnsi="仿宋" w:eastAsia="仿宋" w:cs="仿宋"/>
          <w:sz w:val="28"/>
          <w:szCs w:val="28"/>
        </w:rPr>
      </w:pPr>
      <w:r>
        <w:rPr>
          <w:rFonts w:hint="eastAsia" w:ascii="仿宋" w:hAnsi="仿宋" w:eastAsia="仿宋" w:cs="仿宋"/>
          <w:sz w:val="28"/>
          <w:szCs w:val="28"/>
        </w:rPr>
        <w:t>8.未列入以上条款的其他违规事项，则按照《中华人民共和国招标投标法》法律责任条款处理。</w:t>
      </w:r>
    </w:p>
    <w:p>
      <w:pPr>
        <w:widowControl/>
        <w:spacing w:line="440" w:lineRule="exact"/>
        <w:ind w:firstLine="560" w:firstLineChars="200"/>
        <w:rPr>
          <w:rFonts w:ascii="仿宋" w:hAnsi="仿宋" w:eastAsia="仿宋" w:cs="宋体"/>
          <w:sz w:val="28"/>
          <w:szCs w:val="28"/>
        </w:rPr>
      </w:pPr>
      <w:r>
        <w:rPr>
          <w:rFonts w:hint="eastAsia" w:ascii="仿宋" w:hAnsi="仿宋" w:eastAsia="仿宋" w:cs="仿宋"/>
          <w:sz w:val="28"/>
          <w:szCs w:val="28"/>
        </w:rPr>
        <w:t>11.其他。</w:t>
      </w:r>
    </w:p>
    <w:p>
      <w:pPr>
        <w:spacing w:line="440" w:lineRule="exact"/>
        <w:ind w:firstLine="562" w:firstLineChars="200"/>
        <w:rPr>
          <w:rFonts w:ascii="仿宋" w:hAnsi="仿宋" w:eastAsia="仿宋" w:cs="仿宋"/>
          <w:b/>
          <w:sz w:val="28"/>
          <w:szCs w:val="28"/>
        </w:rPr>
      </w:pPr>
      <w:r>
        <w:rPr>
          <w:rFonts w:hint="eastAsia" w:ascii="仿宋" w:hAnsi="仿宋" w:eastAsia="仿宋" w:cs="仿宋"/>
          <w:b/>
          <w:sz w:val="28"/>
          <w:szCs w:val="28"/>
        </w:rPr>
        <w:t>第十二条  免责条款</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若甲、乙双方的任何一方由于不可抗力（包括天灾、意外事故、交通运输、政府法令等特殊客观事件）原因造成不能及时履行或不能履行合同时，应及时向对方通报不能履行或不能及时履行的理由，在取得有关证明后，允许延期履行、部分履行或不履行合同，并根据情况，免除相应责任。</w:t>
      </w:r>
    </w:p>
    <w:p>
      <w:pPr>
        <w:spacing w:line="440" w:lineRule="exact"/>
        <w:ind w:firstLine="562" w:firstLineChars="200"/>
        <w:rPr>
          <w:rFonts w:ascii="仿宋" w:hAnsi="仿宋" w:eastAsia="仿宋" w:cs="仿宋"/>
          <w:b/>
          <w:sz w:val="28"/>
          <w:szCs w:val="28"/>
        </w:rPr>
      </w:pPr>
      <w:r>
        <w:rPr>
          <w:rFonts w:hint="eastAsia" w:ascii="仿宋" w:hAnsi="仿宋" w:eastAsia="仿宋" w:cs="仿宋"/>
          <w:b/>
          <w:sz w:val="28"/>
          <w:szCs w:val="28"/>
        </w:rPr>
        <w:t>第十三条  合同争议解决</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1.因货物质量问题发生争议的，应邀请国家认可的质量检测机构对货物质量进行鉴定。货物符合标准的，鉴定费由甲方承担；货物不符合标准的，鉴定费由乙方承担。</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2.因履行本合同引起的或与本合同有关的争议，甲乙双方应首先通过友好协商解决。如果协商不能解决，向甲方所在地人民法院提起诉讼。</w:t>
      </w:r>
    </w:p>
    <w:p>
      <w:pPr>
        <w:spacing w:line="440" w:lineRule="exact"/>
        <w:ind w:firstLine="562" w:firstLineChars="200"/>
        <w:rPr>
          <w:rFonts w:ascii="仿宋" w:hAnsi="仿宋" w:eastAsia="仿宋" w:cs="仿宋"/>
          <w:b/>
          <w:sz w:val="28"/>
          <w:szCs w:val="28"/>
        </w:rPr>
      </w:pPr>
      <w:r>
        <w:rPr>
          <w:rFonts w:hint="eastAsia" w:ascii="仿宋" w:hAnsi="仿宋" w:eastAsia="仿宋" w:cs="仿宋"/>
          <w:b/>
          <w:sz w:val="28"/>
          <w:szCs w:val="28"/>
        </w:rPr>
        <w:t>第十四条  本合同附件</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以下附件及乙方投标时提供的投标文件和其他相关资料作为本合同的补充内容，具有同等法律效力。</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附件1：供货一览表（加盖公章）；</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附件2：产品销售廉洁协议书</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附件3：龙岗区进一步规范政商交往行为告知书；</w:t>
      </w:r>
    </w:p>
    <w:p>
      <w:pPr>
        <w:spacing w:line="440" w:lineRule="exact"/>
        <w:ind w:firstLine="560" w:firstLineChars="200"/>
      </w:pPr>
      <w:r>
        <w:rPr>
          <w:rFonts w:hint="eastAsia" w:ascii="仿宋" w:hAnsi="仿宋" w:eastAsia="仿宋" w:cs="仿宋"/>
          <w:sz w:val="28"/>
          <w:szCs w:val="28"/>
        </w:rPr>
        <w:t>附件4：售后服务承诺（加盖公章）。</w:t>
      </w:r>
    </w:p>
    <w:p>
      <w:pPr>
        <w:spacing w:line="440" w:lineRule="exact"/>
        <w:ind w:firstLine="562" w:firstLineChars="200"/>
        <w:rPr>
          <w:rFonts w:hint="eastAsia" w:ascii="仿宋" w:hAnsi="仿宋" w:eastAsia="仿宋" w:cs="仿宋"/>
          <w:b/>
          <w:sz w:val="28"/>
          <w:szCs w:val="28"/>
          <w:lang w:val="en-US" w:eastAsia="zh-CN"/>
        </w:rPr>
      </w:pPr>
      <w:r>
        <w:rPr>
          <w:rFonts w:hint="eastAsia" w:ascii="仿宋" w:hAnsi="仿宋" w:eastAsia="仿宋" w:cs="仿宋"/>
          <w:b/>
          <w:sz w:val="28"/>
          <w:szCs w:val="28"/>
        </w:rPr>
        <w:t>第十五条  合同生效及其</w:t>
      </w:r>
      <w:r>
        <w:rPr>
          <w:rFonts w:hint="eastAsia" w:ascii="仿宋" w:hAnsi="仿宋" w:eastAsia="仿宋" w:cs="仿宋"/>
          <w:b/>
          <w:sz w:val="28"/>
          <w:szCs w:val="28"/>
          <w:lang w:val="en-US" w:eastAsia="zh-CN"/>
        </w:rPr>
        <w:t>他</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1.合同经双方法定代表人或授权委托代表人签字并加盖单位公章或合同专用章后生效。</w:t>
      </w:r>
    </w:p>
    <w:p>
      <w:pPr>
        <w:spacing w:line="44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2.其他约定条款：</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3.本合同未尽事宜，遵照《</w:t>
      </w:r>
      <w:r>
        <w:rPr>
          <w:rFonts w:hint="eastAsia" w:ascii="仿宋" w:hAnsi="仿宋" w:eastAsia="仿宋" w:cs="仿宋"/>
          <w:sz w:val="28"/>
          <w:szCs w:val="28"/>
          <w:lang w:val="en-US" w:eastAsia="zh-CN"/>
        </w:rPr>
        <w:t>中华人民共和国</w:t>
      </w:r>
      <w:r>
        <w:rPr>
          <w:rFonts w:hint="eastAsia" w:ascii="仿宋" w:hAnsi="仿宋" w:eastAsia="仿宋" w:cs="仿宋"/>
          <w:sz w:val="28"/>
          <w:szCs w:val="28"/>
        </w:rPr>
        <w:t>民法典》有关条文执行。</w:t>
      </w:r>
    </w:p>
    <w:p>
      <w:pPr>
        <w:spacing w:line="440" w:lineRule="exact"/>
        <w:ind w:firstLine="560" w:firstLineChars="200"/>
      </w:pPr>
      <w:r>
        <w:rPr>
          <w:rFonts w:hint="eastAsia" w:ascii="仿宋" w:hAnsi="仿宋" w:eastAsia="仿宋" w:cs="仿宋"/>
          <w:sz w:val="28"/>
          <w:szCs w:val="28"/>
        </w:rPr>
        <w:t>4.本合同正本一式</w:t>
      </w:r>
      <w:r>
        <w:rPr>
          <w:rFonts w:hint="eastAsia" w:ascii="仿宋" w:hAnsi="仿宋" w:eastAsia="仿宋" w:cs="仿宋"/>
          <w:sz w:val="28"/>
          <w:szCs w:val="28"/>
          <w:u w:val="single"/>
        </w:rPr>
        <w:t xml:space="preserve"> 肆 </w:t>
      </w:r>
      <w:r>
        <w:rPr>
          <w:rFonts w:hint="eastAsia" w:ascii="仿宋" w:hAnsi="仿宋" w:eastAsia="仿宋" w:cs="仿宋"/>
          <w:sz w:val="28"/>
          <w:szCs w:val="28"/>
        </w:rPr>
        <w:t>份，具有同等法律效力，甲方执</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叁</w:t>
      </w:r>
      <w:r>
        <w:rPr>
          <w:rFonts w:hint="eastAsia" w:ascii="仿宋" w:hAnsi="仿宋" w:eastAsia="仿宋" w:cs="仿宋"/>
          <w:sz w:val="28"/>
          <w:szCs w:val="28"/>
          <w:u w:val="single"/>
        </w:rPr>
        <w:t xml:space="preserve"> </w:t>
      </w:r>
      <w:r>
        <w:rPr>
          <w:rFonts w:hint="eastAsia" w:ascii="仿宋" w:hAnsi="仿宋" w:eastAsia="仿宋" w:cs="仿宋"/>
          <w:sz w:val="28"/>
          <w:szCs w:val="28"/>
        </w:rPr>
        <w:t>份；乙方执</w:t>
      </w:r>
      <w:r>
        <w:rPr>
          <w:rFonts w:hint="eastAsia" w:ascii="仿宋" w:hAnsi="仿宋" w:eastAsia="仿宋" w:cs="仿宋"/>
          <w:sz w:val="28"/>
          <w:szCs w:val="28"/>
          <w:u w:val="single"/>
        </w:rPr>
        <w:t>壹</w:t>
      </w:r>
      <w:r>
        <w:rPr>
          <w:rFonts w:hint="eastAsia" w:ascii="仿宋" w:hAnsi="仿宋" w:eastAsia="仿宋" w:cs="仿宋"/>
          <w:sz w:val="28"/>
          <w:szCs w:val="28"/>
        </w:rPr>
        <w:t>份。</w:t>
      </w:r>
    </w:p>
    <w:tbl>
      <w:tblPr>
        <w:tblStyle w:val="22"/>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0"/>
        <w:gridCol w:w="4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0" w:type="dxa"/>
            <w:noWrap/>
            <w:vAlign w:val="top"/>
          </w:tcPr>
          <w:p>
            <w:pPr>
              <w:spacing w:line="360" w:lineRule="auto"/>
              <w:rPr>
                <w:rFonts w:ascii="仿宋" w:hAnsi="仿宋" w:eastAsia="仿宋" w:cs="仿宋"/>
                <w:b/>
                <w:bCs/>
                <w:kern w:val="0"/>
                <w:sz w:val="24"/>
              </w:rPr>
            </w:pPr>
            <w:r>
              <w:rPr>
                <w:rFonts w:hint="eastAsia" w:ascii="仿宋" w:hAnsi="仿宋" w:eastAsia="仿宋" w:cs="仿宋"/>
                <w:b/>
                <w:bCs/>
                <w:kern w:val="0"/>
                <w:sz w:val="24"/>
              </w:rPr>
              <w:t>甲方：深圳市龙岗区第</w:t>
            </w:r>
            <w:r>
              <w:rPr>
                <w:rFonts w:hint="eastAsia" w:ascii="仿宋" w:hAnsi="仿宋" w:eastAsia="仿宋" w:cs="仿宋"/>
                <w:b/>
                <w:bCs/>
                <w:kern w:val="0"/>
                <w:sz w:val="24"/>
                <w:lang w:val="en-US" w:eastAsia="zh-CN"/>
              </w:rPr>
              <w:t>七</w:t>
            </w:r>
            <w:r>
              <w:rPr>
                <w:rFonts w:hint="eastAsia" w:ascii="仿宋" w:hAnsi="仿宋" w:eastAsia="仿宋" w:cs="仿宋"/>
                <w:b/>
                <w:bCs/>
                <w:kern w:val="0"/>
                <w:sz w:val="24"/>
              </w:rPr>
              <w:t>人民医院</w:t>
            </w:r>
          </w:p>
        </w:tc>
        <w:tc>
          <w:tcPr>
            <w:tcW w:w="4314" w:type="dxa"/>
            <w:noWrap/>
            <w:vAlign w:val="top"/>
          </w:tcPr>
          <w:p>
            <w:pPr>
              <w:spacing w:line="360" w:lineRule="auto"/>
              <w:rPr>
                <w:rFonts w:ascii="仿宋" w:hAnsi="仿宋" w:eastAsia="仿宋" w:cs="仿宋"/>
                <w:b/>
                <w:bCs/>
                <w:kern w:val="0"/>
                <w:sz w:val="24"/>
              </w:rPr>
            </w:pPr>
            <w:r>
              <w:rPr>
                <w:rFonts w:hint="eastAsia" w:ascii="仿宋" w:hAnsi="仿宋" w:eastAsia="仿宋" w:cs="仿宋"/>
                <w:b/>
                <w:bCs/>
                <w:kern w:val="0"/>
                <w:sz w:val="24"/>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0" w:type="dxa"/>
            <w:noWrap/>
            <w:vAlign w:val="top"/>
          </w:tcPr>
          <w:p>
            <w:pPr>
              <w:spacing w:line="360" w:lineRule="auto"/>
              <w:rPr>
                <w:rFonts w:hint="default" w:ascii="仿宋" w:hAnsi="仿宋" w:eastAsia="仿宋" w:cs="仿宋"/>
                <w:b/>
                <w:bCs/>
                <w:kern w:val="0"/>
                <w:sz w:val="24"/>
                <w:lang w:val="en-US" w:eastAsia="zh-CN"/>
              </w:rPr>
            </w:pPr>
            <w:r>
              <w:rPr>
                <w:rFonts w:hint="eastAsia" w:ascii="仿宋" w:hAnsi="仿宋" w:eastAsia="仿宋" w:cs="仿宋"/>
                <w:b/>
                <w:bCs/>
                <w:kern w:val="0"/>
                <w:sz w:val="24"/>
              </w:rPr>
              <w:t>地址：深圳市龙岗区</w:t>
            </w:r>
            <w:r>
              <w:rPr>
                <w:rFonts w:hint="eastAsia" w:ascii="仿宋" w:hAnsi="仿宋" w:eastAsia="仿宋" w:cs="仿宋"/>
                <w:b/>
                <w:bCs/>
                <w:kern w:val="0"/>
                <w:sz w:val="24"/>
                <w:lang w:val="en-US" w:eastAsia="zh-CN"/>
              </w:rPr>
              <w:t>南湾</w:t>
            </w:r>
            <w:r>
              <w:rPr>
                <w:rFonts w:hint="eastAsia" w:ascii="仿宋" w:hAnsi="仿宋" w:eastAsia="仿宋" w:cs="仿宋"/>
                <w:b/>
                <w:bCs/>
                <w:kern w:val="0"/>
                <w:sz w:val="24"/>
              </w:rPr>
              <w:t>街道</w:t>
            </w:r>
            <w:r>
              <w:rPr>
                <w:rFonts w:hint="eastAsia" w:ascii="仿宋" w:hAnsi="仿宋" w:eastAsia="仿宋" w:cs="仿宋"/>
                <w:b/>
                <w:bCs/>
                <w:kern w:val="0"/>
                <w:sz w:val="24"/>
                <w:lang w:val="en-US" w:eastAsia="zh-CN"/>
              </w:rPr>
              <w:t>吉厦社区早禾坑工业区2号</w:t>
            </w:r>
          </w:p>
        </w:tc>
        <w:tc>
          <w:tcPr>
            <w:tcW w:w="4314" w:type="dxa"/>
            <w:noWrap/>
            <w:vAlign w:val="top"/>
          </w:tcPr>
          <w:p>
            <w:pPr>
              <w:spacing w:line="360" w:lineRule="auto"/>
              <w:rPr>
                <w:rFonts w:ascii="仿宋" w:hAnsi="仿宋" w:eastAsia="仿宋" w:cs="仿宋"/>
                <w:b/>
                <w:bCs/>
                <w:kern w:val="0"/>
                <w:sz w:val="24"/>
              </w:rPr>
            </w:pPr>
            <w:r>
              <w:rPr>
                <w:rFonts w:hint="eastAsia" w:ascii="仿宋" w:hAnsi="仿宋" w:eastAsia="仿宋" w:cs="仿宋"/>
                <w:b/>
                <w:bCs/>
                <w:kern w:val="0"/>
                <w:sz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0" w:type="dxa"/>
            <w:noWrap/>
            <w:vAlign w:val="top"/>
          </w:tcPr>
          <w:p>
            <w:pPr>
              <w:spacing w:line="360" w:lineRule="auto"/>
              <w:rPr>
                <w:rFonts w:hint="default" w:ascii="仿宋" w:hAnsi="仿宋" w:eastAsia="仿宋" w:cs="仿宋"/>
                <w:kern w:val="0"/>
                <w:sz w:val="24"/>
                <w:lang w:val="en-US" w:eastAsia="zh-CN"/>
              </w:rPr>
            </w:pPr>
            <w:r>
              <w:rPr>
                <w:rFonts w:hint="eastAsia" w:ascii="仿宋" w:hAnsi="仿宋" w:eastAsia="仿宋" w:cs="仿宋"/>
                <w:b/>
                <w:bCs/>
                <w:color w:val="000000"/>
                <w:sz w:val="24"/>
              </w:rPr>
              <w:t>纳税人识别号:12440307</w:t>
            </w:r>
            <w:r>
              <w:rPr>
                <w:rFonts w:hint="eastAsia" w:ascii="仿宋" w:hAnsi="仿宋" w:eastAsia="仿宋" w:cs="仿宋"/>
                <w:b/>
                <w:bCs/>
                <w:color w:val="000000"/>
                <w:sz w:val="24"/>
                <w:lang w:val="en-US" w:eastAsia="zh-CN"/>
              </w:rPr>
              <w:t>G34813567P</w:t>
            </w:r>
          </w:p>
        </w:tc>
        <w:tc>
          <w:tcPr>
            <w:tcW w:w="4314" w:type="dxa"/>
            <w:noWrap/>
            <w:vAlign w:val="top"/>
          </w:tcPr>
          <w:p>
            <w:pPr>
              <w:spacing w:line="360" w:lineRule="auto"/>
              <w:rPr>
                <w:rFonts w:ascii="仿宋" w:hAnsi="仿宋" w:eastAsia="仿宋" w:cs="仿宋"/>
                <w:b/>
                <w:bCs/>
                <w:kern w:val="0"/>
                <w:sz w:val="24"/>
              </w:rPr>
            </w:pPr>
            <w:r>
              <w:rPr>
                <w:rFonts w:hint="eastAsia" w:ascii="仿宋" w:hAnsi="仿宋" w:eastAsia="仿宋" w:cs="仿宋"/>
                <w:b/>
                <w:bCs/>
                <w:kern w:val="0"/>
                <w:sz w:val="24"/>
              </w:rPr>
              <w:t>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900" w:type="dxa"/>
            <w:noWrap/>
            <w:vAlign w:val="top"/>
          </w:tcPr>
          <w:p>
            <w:pPr>
              <w:spacing w:line="360" w:lineRule="auto"/>
              <w:rPr>
                <w:rFonts w:ascii="仿宋" w:hAnsi="仿宋" w:eastAsia="仿宋" w:cs="仿宋"/>
                <w:kern w:val="0"/>
                <w:sz w:val="24"/>
              </w:rPr>
            </w:pPr>
            <w:r>
              <w:rPr>
                <w:rFonts w:hint="eastAsia" w:ascii="仿宋" w:hAnsi="仿宋" w:eastAsia="仿宋" w:cs="仿宋"/>
                <w:b/>
                <w:bCs/>
                <w:kern w:val="0"/>
                <w:sz w:val="24"/>
              </w:rPr>
              <w:t>开户银行：</w:t>
            </w:r>
            <w:r>
              <w:rPr>
                <w:rFonts w:hint="eastAsia" w:ascii="仿宋" w:hAnsi="仿宋" w:eastAsia="仿宋" w:cs="仿宋"/>
                <w:b/>
                <w:bCs/>
                <w:color w:val="000000"/>
                <w:sz w:val="24"/>
              </w:rPr>
              <w:t>深圳农村商业银行</w:t>
            </w:r>
            <w:r>
              <w:rPr>
                <w:rFonts w:hint="eastAsia" w:ascii="仿宋" w:hAnsi="仿宋" w:eastAsia="仿宋" w:cs="仿宋"/>
                <w:b/>
                <w:bCs/>
                <w:color w:val="000000"/>
                <w:sz w:val="24"/>
                <w:lang w:val="en-US" w:eastAsia="zh-CN"/>
              </w:rPr>
              <w:t>南湾</w:t>
            </w:r>
            <w:r>
              <w:rPr>
                <w:rFonts w:hint="eastAsia" w:ascii="仿宋" w:hAnsi="仿宋" w:eastAsia="仿宋" w:cs="仿宋"/>
                <w:b/>
                <w:bCs/>
                <w:color w:val="000000"/>
                <w:sz w:val="24"/>
              </w:rPr>
              <w:t>支行</w:t>
            </w:r>
          </w:p>
        </w:tc>
        <w:tc>
          <w:tcPr>
            <w:tcW w:w="4314" w:type="dxa"/>
            <w:noWrap/>
            <w:vAlign w:val="top"/>
          </w:tcPr>
          <w:p>
            <w:pPr>
              <w:spacing w:line="360" w:lineRule="auto"/>
              <w:rPr>
                <w:rFonts w:ascii="仿宋" w:hAnsi="仿宋" w:eastAsia="仿宋" w:cs="仿宋"/>
                <w:color w:val="000000"/>
                <w:sz w:val="24"/>
              </w:rPr>
            </w:pPr>
            <w:r>
              <w:rPr>
                <w:rFonts w:hint="eastAsia" w:ascii="仿宋" w:hAnsi="仿宋" w:eastAsia="仿宋" w:cs="仿宋"/>
                <w:b/>
                <w:bCs/>
                <w:color w:val="000000"/>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00" w:type="dxa"/>
            <w:noWrap/>
            <w:vAlign w:val="top"/>
          </w:tcPr>
          <w:p>
            <w:pPr>
              <w:spacing w:line="360" w:lineRule="auto"/>
              <w:rPr>
                <w:rFonts w:hint="default" w:ascii="仿宋" w:hAnsi="仿宋" w:eastAsia="仿宋" w:cs="仿宋"/>
                <w:kern w:val="0"/>
                <w:sz w:val="24"/>
                <w:lang w:val="en-US" w:eastAsia="zh-CN"/>
              </w:rPr>
            </w:pPr>
            <w:r>
              <w:rPr>
                <w:rFonts w:hint="eastAsia" w:ascii="仿宋" w:hAnsi="仿宋" w:eastAsia="仿宋" w:cs="仿宋"/>
                <w:b/>
                <w:bCs/>
                <w:color w:val="000000"/>
                <w:sz w:val="24"/>
              </w:rPr>
              <w:t>帐    号：00007</w:t>
            </w:r>
            <w:r>
              <w:rPr>
                <w:rFonts w:hint="eastAsia" w:ascii="仿宋" w:hAnsi="仿宋" w:eastAsia="仿宋" w:cs="仿宋"/>
                <w:b/>
                <w:bCs/>
                <w:color w:val="000000"/>
                <w:sz w:val="24"/>
                <w:lang w:val="en-US" w:eastAsia="zh-CN"/>
              </w:rPr>
              <w:t>1202940</w:t>
            </w:r>
          </w:p>
        </w:tc>
        <w:tc>
          <w:tcPr>
            <w:tcW w:w="4314" w:type="dxa"/>
            <w:noWrap/>
            <w:vAlign w:val="top"/>
          </w:tcPr>
          <w:p>
            <w:pPr>
              <w:spacing w:line="360" w:lineRule="auto"/>
              <w:rPr>
                <w:rFonts w:ascii="仿宋" w:hAnsi="仿宋" w:eastAsia="仿宋" w:cs="仿宋"/>
                <w:b/>
                <w:bCs/>
                <w:color w:val="000000"/>
                <w:sz w:val="24"/>
              </w:rPr>
            </w:pPr>
            <w:r>
              <w:rPr>
                <w:rFonts w:hint="eastAsia" w:ascii="仿宋" w:hAnsi="仿宋" w:eastAsia="仿宋" w:cs="仿宋"/>
                <w:b/>
                <w:bCs/>
                <w:color w:val="000000"/>
                <w:sz w:val="24"/>
              </w:rPr>
              <w:t>帐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900" w:type="dxa"/>
            <w:noWrap/>
            <w:vAlign w:val="top"/>
          </w:tcPr>
          <w:p>
            <w:pPr>
              <w:spacing w:line="360" w:lineRule="auto"/>
              <w:rPr>
                <w:rFonts w:hint="default" w:ascii="仿宋" w:hAnsi="仿宋" w:eastAsia="仿宋" w:cs="仿宋"/>
                <w:b/>
                <w:bCs/>
                <w:kern w:val="0"/>
                <w:sz w:val="24"/>
                <w:lang w:val="en-US" w:eastAsia="zh-CN"/>
              </w:rPr>
            </w:pPr>
            <w:r>
              <w:rPr>
                <w:rFonts w:hint="eastAsia" w:ascii="仿宋" w:hAnsi="仿宋" w:eastAsia="仿宋" w:cs="仿宋"/>
                <w:b/>
                <w:bCs/>
                <w:color w:val="000000"/>
                <w:sz w:val="24"/>
              </w:rPr>
              <w:t>电话：</w:t>
            </w:r>
            <w:r>
              <w:rPr>
                <w:rFonts w:hint="eastAsia" w:ascii="仿宋" w:hAnsi="仿宋" w:eastAsia="仿宋" w:cs="仿宋"/>
                <w:b/>
                <w:bCs/>
                <w:color w:val="000000"/>
                <w:sz w:val="24"/>
                <w:lang w:val="en-US" w:eastAsia="zh-CN"/>
              </w:rPr>
              <w:t>0755-28746468</w:t>
            </w:r>
          </w:p>
        </w:tc>
        <w:tc>
          <w:tcPr>
            <w:tcW w:w="4314" w:type="dxa"/>
            <w:noWrap/>
            <w:vAlign w:val="top"/>
          </w:tcPr>
          <w:p>
            <w:pPr>
              <w:spacing w:line="360" w:lineRule="auto"/>
              <w:rPr>
                <w:rFonts w:ascii="仿宋" w:hAnsi="仿宋" w:eastAsia="仿宋" w:cs="仿宋"/>
                <w:b/>
                <w:bCs/>
                <w:color w:val="000000"/>
                <w:sz w:val="24"/>
              </w:rPr>
            </w:pPr>
            <w:r>
              <w:rPr>
                <w:rFonts w:hint="eastAsia" w:ascii="仿宋" w:hAnsi="仿宋" w:eastAsia="仿宋" w:cs="仿宋"/>
                <w:b/>
                <w:bCs/>
                <w:color w:val="000000"/>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4900" w:type="dxa"/>
            <w:noWrap/>
            <w:vAlign w:val="top"/>
          </w:tcPr>
          <w:p>
            <w:pPr>
              <w:spacing w:line="360" w:lineRule="auto"/>
              <w:rPr>
                <w:rFonts w:ascii="仿宋" w:hAnsi="仿宋" w:eastAsia="仿宋" w:cs="仿宋"/>
                <w:b/>
                <w:bCs/>
                <w:kern w:val="0"/>
                <w:sz w:val="24"/>
              </w:rPr>
            </w:pPr>
            <w:r>
              <w:rPr>
                <w:rFonts w:hint="eastAsia" w:ascii="仿宋" w:hAnsi="仿宋" w:eastAsia="仿宋" w:cs="仿宋"/>
                <w:b/>
                <w:bCs/>
                <w:kern w:val="0"/>
                <w:sz w:val="24"/>
              </w:rPr>
              <w:t>甲方法定代表人（签字）：</w:t>
            </w:r>
          </w:p>
          <w:p>
            <w:pPr>
              <w:pStyle w:val="7"/>
              <w:ind w:firstLine="0" w:firstLineChars="0"/>
            </w:pPr>
          </w:p>
          <w:p>
            <w:pPr>
              <w:spacing w:line="360" w:lineRule="auto"/>
            </w:pPr>
            <w:r>
              <w:rPr>
                <w:rFonts w:hint="eastAsia" w:ascii="仿宋" w:hAnsi="仿宋" w:eastAsia="仿宋" w:cs="仿宋"/>
                <w:b/>
                <w:bCs/>
                <w:kern w:val="0"/>
                <w:sz w:val="24"/>
              </w:rPr>
              <w:t>授权人</w:t>
            </w:r>
          </w:p>
        </w:tc>
        <w:tc>
          <w:tcPr>
            <w:tcW w:w="4314" w:type="dxa"/>
            <w:noWrap/>
            <w:vAlign w:val="top"/>
          </w:tcPr>
          <w:p>
            <w:pPr>
              <w:spacing w:line="360" w:lineRule="auto"/>
            </w:pPr>
            <w:r>
              <w:rPr>
                <w:rFonts w:hint="eastAsia" w:ascii="仿宋" w:hAnsi="仿宋" w:eastAsia="仿宋" w:cs="仿宋"/>
                <w:b/>
                <w:bCs/>
                <w:kern w:val="0"/>
                <w:sz w:val="24"/>
              </w:rPr>
              <w:t>乙方法定代表人（签字）：</w:t>
            </w:r>
          </w:p>
          <w:p>
            <w:pPr>
              <w:pStyle w:val="7"/>
              <w:ind w:firstLine="0" w:firstLineChars="0"/>
            </w:pPr>
          </w:p>
          <w:p>
            <w:pPr>
              <w:spacing w:line="360" w:lineRule="auto"/>
              <w:rPr>
                <w:rFonts w:ascii="仿宋" w:hAnsi="仿宋" w:eastAsia="仿宋" w:cs="仿宋"/>
                <w:b/>
                <w:bCs/>
                <w:kern w:val="0"/>
                <w:sz w:val="24"/>
              </w:rPr>
            </w:pPr>
            <w:r>
              <w:rPr>
                <w:rFonts w:hint="eastAsia" w:ascii="仿宋" w:hAnsi="仿宋" w:eastAsia="仿宋" w:cs="仿宋"/>
                <w:b/>
                <w:bCs/>
                <w:kern w:val="0"/>
                <w:sz w:val="24"/>
              </w:rPr>
              <w:t>授权人（签字）：</w:t>
            </w:r>
          </w:p>
          <w:p>
            <w:pPr>
              <w:pStyle w:val="7"/>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9214" w:type="dxa"/>
            <w:gridSpan w:val="2"/>
            <w:noWrap/>
            <w:vAlign w:val="center"/>
          </w:tcPr>
          <w:p>
            <w:pPr>
              <w:spacing w:line="360" w:lineRule="auto"/>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 xml:space="preserve">签约时间：    年  </w:t>
            </w:r>
            <w:r>
              <w:rPr>
                <w:rFonts w:hint="eastAsia" w:ascii="仿宋" w:hAnsi="仿宋" w:eastAsia="仿宋" w:cs="仿宋"/>
                <w:b/>
                <w:bCs/>
                <w:kern w:val="0"/>
                <w:sz w:val="28"/>
                <w:szCs w:val="28"/>
                <w:lang w:val="en-US" w:eastAsia="zh-CN"/>
              </w:rPr>
              <w:t xml:space="preserve"> </w:t>
            </w:r>
            <w:r>
              <w:rPr>
                <w:rFonts w:hint="eastAsia" w:ascii="仿宋" w:hAnsi="仿宋" w:eastAsia="仿宋" w:cs="仿宋"/>
                <w:b/>
                <w:bCs/>
                <w:kern w:val="0"/>
                <w:sz w:val="28"/>
                <w:szCs w:val="28"/>
              </w:rPr>
              <w:t xml:space="preserve">月 </w:t>
            </w:r>
            <w:r>
              <w:rPr>
                <w:rFonts w:hint="eastAsia" w:ascii="仿宋" w:hAnsi="仿宋" w:eastAsia="仿宋" w:cs="仿宋"/>
                <w:b/>
                <w:bCs/>
                <w:kern w:val="0"/>
                <w:sz w:val="28"/>
                <w:szCs w:val="28"/>
                <w:lang w:val="en-US" w:eastAsia="zh-CN"/>
              </w:rPr>
              <w:t xml:space="preserve"> </w:t>
            </w:r>
            <w:r>
              <w:rPr>
                <w:rFonts w:hint="eastAsia" w:ascii="仿宋" w:hAnsi="仿宋" w:eastAsia="仿宋" w:cs="仿宋"/>
                <w:b/>
                <w:bCs/>
                <w:kern w:val="0"/>
                <w:sz w:val="28"/>
                <w:szCs w:val="28"/>
              </w:rPr>
              <w:t xml:space="preserve"> 日</w:t>
            </w:r>
          </w:p>
          <w:p>
            <w:pPr>
              <w:spacing w:line="360" w:lineRule="auto"/>
              <w:jc w:val="center"/>
              <w:rPr>
                <w:rFonts w:ascii="宋体" w:hAnsi="宋体"/>
                <w:kern w:val="0"/>
                <w:sz w:val="24"/>
              </w:rPr>
            </w:pPr>
            <w:r>
              <w:rPr>
                <w:rFonts w:hint="eastAsia" w:ascii="仿宋" w:hAnsi="仿宋" w:eastAsia="仿宋" w:cs="仿宋"/>
                <w:b/>
                <w:bCs/>
                <w:kern w:val="0"/>
                <w:sz w:val="28"/>
                <w:szCs w:val="28"/>
              </w:rPr>
              <w:t>签约地址：深圳市龙岗区第</w:t>
            </w:r>
            <w:r>
              <w:rPr>
                <w:rFonts w:hint="eastAsia" w:ascii="仿宋" w:hAnsi="仿宋" w:eastAsia="仿宋" w:cs="仿宋"/>
                <w:b/>
                <w:bCs/>
                <w:kern w:val="0"/>
                <w:sz w:val="28"/>
                <w:szCs w:val="28"/>
                <w:lang w:val="en-US" w:eastAsia="zh-CN"/>
              </w:rPr>
              <w:t>七</w:t>
            </w:r>
            <w:r>
              <w:rPr>
                <w:rFonts w:hint="eastAsia" w:ascii="仿宋" w:hAnsi="仿宋" w:eastAsia="仿宋" w:cs="仿宋"/>
                <w:b/>
                <w:bCs/>
                <w:kern w:val="0"/>
                <w:sz w:val="28"/>
                <w:szCs w:val="28"/>
              </w:rPr>
              <w:t>人民医院</w:t>
            </w:r>
          </w:p>
        </w:tc>
      </w:tr>
    </w:tbl>
    <w:p>
      <w:pPr>
        <w:tabs>
          <w:tab w:val="left" w:pos="0"/>
        </w:tabs>
        <w:snapToGrid w:val="0"/>
        <w:spacing w:line="480" w:lineRule="exact"/>
        <w:rPr>
          <w:rFonts w:hint="eastAsia" w:ascii="仿宋" w:hAnsi="仿宋" w:eastAsia="仿宋" w:cs="仿宋"/>
          <w:b/>
          <w:bCs/>
          <w:sz w:val="32"/>
          <w:szCs w:val="32"/>
        </w:rPr>
        <w:sectPr>
          <w:pgSz w:w="11906" w:h="16838"/>
          <w:pgMar w:top="2098" w:right="1474" w:bottom="1984" w:left="1587" w:header="851" w:footer="1417" w:gutter="0"/>
          <w:pgNumType w:fmt="numberInDash"/>
          <w:cols w:space="0" w:num="1"/>
          <w:rtlGutter w:val="0"/>
          <w:docGrid w:type="lines" w:linePitch="327" w:charSpace="0"/>
        </w:sect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rPr>
          <w:rFonts w:hint="eastAsia" w:ascii="宋体" w:hAnsi="宋体" w:eastAsia="宋体" w:cs="宋体"/>
          <w:b w:val="0"/>
          <w:bCs w:val="0"/>
          <w:i w:val="0"/>
          <w:iCs w:val="0"/>
          <w:color w:val="000000"/>
          <w:kern w:val="0"/>
          <w:sz w:val="44"/>
          <w:szCs w:val="44"/>
          <w:u w:val="none"/>
          <w:lang w:val="en-US" w:eastAsia="zh-CN" w:bidi="ar"/>
        </w:rPr>
      </w:pPr>
      <w:r>
        <w:rPr>
          <w:rFonts w:hint="eastAsia" w:ascii="宋体" w:hAnsi="宋体" w:eastAsia="宋体" w:cs="宋体"/>
          <w:b w:val="0"/>
          <w:bCs w:val="0"/>
          <w:i w:val="0"/>
          <w:iCs w:val="0"/>
          <w:color w:val="000000"/>
          <w:kern w:val="0"/>
          <w:sz w:val="44"/>
          <w:szCs w:val="44"/>
          <w:u w:val="none"/>
          <w:lang w:val="en-US" w:eastAsia="zh-CN" w:bidi="ar"/>
        </w:rPr>
        <w:t>深圳市龙岗区第七人民医院廉洁购销合同</w:t>
      </w:r>
    </w:p>
    <w:p>
      <w:pPr>
        <w:keepNext w:val="0"/>
        <w:keepLines w:val="0"/>
        <w:pageBreakBefore w:val="0"/>
        <w:kinsoku/>
        <w:wordWrap/>
        <w:overflowPunct/>
        <w:topLinePunct w:val="0"/>
        <w:autoSpaceDE/>
        <w:autoSpaceDN/>
        <w:bidi w:val="0"/>
        <w:adjustRightInd/>
        <w:snapToGrid/>
        <w:spacing w:line="560" w:lineRule="exact"/>
        <w:rPr>
          <w:rFonts w:hint="eastAsia" w:ascii="楷体_GB2312" w:hAnsi="ˎ̥" w:eastAsia="楷体_GB2312"/>
          <w:b/>
          <w:sz w:val="32"/>
          <w:szCs w:val="32"/>
        </w:rPr>
      </w:pPr>
    </w:p>
    <w:p>
      <w:pPr>
        <w:keepNext w:val="0"/>
        <w:keepLines w:val="0"/>
        <w:pageBreakBefore w:val="0"/>
        <w:kinsoku/>
        <w:wordWrap/>
        <w:overflowPunct/>
        <w:topLinePunct w:val="0"/>
        <w:autoSpaceDE/>
        <w:autoSpaceDN/>
        <w:bidi w:val="0"/>
        <w:adjustRightInd/>
        <w:snapToGrid/>
        <w:spacing w:line="560" w:lineRule="exact"/>
        <w:rPr>
          <w:rFonts w:hint="eastAsia" w:ascii="仿宋_GB2312" w:hAnsi="ˎ̥" w:eastAsia="仿宋_GB2312"/>
          <w:sz w:val="32"/>
          <w:szCs w:val="32"/>
        </w:rPr>
      </w:pPr>
      <w:r>
        <w:rPr>
          <w:rFonts w:hint="eastAsia" w:ascii="楷体_GB2312" w:hAnsi="ˎ̥" w:eastAsia="楷体_GB2312"/>
          <w:b/>
          <w:sz w:val="32"/>
          <w:szCs w:val="32"/>
        </w:rPr>
        <w:t>甲方</w:t>
      </w:r>
      <w:r>
        <w:rPr>
          <w:rFonts w:hint="eastAsia" w:ascii="仿宋_GB2312" w:hAnsi="ˎ̥" w:eastAsia="仿宋_GB2312"/>
          <w:sz w:val="32"/>
          <w:szCs w:val="32"/>
        </w:rPr>
        <w:t>：深圳市龙岗区第七人民医院</w:t>
      </w:r>
    </w:p>
    <w:p>
      <w:pPr>
        <w:keepNext w:val="0"/>
        <w:keepLines w:val="0"/>
        <w:pageBreakBefore w:val="0"/>
        <w:kinsoku/>
        <w:wordWrap/>
        <w:overflowPunct/>
        <w:topLinePunct w:val="0"/>
        <w:autoSpaceDE/>
        <w:autoSpaceDN/>
        <w:bidi w:val="0"/>
        <w:adjustRightInd/>
        <w:snapToGrid/>
        <w:spacing w:line="560" w:lineRule="exact"/>
        <w:rPr>
          <w:rFonts w:hint="eastAsia" w:ascii="楷体_GB2312" w:hAnsi="ˎ̥" w:eastAsia="楷体_GB2312"/>
          <w:b/>
          <w:sz w:val="32"/>
          <w:szCs w:val="32"/>
        </w:rPr>
      </w:pPr>
      <w:r>
        <w:rPr>
          <w:rFonts w:hint="eastAsia" w:ascii="楷体_GB2312" w:hAnsi="ˎ̥" w:eastAsia="楷体_GB2312"/>
          <w:b/>
          <w:sz w:val="32"/>
          <w:szCs w:val="32"/>
        </w:rPr>
        <w:t>乙方</w:t>
      </w:r>
      <w:r>
        <w:rPr>
          <w:rFonts w:hint="eastAsia" w:ascii="仿宋_GB2312" w:hAnsi="ˎ̥"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rPr>
          <w:rFonts w:hint="eastAsia" w:ascii="楷体_GB2312" w:hAnsi="ˎ̥" w:eastAsia="楷体_GB2312"/>
          <w:b/>
          <w:sz w:val="32"/>
          <w:szCs w:val="32"/>
        </w:rPr>
      </w:pPr>
      <w:r>
        <w:rPr>
          <w:rFonts w:hint="eastAsia" w:ascii="楷体_GB2312" w:hAnsi="ˎ̥" w:eastAsia="楷体_GB2312"/>
          <w:b/>
          <w:sz w:val="32"/>
          <w:szCs w:val="32"/>
        </w:rPr>
        <w:t xml:space="preserve">项目名称：            </w:t>
      </w:r>
    </w:p>
    <w:p>
      <w:pPr>
        <w:keepNext w:val="0"/>
        <w:keepLines w:val="0"/>
        <w:pageBreakBefore w:val="0"/>
        <w:kinsoku/>
        <w:wordWrap/>
        <w:overflowPunct/>
        <w:topLinePunct w:val="0"/>
        <w:autoSpaceDE/>
        <w:autoSpaceDN/>
        <w:bidi w:val="0"/>
        <w:adjustRightInd/>
        <w:snapToGrid/>
        <w:spacing w:line="560" w:lineRule="exact"/>
        <w:rPr>
          <w:rFonts w:hint="eastAsia" w:ascii="楷体_GB2312" w:hAnsi="ˎ̥" w:eastAsia="楷体_GB2312"/>
          <w:sz w:val="32"/>
          <w:szCs w:val="32"/>
        </w:rPr>
      </w:pPr>
      <w:r>
        <w:rPr>
          <w:rFonts w:hint="eastAsia" w:ascii="楷体_GB2312" w:hAnsi="ˎ̥" w:eastAsia="楷体_GB2312"/>
          <w:b/>
          <w:sz w:val="32"/>
          <w:szCs w:val="32"/>
        </w:rPr>
        <w:t>合同总价</w:t>
      </w:r>
      <w:r>
        <w:rPr>
          <w:rFonts w:hint="eastAsia" w:ascii="楷体_GB2312" w:hAnsi="ˎ̥" w:eastAsia="楷体_GB2312"/>
          <w:sz w:val="32"/>
          <w:szCs w:val="32"/>
        </w:rPr>
        <w:t>：</w:t>
      </w:r>
    </w:p>
    <w:p>
      <w:pPr>
        <w:keepNext w:val="0"/>
        <w:keepLines w:val="0"/>
        <w:pageBreakBefore w:val="0"/>
        <w:kinsoku/>
        <w:wordWrap/>
        <w:overflowPunct/>
        <w:topLinePunct w:val="0"/>
        <w:autoSpaceDE/>
        <w:autoSpaceDN/>
        <w:bidi w:val="0"/>
        <w:adjustRightInd/>
        <w:snapToGrid/>
        <w:spacing w:line="560" w:lineRule="exact"/>
        <w:rPr>
          <w:rFonts w:hint="eastAsia" w:ascii="楷体_GB2312" w:hAnsi="ˎ̥" w:eastAsia="楷体_GB2312"/>
          <w:b/>
          <w:sz w:val="32"/>
          <w:szCs w:val="32"/>
        </w:rPr>
      </w:pPr>
      <w:r>
        <w:rPr>
          <w:rFonts w:hint="eastAsia" w:ascii="楷体_GB2312" w:hAnsi="ˎ̥" w:eastAsia="楷体_GB2312"/>
          <w:b/>
          <w:sz w:val="32"/>
          <w:szCs w:val="32"/>
        </w:rPr>
        <w:t>主办科室：</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为进一步加强医疗卫生行风建设，规范购销行为，有效防范商业贿赂，营造公平交易、诚实守信的购销环境，经甲、乙双方协商，同意签订本合同，并共同遵守：</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一、甲乙双方按照《</w:t>
      </w:r>
      <w:r>
        <w:rPr>
          <w:rFonts w:hint="eastAsia" w:ascii="仿宋_GB2312" w:hAnsi="ˎ̥" w:eastAsia="仿宋_GB2312"/>
          <w:sz w:val="32"/>
          <w:szCs w:val="32"/>
          <w:lang w:val="en-US" w:eastAsia="zh-CN"/>
        </w:rPr>
        <w:t>中华人民共和国民法典</w:t>
      </w:r>
      <w:r>
        <w:rPr>
          <w:rFonts w:hint="eastAsia" w:ascii="仿宋_GB2312" w:hAnsi="ˎ̥" w:eastAsia="仿宋_GB2312"/>
          <w:sz w:val="32"/>
          <w:szCs w:val="32"/>
        </w:rPr>
        <w:t>》及产品</w:t>
      </w:r>
      <w:r>
        <w:rPr>
          <w:rFonts w:hint="eastAsia" w:ascii="仿宋_GB2312" w:eastAsia="仿宋_GB2312"/>
          <w:sz w:val="32"/>
          <w:szCs w:val="32"/>
        </w:rPr>
        <w:t>购销合同</w:t>
      </w:r>
      <w:r>
        <w:rPr>
          <w:rFonts w:hint="eastAsia" w:ascii="仿宋_GB2312" w:hAnsi="ˎ̥" w:eastAsia="仿宋_GB2312"/>
          <w:sz w:val="32"/>
          <w:szCs w:val="32"/>
        </w:rPr>
        <w:t>约定实施购销行为。</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二、甲方应当严格执行验收、入库制度，对采购产品及发票进行查验，不得违反有关规定进行合同外采购、违价采购或从非规定渠道采购。</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三、甲方不得接受乙方以任何名义、形式给予的利益输送，不得将接受捐赠资助与采购挂钩。甲方工作人员不得参加乙方安排并支付费用的营业性娱乐场所的娱乐活动，</w:t>
      </w:r>
      <w:r>
        <w:rPr>
          <w:rFonts w:hint="eastAsia" w:ascii="仿宋_GB2312" w:eastAsia="仿宋_GB2312"/>
          <w:sz w:val="32"/>
          <w:szCs w:val="32"/>
        </w:rPr>
        <w:t>不得以任何形式向乙方索要现金、有价证券、支付凭证和贵重礼品等</w:t>
      </w:r>
      <w:r>
        <w:rPr>
          <w:rFonts w:hint="eastAsia" w:ascii="仿宋_GB2312" w:hAnsi="ˎ̥" w:eastAsia="仿宋_GB2312"/>
          <w:sz w:val="32"/>
          <w:szCs w:val="32"/>
        </w:rPr>
        <w:t>。被迫接受乙方给予的钱物，应予退还，无法退还的，有责任如实向纪检监察部门反映情况。</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四、严禁甲方工作人员利用任何途径和方式，非法为乙方统计医师个人及临床科室有关医药产品用量信息，或为乙方统方提供便利。</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rPr>
      </w:pPr>
      <w:r>
        <w:rPr>
          <w:rFonts w:hint="eastAsia" w:ascii="仿宋_GB2312" w:eastAsia="仿宋_GB2312"/>
          <w:sz w:val="32"/>
          <w:szCs w:val="32"/>
        </w:rPr>
        <w:t>五、</w:t>
      </w:r>
      <w:r>
        <w:rPr>
          <w:rFonts w:hint="eastAsia" w:ascii="仿宋_GB2312" w:hAnsi="ˎ̥" w:eastAsia="仿宋_GB2312"/>
          <w:sz w:val="32"/>
          <w:szCs w:val="32"/>
        </w:rPr>
        <w:t>乙方不得以回扣、</w:t>
      </w:r>
      <w:r>
        <w:rPr>
          <w:rFonts w:hint="eastAsia" w:ascii="仿宋_GB2312" w:eastAsia="仿宋_GB2312"/>
          <w:sz w:val="32"/>
          <w:szCs w:val="32"/>
        </w:rPr>
        <w:t>宴请等方式影响甲方工作人员采购或使用医药产品的选择权，不得在学术活动中提供旅游、超标准支付食宿费用，以及其他任何形式的利益输送。</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ˎ̥" w:eastAsia="仿宋_GB2312"/>
          <w:sz w:val="32"/>
          <w:szCs w:val="32"/>
        </w:rPr>
      </w:pPr>
      <w:r>
        <w:rPr>
          <w:rFonts w:hint="eastAsia" w:ascii="仿宋_GB2312" w:eastAsia="仿宋_GB2312"/>
          <w:sz w:val="32"/>
          <w:szCs w:val="32"/>
        </w:rPr>
        <w:t>六、乙方指定</w:t>
      </w:r>
      <w:r>
        <w:rPr>
          <w:rFonts w:hint="eastAsia" w:ascii="仿宋_GB2312" w:eastAsia="仿宋_GB2312"/>
          <w:sz w:val="32"/>
          <w:szCs w:val="32"/>
          <w:u w:val="single"/>
        </w:rPr>
        <w:t xml:space="preserve">        </w:t>
      </w:r>
      <w:r>
        <w:rPr>
          <w:rFonts w:hint="eastAsia" w:ascii="仿宋_GB2312" w:eastAsia="仿宋_GB2312"/>
          <w:sz w:val="32"/>
          <w:szCs w:val="32"/>
        </w:rPr>
        <w:t>作为销售代表洽谈业务。销售代表必须在工作时间到甲方指定地点联系商谈，不得到住院部、门诊部、医技科室等推销医药产品，不得借故到甲方相关领导、部门</w:t>
      </w:r>
      <w:r>
        <w:rPr>
          <w:rFonts w:hint="eastAsia" w:ascii="仿宋_GB2312" w:hAnsi="ˎ̥" w:eastAsia="仿宋_GB2312"/>
          <w:sz w:val="32"/>
          <w:szCs w:val="32"/>
        </w:rPr>
        <w:t>负责人及相关工作人员家中访谈并提供任何好处费。</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rPr>
      </w:pPr>
      <w:r>
        <w:rPr>
          <w:rFonts w:hint="eastAsia" w:ascii="仿宋_GB2312" w:eastAsia="仿宋_GB2312"/>
          <w:sz w:val="32"/>
          <w:szCs w:val="32"/>
        </w:rPr>
        <w:t>七、</w:t>
      </w:r>
      <w:r>
        <w:rPr>
          <w:rFonts w:hint="eastAsia" w:ascii="仿宋_GB2312" w:hAnsi="ˎ̥" w:eastAsia="仿宋_GB2312"/>
          <w:sz w:val="32"/>
          <w:szCs w:val="32"/>
        </w:rPr>
        <w:t>乙方如违反本合同，一经发现，</w:t>
      </w:r>
      <w:r>
        <w:rPr>
          <w:rFonts w:hint="eastAsia" w:ascii="仿宋_GB2312" w:eastAsia="仿宋_GB2312"/>
          <w:sz w:val="32"/>
          <w:szCs w:val="32"/>
        </w:rPr>
        <w:t>甲方有权终止产品购销合同，并向有关部门报告。如乙方被列入商业贿赂不良记录，则严格按照《国家</w:t>
      </w:r>
      <w:r>
        <w:rPr>
          <w:rFonts w:ascii="仿宋_GB2312" w:eastAsia="仿宋_GB2312"/>
          <w:sz w:val="32"/>
          <w:szCs w:val="32"/>
        </w:rPr>
        <w:t>卫生计生委关于建立医药购销领域商业贿赂不良记录的规定</w:t>
      </w:r>
      <w:r>
        <w:rPr>
          <w:rFonts w:hint="eastAsia" w:ascii="仿宋_GB2312" w:eastAsia="仿宋_GB2312"/>
          <w:sz w:val="32"/>
          <w:szCs w:val="32"/>
        </w:rPr>
        <w:t>》</w:t>
      </w:r>
      <w:r>
        <w:rPr>
          <w:rFonts w:eastAsia="仿宋_GB2312"/>
          <w:color w:val="000000"/>
          <w:sz w:val="32"/>
          <w:szCs w:val="32"/>
          <w:shd w:val="clear" w:color="auto" w:fill="FFFFFF"/>
        </w:rPr>
        <w:t>（国卫法制发〔2013〕50号）</w:t>
      </w:r>
      <w:r>
        <w:rPr>
          <w:rFonts w:hint="eastAsia" w:ascii="仿宋_GB2312" w:eastAsia="仿宋_GB2312"/>
          <w:sz w:val="32"/>
          <w:szCs w:val="32"/>
        </w:rPr>
        <w:t>相关规定处理。</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rPr>
      </w:pPr>
      <w:r>
        <w:rPr>
          <w:rFonts w:hint="eastAsia" w:ascii="仿宋_GB2312" w:hAnsi="ˎ̥" w:eastAsia="仿宋_GB2312"/>
          <w:sz w:val="32"/>
          <w:szCs w:val="32"/>
        </w:rPr>
        <w:t>八、</w:t>
      </w:r>
      <w:r>
        <w:rPr>
          <w:rFonts w:hint="eastAsia" w:ascii="仿宋_GB2312" w:eastAsia="仿宋_GB2312"/>
          <w:sz w:val="32"/>
          <w:szCs w:val="32"/>
        </w:rPr>
        <w:t>本合同作为产品购销合同的组成部分，与购销合同一并执行，具有同等的法律效力。</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rPr>
      </w:pPr>
      <w:r>
        <w:rPr>
          <w:rFonts w:hint="eastAsia" w:ascii="仿宋_GB2312" w:eastAsia="仿宋_GB2312"/>
          <w:sz w:val="32"/>
          <w:szCs w:val="32"/>
        </w:rPr>
        <w:t>九、本合同一式叁份，甲方贰份（一份随购销主合同存档，一份交医院纪检监察部门），乙方壹份，从签订之日起生效。</w:t>
      </w:r>
    </w:p>
    <w:p>
      <w:pPr>
        <w:keepNext w:val="0"/>
        <w:keepLines w:val="0"/>
        <w:pageBreakBefore w:val="0"/>
        <w:kinsoku/>
        <w:wordWrap/>
        <w:overflowPunct/>
        <w:topLinePunct w:val="0"/>
        <w:autoSpaceDE/>
        <w:autoSpaceDN/>
        <w:bidi w:val="0"/>
        <w:adjustRightInd/>
        <w:snapToGrid/>
        <w:spacing w:line="560" w:lineRule="exact"/>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rPr>
          <w:rFonts w:ascii="楷体_GB2312" w:eastAsia="楷体_GB2312"/>
          <w:b/>
          <w:sz w:val="32"/>
          <w:szCs w:val="32"/>
        </w:rPr>
      </w:pPr>
      <w:r>
        <w:rPr>
          <w:rFonts w:hint="eastAsia" w:ascii="楷体_GB2312" w:eastAsia="楷体_GB2312"/>
          <w:b/>
          <w:sz w:val="32"/>
          <w:szCs w:val="32"/>
        </w:rPr>
        <w:t>甲方（盖章）：                  乙方（盖章）：</w:t>
      </w:r>
    </w:p>
    <w:p>
      <w:pPr>
        <w:keepNext w:val="0"/>
        <w:keepLines w:val="0"/>
        <w:pageBreakBefore w:val="0"/>
        <w:kinsoku/>
        <w:wordWrap/>
        <w:overflowPunct/>
        <w:topLinePunct w:val="0"/>
        <w:autoSpaceDE/>
        <w:autoSpaceDN/>
        <w:bidi w:val="0"/>
        <w:adjustRightInd/>
        <w:snapToGrid/>
        <w:spacing w:line="560" w:lineRule="exact"/>
        <w:rPr>
          <w:rFonts w:ascii="楷体_GB2312" w:eastAsia="楷体_GB2312"/>
          <w:b/>
          <w:sz w:val="32"/>
          <w:szCs w:val="32"/>
        </w:rPr>
      </w:pPr>
      <w:r>
        <w:rPr>
          <w:rFonts w:hint="eastAsia" w:ascii="楷体_GB2312" w:eastAsia="楷体_GB2312"/>
          <w:b/>
          <w:sz w:val="32"/>
          <w:szCs w:val="32"/>
        </w:rPr>
        <w:t>法定代表人（</w:t>
      </w:r>
      <w:r>
        <w:rPr>
          <w:rFonts w:ascii="楷体_GB2312" w:eastAsia="楷体_GB2312"/>
          <w:b/>
          <w:sz w:val="32"/>
          <w:szCs w:val="32"/>
        </w:rPr>
        <w:t>负责人</w:t>
      </w:r>
      <w:r>
        <w:rPr>
          <w:rFonts w:hint="eastAsia" w:ascii="楷体_GB2312" w:eastAsia="楷体_GB2312"/>
          <w:b/>
          <w:sz w:val="32"/>
          <w:szCs w:val="32"/>
        </w:rPr>
        <w:t>）：          法定代表人（</w:t>
      </w:r>
      <w:r>
        <w:rPr>
          <w:rFonts w:ascii="楷体_GB2312" w:eastAsia="楷体_GB2312"/>
          <w:b/>
          <w:sz w:val="32"/>
          <w:szCs w:val="32"/>
        </w:rPr>
        <w:t>负责人</w:t>
      </w:r>
      <w:r>
        <w:rPr>
          <w:rFonts w:hint="eastAsia" w:ascii="楷体_GB2312" w:eastAsia="楷体_GB2312"/>
          <w:b/>
          <w:sz w:val="32"/>
          <w:szCs w:val="32"/>
        </w:rPr>
        <w:t>）：</w:t>
      </w:r>
    </w:p>
    <w:p>
      <w:pPr>
        <w:keepNext w:val="0"/>
        <w:keepLines w:val="0"/>
        <w:pageBreakBefore w:val="0"/>
        <w:kinsoku/>
        <w:wordWrap/>
        <w:overflowPunct/>
        <w:topLinePunct w:val="0"/>
        <w:autoSpaceDE/>
        <w:autoSpaceDN/>
        <w:bidi w:val="0"/>
        <w:adjustRightInd/>
        <w:snapToGrid/>
        <w:spacing w:line="560" w:lineRule="exact"/>
        <w:rPr>
          <w:rFonts w:hint="eastAsia"/>
        </w:rPr>
      </w:pPr>
      <w:r>
        <w:rPr>
          <w:rFonts w:hint="eastAsia" w:ascii="楷体_GB2312" w:eastAsia="楷体_GB2312"/>
          <w:b/>
          <w:sz w:val="32"/>
          <w:szCs w:val="32"/>
        </w:rPr>
        <w:t>委托代理人签名：               经办人签名：</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宋体" w:hAnsi="宋体" w:eastAsia="宋体" w:cs="宋体"/>
          <w:b w:val="0"/>
          <w:bCs w:val="0"/>
          <w:i w:val="0"/>
          <w:iCs w:val="0"/>
          <w:color w:val="000000"/>
          <w:kern w:val="0"/>
          <w:sz w:val="44"/>
          <w:szCs w:val="44"/>
          <w:u w:val="none"/>
          <w:lang w:val="en-US" w:eastAsia="zh-CN" w:bidi="ar"/>
        </w:rPr>
      </w:pPr>
      <w:r>
        <w:rPr>
          <w:rFonts w:hint="eastAsia" w:ascii="仿宋_GB2312" w:eastAsia="仿宋_GB2312"/>
          <w:sz w:val="32"/>
          <w:szCs w:val="32"/>
        </w:rPr>
        <w:t>年    月   日                 年    月   日</w:t>
      </w:r>
    </w:p>
    <w:p>
      <w:pPr>
        <w:keepNext w:val="0"/>
        <w:keepLines w:val="0"/>
        <w:pageBreakBefore w:val="0"/>
        <w:widowControl/>
        <w:suppressLineNumbers w:val="0"/>
        <w:kinsoku/>
        <w:wordWrap/>
        <w:overflowPunct/>
        <w:topLinePunct w:val="0"/>
        <w:autoSpaceDE/>
        <w:autoSpaceDN/>
        <w:bidi w:val="0"/>
        <w:adjustRightInd/>
        <w:snapToGrid/>
        <w:spacing w:line="440" w:lineRule="exact"/>
        <w:ind w:right="0"/>
        <w:jc w:val="center"/>
        <w:rPr>
          <w:rFonts w:hint="eastAsia" w:ascii="宋体" w:hAnsi="宋体" w:eastAsia="宋体" w:cs="宋体"/>
          <w:b w:val="0"/>
          <w:bCs w:val="0"/>
          <w:i w:val="0"/>
          <w:iCs w:val="0"/>
          <w:color w:val="000000"/>
          <w:kern w:val="0"/>
          <w:sz w:val="44"/>
          <w:szCs w:val="44"/>
          <w:u w:val="none"/>
          <w:lang w:val="en-US" w:eastAsia="zh-CN" w:bidi="ar"/>
        </w:rPr>
      </w:pPr>
      <w:r>
        <w:rPr>
          <w:rFonts w:hint="eastAsia" w:ascii="宋体" w:hAnsi="宋体" w:eastAsia="宋体" w:cs="宋体"/>
          <w:b w:val="0"/>
          <w:bCs w:val="0"/>
          <w:i w:val="0"/>
          <w:iCs w:val="0"/>
          <w:color w:val="000000"/>
          <w:kern w:val="0"/>
          <w:sz w:val="44"/>
          <w:szCs w:val="44"/>
          <w:u w:val="none"/>
          <w:lang w:val="en-US" w:eastAsia="zh-CN" w:bidi="ar"/>
        </w:rPr>
        <w:t>龙岗区进一步规范政商交往行为告知书</w:t>
      </w:r>
    </w:p>
    <w:p>
      <w:pPr>
        <w:keepNext w:val="0"/>
        <w:keepLines w:val="0"/>
        <w:pageBreakBefore w:val="0"/>
        <w:kinsoku/>
        <w:wordWrap/>
        <w:overflowPunct/>
        <w:topLinePunct w:val="0"/>
        <w:autoSpaceDE/>
        <w:autoSpaceDN/>
        <w:bidi w:val="0"/>
        <w:adjustRightInd/>
        <w:snapToGrid/>
        <w:spacing w:line="440" w:lineRule="exact"/>
        <w:ind w:right="0"/>
        <w:rPr>
          <w:rFonts w:ascii="宋体" w:hAnsi="宋体" w:cs="宋体"/>
          <w:sz w:val="28"/>
          <w:szCs w:val="28"/>
        </w:rPr>
      </w:pPr>
    </w:p>
    <w:p>
      <w:pPr>
        <w:keepNext w:val="0"/>
        <w:keepLines w:val="0"/>
        <w:pageBreakBefore w:val="0"/>
        <w:kinsoku/>
        <w:wordWrap/>
        <w:overflowPunct/>
        <w:topLinePunct w:val="0"/>
        <w:autoSpaceDE/>
        <w:autoSpaceDN/>
        <w:bidi w:val="0"/>
        <w:adjustRightInd/>
        <w:snapToGrid/>
        <w:spacing w:line="440" w:lineRule="exact"/>
        <w:ind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为深入构建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型政商关系，努力打造尊商、亲商、助商、安商良好营商环境，龙岗区委区政府制定了《龙岗区公职人员政商交往“十个不准”》，严明公职人员在政商交往中的纪律要求。请参与龙岗建设的广大企业及其从业人员，严格监督我区公职人员落实“十个不准”，并在与我区公职人员交往中切实做到“十个不得”。</w:t>
      </w:r>
    </w:p>
    <w:p>
      <w:pPr>
        <w:keepNext w:val="0"/>
        <w:keepLines w:val="0"/>
        <w:pageBreakBefore w:val="0"/>
        <w:kinsoku/>
        <w:wordWrap/>
        <w:overflowPunct/>
        <w:topLinePunct w:val="0"/>
        <w:autoSpaceDE/>
        <w:autoSpaceDN/>
        <w:bidi w:val="0"/>
        <w:adjustRightInd/>
        <w:snapToGrid/>
        <w:spacing w:line="440" w:lineRule="exact"/>
        <w:ind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一、不得向公职人员赠送礼品、礼金、消费卡等财物。</w:t>
      </w:r>
    </w:p>
    <w:p>
      <w:pPr>
        <w:keepNext w:val="0"/>
        <w:keepLines w:val="0"/>
        <w:pageBreakBefore w:val="0"/>
        <w:kinsoku/>
        <w:wordWrap/>
        <w:overflowPunct/>
        <w:topLinePunct w:val="0"/>
        <w:autoSpaceDE/>
        <w:autoSpaceDN/>
        <w:bidi w:val="0"/>
        <w:adjustRightInd/>
        <w:snapToGrid/>
        <w:spacing w:line="440" w:lineRule="exact"/>
        <w:ind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二、不得违规向公职人员提供宴请、旅游、娱乐等安排。</w:t>
      </w:r>
    </w:p>
    <w:p>
      <w:pPr>
        <w:keepNext w:val="0"/>
        <w:keepLines w:val="0"/>
        <w:pageBreakBefore w:val="0"/>
        <w:kinsoku/>
        <w:wordWrap/>
        <w:overflowPunct/>
        <w:topLinePunct w:val="0"/>
        <w:autoSpaceDE/>
        <w:autoSpaceDN/>
        <w:bidi w:val="0"/>
        <w:adjustRightInd/>
        <w:snapToGrid/>
        <w:spacing w:line="440" w:lineRule="exact"/>
        <w:ind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三、不得通过打麻将等形式向公职人员输送利益。</w:t>
      </w:r>
    </w:p>
    <w:p>
      <w:pPr>
        <w:keepNext w:val="0"/>
        <w:keepLines w:val="0"/>
        <w:pageBreakBefore w:val="0"/>
        <w:kinsoku/>
        <w:wordWrap/>
        <w:overflowPunct/>
        <w:topLinePunct w:val="0"/>
        <w:autoSpaceDE/>
        <w:autoSpaceDN/>
        <w:bidi w:val="0"/>
        <w:adjustRightInd/>
        <w:snapToGrid/>
        <w:spacing w:line="440" w:lineRule="exact"/>
        <w:ind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四、不得为公职人员报销应由其个人支付的费用。</w:t>
      </w:r>
    </w:p>
    <w:p>
      <w:pPr>
        <w:keepNext w:val="0"/>
        <w:keepLines w:val="0"/>
        <w:pageBreakBefore w:val="0"/>
        <w:kinsoku/>
        <w:wordWrap/>
        <w:overflowPunct/>
        <w:topLinePunct w:val="0"/>
        <w:autoSpaceDE/>
        <w:autoSpaceDN/>
        <w:bidi w:val="0"/>
        <w:adjustRightInd/>
        <w:snapToGrid/>
        <w:spacing w:line="440" w:lineRule="exact"/>
        <w:ind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五、不得违规向公职人员及其亲友借贷款。</w:t>
      </w:r>
    </w:p>
    <w:p>
      <w:pPr>
        <w:keepNext w:val="0"/>
        <w:keepLines w:val="0"/>
        <w:pageBreakBefore w:val="0"/>
        <w:kinsoku/>
        <w:wordWrap/>
        <w:overflowPunct/>
        <w:topLinePunct w:val="0"/>
        <w:autoSpaceDE/>
        <w:autoSpaceDN/>
        <w:bidi w:val="0"/>
        <w:adjustRightInd/>
        <w:snapToGrid/>
        <w:spacing w:line="440" w:lineRule="exact"/>
        <w:ind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六、不得违规将车辆、住房等借给公职人员使用。</w:t>
      </w:r>
    </w:p>
    <w:p>
      <w:pPr>
        <w:keepNext w:val="0"/>
        <w:keepLines w:val="0"/>
        <w:pageBreakBefore w:val="0"/>
        <w:kinsoku/>
        <w:wordWrap/>
        <w:overflowPunct/>
        <w:topLinePunct w:val="0"/>
        <w:autoSpaceDE/>
        <w:autoSpaceDN/>
        <w:bidi w:val="0"/>
        <w:adjustRightInd/>
        <w:snapToGrid/>
        <w:spacing w:line="440" w:lineRule="exact"/>
        <w:ind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七、不得在招投标中与公职人员搞暗箱操作、围标串标。</w:t>
      </w:r>
    </w:p>
    <w:p>
      <w:pPr>
        <w:keepNext w:val="0"/>
        <w:keepLines w:val="0"/>
        <w:pageBreakBefore w:val="0"/>
        <w:kinsoku/>
        <w:wordWrap/>
        <w:overflowPunct/>
        <w:topLinePunct w:val="0"/>
        <w:autoSpaceDE/>
        <w:autoSpaceDN/>
        <w:bidi w:val="0"/>
        <w:adjustRightInd/>
        <w:snapToGrid/>
        <w:spacing w:line="440" w:lineRule="exact"/>
        <w:ind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八、不得为利益相关人和公职人员牵线搭桥或者代为传递信息、传递财物。</w:t>
      </w:r>
    </w:p>
    <w:p>
      <w:pPr>
        <w:keepNext w:val="0"/>
        <w:keepLines w:val="0"/>
        <w:pageBreakBefore w:val="0"/>
        <w:kinsoku/>
        <w:wordWrap/>
        <w:overflowPunct/>
        <w:topLinePunct w:val="0"/>
        <w:autoSpaceDE/>
        <w:autoSpaceDN/>
        <w:bidi w:val="0"/>
        <w:adjustRightInd/>
        <w:snapToGrid/>
        <w:spacing w:line="440" w:lineRule="exact"/>
        <w:ind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九、不得让公职人员在企业违规兼职取酬。</w:t>
      </w:r>
    </w:p>
    <w:p>
      <w:pPr>
        <w:keepNext w:val="0"/>
        <w:keepLines w:val="0"/>
        <w:pageBreakBefore w:val="0"/>
        <w:kinsoku/>
        <w:wordWrap/>
        <w:overflowPunct/>
        <w:topLinePunct w:val="0"/>
        <w:autoSpaceDE/>
        <w:autoSpaceDN/>
        <w:bidi w:val="0"/>
        <w:adjustRightInd/>
        <w:snapToGrid/>
        <w:spacing w:line="440" w:lineRule="exact"/>
        <w:ind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十、不得为公职人员亲友违规承揽业务提供便利。</w:t>
      </w:r>
    </w:p>
    <w:p>
      <w:pPr>
        <w:keepNext w:val="0"/>
        <w:keepLines w:val="0"/>
        <w:pageBreakBefore w:val="0"/>
        <w:kinsoku/>
        <w:wordWrap/>
        <w:overflowPunct/>
        <w:topLinePunct w:val="0"/>
        <w:autoSpaceDE/>
        <w:autoSpaceDN/>
        <w:bidi w:val="0"/>
        <w:adjustRightInd/>
        <w:snapToGrid/>
        <w:spacing w:line="440" w:lineRule="exact"/>
        <w:ind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上述“十个不得”，请您严格遵守。同时，在政商交往中， 如有发现我区公职人员存在违反“十个不准”的问题，请及时通过网络举报平台或者12388举报电话等方式，向纪检监察机关反映举报，我们将一律严格保密、一律优先处置、一律严肃查处。</w:t>
      </w:r>
    </w:p>
    <w:p>
      <w:pPr>
        <w:keepNext w:val="0"/>
        <w:keepLines w:val="0"/>
        <w:pageBreakBefore w:val="0"/>
        <w:kinsoku/>
        <w:wordWrap/>
        <w:overflowPunct/>
        <w:topLinePunct w:val="0"/>
        <w:autoSpaceDE/>
        <w:autoSpaceDN/>
        <w:bidi w:val="0"/>
        <w:adjustRightInd/>
        <w:snapToGrid/>
        <w:spacing w:line="440" w:lineRule="exact"/>
        <w:ind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本人已知晓上述告知内容，并愿意遵照执行（签名）：</w:t>
      </w:r>
    </w:p>
    <w:p>
      <w:pPr>
        <w:keepNext w:val="0"/>
        <w:keepLines w:val="0"/>
        <w:pageBreakBefore w:val="0"/>
        <w:kinsoku/>
        <w:wordWrap/>
        <w:overflowPunct/>
        <w:topLinePunct w:val="0"/>
        <w:autoSpaceDE/>
        <w:autoSpaceDN/>
        <w:bidi w:val="0"/>
        <w:adjustRightInd/>
        <w:snapToGrid/>
        <w:spacing w:line="440" w:lineRule="exact"/>
        <w:ind w:right="0" w:firstLine="5760" w:firstLineChars="18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p>
    <w:p>
      <w:pPr>
        <w:keepNext w:val="0"/>
        <w:keepLines w:val="0"/>
        <w:pageBreakBefore w:val="0"/>
        <w:kinsoku/>
        <w:wordWrap/>
        <w:overflowPunct/>
        <w:topLinePunct w:val="0"/>
        <w:autoSpaceDE/>
        <w:autoSpaceDN/>
        <w:bidi w:val="0"/>
        <w:adjustRightInd/>
        <w:snapToGrid/>
        <w:spacing w:line="440" w:lineRule="exact"/>
        <w:ind w:right="0" w:firstLine="4480" w:firstLineChars="1400"/>
        <w:rPr>
          <w:rFonts w:hint="eastAsia" w:ascii="仿宋_GB2312" w:hAnsi="仿宋_GB2312" w:eastAsia="仿宋_GB2312" w:cs="仿宋_GB2312"/>
          <w:sz w:val="32"/>
          <w:szCs w:val="32"/>
        </w:rPr>
      </w:pPr>
    </w:p>
    <w:p>
      <w:pPr>
        <w:pStyle w:val="11"/>
        <w:keepNext w:val="0"/>
        <w:keepLines w:val="0"/>
        <w:pageBreakBefore w:val="0"/>
        <w:kinsoku/>
        <w:wordWrap/>
        <w:overflowPunct/>
        <w:topLinePunct w:val="0"/>
        <w:autoSpaceDE/>
        <w:autoSpaceDN/>
        <w:bidi w:val="0"/>
        <w:adjustRightInd/>
        <w:snapToGrid/>
        <w:spacing w:line="440" w:lineRule="exact"/>
        <w:ind w:right="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单位名称（盖章）：</w:t>
      </w:r>
    </w:p>
    <w:p>
      <w:pPr>
        <w:pStyle w:val="11"/>
        <w:keepNext w:val="0"/>
        <w:keepLines w:val="0"/>
        <w:pageBreakBefore w:val="0"/>
        <w:kinsoku/>
        <w:wordWrap/>
        <w:overflowPunct/>
        <w:topLinePunct w:val="0"/>
        <w:autoSpaceDE/>
        <w:autoSpaceDN/>
        <w:bidi w:val="0"/>
        <w:adjustRightInd/>
        <w:snapToGrid/>
        <w:spacing w:line="440" w:lineRule="exact"/>
        <w:ind w:right="0"/>
        <w:jc w:val="center"/>
        <w:rPr>
          <w:rFonts w:hint="eastAsia" w:ascii="仿宋" w:hAnsi="仿宋" w:eastAsia="仿宋" w:cs="仿宋"/>
          <w:color w:val="auto"/>
          <w:sz w:val="28"/>
          <w:szCs w:val="28"/>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p>
      <w:pPr>
        <w:rPr>
          <w:rFonts w:hint="default"/>
        </w:rPr>
      </w:pPr>
    </w:p>
    <w:sectPr>
      <w:headerReference r:id="rId6" w:type="default"/>
      <w:footerReference r:id="rId7" w:type="default"/>
      <w:pgSz w:w="11906" w:h="16838"/>
      <w:pgMar w:top="2098" w:right="1474" w:bottom="1984" w:left="1587" w:header="851" w:footer="1417" w:gutter="0"/>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cs="Times New Roman"/>
        <w:sz w:val="20"/>
        <w:szCs w:val="20"/>
      </w:rPr>
    </w:pPr>
    <w:r>
      <w:rPr>
        <w:sz w:val="2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2"/>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47</w:t>
                          </w:r>
                          <w:r>
                            <w:rPr>
                              <w:rFonts w:hint="eastAsia" w:ascii="宋体" w:hAnsi="宋体" w:eastAsia="宋体" w:cs="宋体"/>
                              <w:sz w:val="28"/>
                              <w:szCs w:val="28"/>
                            </w:rPr>
                            <w:fldChar w:fldCharType="end"/>
                          </w:r>
                        </w:p>
                      </w:txbxContent>
                    </wps:txbx>
                    <wps:bodyPr rot="0" vert="horz" wrap="none" lIns="0" tIns="0" rIns="0" bIns="0" anchor="t" anchorCtr="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8O+KrpAQAA0gMAAA4AAABkcnMvZTJvRG9jLnhtbK1TwY7TMBC9&#10;I/EPlu802UqFKGq6WqgWISFAWvgA17EbS7bHst0m5QPgDzhx4c539Tt27CRdtFz2sJdkxjN+M+/N&#10;eH09GE2OwgcFtqFXi5ISYTm0yu4b+u3r7auKkhCZbZkGKxp6EoFeb16+WPeuFkvoQLfCEwSxoe5d&#10;Q7sYXV0UgXfCsLAAJywGJXjDIrp+X7Se9YhudLEsy9dFD751HrgIAU+3Y5BOiP4pgCCl4mIL/GCE&#10;jSOqF5pFpBQ65QLd5G6lFDx+ljKISHRDkWnMXyyC9i59i82a1XvPXKf41AJ7SguPOBmmLBa9QG1Z&#10;ZOTg1X9QRnEPAWRccDDFSCQrgiyuykfa3HXMicwFpQ7uInp4Plj+6fjFE9U2dEmJZQYHfv718/z7&#10;7/nPD7JK8vQu1Jh15zAvDm9hwKWZzwMeJtaD9Cb9kQ/BOIp7uogrhkh4ulQtq6rEEMfY7CB+8XDd&#10;+RDfCzAkGQ31OL0sKjt+DHFMnVNSNQu3Sus8QW1Jj6ir6s0q37iEEF3blCzyMkw4idPYe7LisBsm&#10;ojtoT8jTw7go+EzQ6MB/p6THJWmoxTdBif5gcQZpn2bDz8ZuNpjleLGhkZLRfBfz3qVmgrs5ROw+&#10;k0otjHVRjOTgqLMs01qmXfrXz1kPT3Fz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hpgkvTAAAA&#10;BQEAAA8AAAAAAAAAAQAgAAAAIgAAAGRycy9kb3ducmV2LnhtbFBLAQIUABQAAAAIAIdO4kAPDviq&#10;6QEAANIDAAAOAAAAAAAAAAEAIAAAACIBAABkcnMvZTJvRG9jLnhtbFBLBQYAAAAABgAGAFkBAAB9&#10;BQAAAAA=&#10;">
              <v:fill on="f" focussize="0,0"/>
              <v:stroke on="f" weight="1.25pt"/>
              <v:imagedata o:title=""/>
              <o:lock v:ext="edit" aspectratio="f"/>
              <v:textbox inset="0mm,0mm,0mm,0mm" style="mso-fit-shape-to-text:t;">
                <w:txbxContent>
                  <w:p>
                    <w:pPr>
                      <w:pStyle w:val="12"/>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47</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32</w:t>
                          </w:r>
                          <w:r>
                            <w:rPr>
                              <w:rFonts w:hint="eastAsia"/>
                              <w:sz w:val="18"/>
                            </w:rPr>
                            <w:fldChar w:fldCharType="end"/>
                          </w:r>
                        </w:p>
                      </w:txbxContent>
                    </wps:txbx>
                    <wps:bodyPr rot="0" vert="horz" wrap="none" lIns="0" tIns="0" rIns="0" bIns="0" anchor="t" anchorCtr="0">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Gz7ilznAQAA0gMAAA4AAABkcnMvZTJvRG9jLnhtbK1TwY7TMBC9&#10;I/EPlu802SJBVDVdAdUiJARICx/gOk5jyfZYHrdJ+QD4A05cuPNd/Y4dO0kXlsseuCQznvGbeW/G&#10;6+vBGnZUATW4ml8tSs6Uk9Bot6/5l883zyrOMArXCANO1fykkF9vnj5Z936lltCBaVRgBOJw1fua&#10;dzH6VVGg7JQVuACvHAVbCFZEcsO+aILoCd2aYlmWL4oeQuMDSIVIp9sxyCfE8BhAaFst1RbkwSoX&#10;R9SgjIhECTvtkW9yt22rZPzYtqgiMzUnpjF/qQjZu/QtNmux2gfhOy2nFsRjWnjAyQrtqOgFaiui&#10;YIeg/4GyWgZAaONCgi1GIlkRYnFVPtDmthNeZS4kNfqL6Pj/YOWH46fAdFPz55w5YWng5x/fzz9/&#10;n399Y1WSp/e4oqxbT3lxeA0DLc18jnSYWA9tsOlPfBjFSdzTRVw1RCbTpWpZVSWFJMVmh/CL++s+&#10;YHyrwLJk1DzQ9LKo4vge45g6p6RqDm60MXmCxrGeUJcvqcBfIUI3Lp2ovAwTTuI09p6sOOyGiegO&#10;mhPxDDAuCj0TMjoIXznraUlq7uhNcGbeOZpB2qfZCLOxmw3hJF2seeRsNN/EvHepGfSvDpG6z6RS&#10;C2NdEiM5NOosy7SWaZf+9HPW/VPc3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yJ92v0wAAAAUB&#10;AAAPAAAAAAAAAAEAIAAAACIAAABkcnMvZG93bnJldi54bWxQSwECFAAUAAAACACHTuJAbPuKXOcB&#10;AADSAwAADgAAAAAAAAABACAAAAAiAQAAZHJzL2Uyb0RvYy54bWxQSwUGAAAAAAYABgBZAQAAewUA&#10;AAAA&#10;">
              <v:fill on="f" focussize="0,0"/>
              <v:stroke on="f" weight="1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B7BE7E"/>
    <w:multiLevelType w:val="singleLevel"/>
    <w:tmpl w:val="22B7BE7E"/>
    <w:lvl w:ilvl="0" w:tentative="0">
      <w:start w:val="3"/>
      <w:numFmt w:val="chineseCounting"/>
      <w:suff w:val="nothing"/>
      <w:lvlText w:val="（%1）"/>
      <w:lvlJc w:val="left"/>
      <w:rPr>
        <w:rFonts w:hint="eastAsia"/>
      </w:rPr>
    </w:lvl>
  </w:abstractNum>
  <w:abstractNum w:abstractNumId="1">
    <w:nsid w:val="37C1C332"/>
    <w:multiLevelType w:val="singleLevel"/>
    <w:tmpl w:val="37C1C332"/>
    <w:lvl w:ilvl="0" w:tentative="0">
      <w:start w:val="2"/>
      <w:numFmt w:val="chineseCounting"/>
      <w:suff w:val="space"/>
      <w:lvlText w:val="第%1章"/>
      <w:lvlJc w:val="left"/>
      <w:rPr>
        <w:rFonts w:hint="eastAsia"/>
      </w:rPr>
    </w:lvl>
  </w:abstractNum>
  <w:abstractNum w:abstractNumId="2">
    <w:nsid w:val="5874376B"/>
    <w:multiLevelType w:val="singleLevel"/>
    <w:tmpl w:val="5874376B"/>
    <w:lvl w:ilvl="0" w:tentative="0">
      <w:start w:val="1"/>
      <w:numFmt w:val="decimal"/>
      <w:lvlText w:val="%1."/>
      <w:lvlJc w:val="left"/>
      <w:pPr>
        <w:ind w:left="425" w:hanging="425"/>
      </w:pPr>
      <w:rPr>
        <w:rFonts w:hint="default"/>
      </w:rPr>
    </w:lvl>
  </w:abstractNum>
  <w:abstractNum w:abstractNumId="3">
    <w:nsid w:val="58C64E55"/>
    <w:multiLevelType w:val="singleLevel"/>
    <w:tmpl w:val="58C64E55"/>
    <w:lvl w:ilvl="0" w:tentative="0">
      <w:start w:val="1"/>
      <w:numFmt w:val="decimal"/>
      <w:lvlText w:val="%1."/>
      <w:lvlJc w:val="left"/>
      <w:pPr>
        <w:ind w:left="425" w:hanging="425"/>
      </w:pPr>
      <w:rPr>
        <w:rFonts w:hint="default"/>
      </w:rPr>
    </w:lvl>
  </w:abstractNum>
  <w:abstractNum w:abstractNumId="4">
    <w:nsid w:val="597FE803"/>
    <w:multiLevelType w:val="singleLevel"/>
    <w:tmpl w:val="597FE803"/>
    <w:lvl w:ilvl="0" w:tentative="0">
      <w:start w:val="3"/>
      <w:numFmt w:val="chineseCounting"/>
      <w:suff w:val="space"/>
      <w:lvlText w:val="第%1章"/>
      <w:lvlJc w:val="left"/>
    </w:lvl>
  </w:abstractNum>
  <w:abstractNum w:abstractNumId="5">
    <w:nsid w:val="5983D421"/>
    <w:multiLevelType w:val="singleLevel"/>
    <w:tmpl w:val="5983D421"/>
    <w:lvl w:ilvl="0" w:tentative="0">
      <w:start w:val="1"/>
      <w:numFmt w:val="decimal"/>
      <w:suff w:val="nothing"/>
      <w:lvlText w:val="%1．"/>
      <w:lvlJc w:val="left"/>
      <w:pPr>
        <w:ind w:left="0" w:firstLine="400"/>
      </w:pPr>
      <w:rPr>
        <w:rFont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64"/>
  <w:displayHorizontalDrawingGridEvery w:val="1"/>
  <w:displayVerticalDrawingGridEvery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xMmRkYjg1MWYxOTgzYmE0YjcwNjU0NzA5NzU1Y2UifQ=="/>
  </w:docVars>
  <w:rsids>
    <w:rsidRoot w:val="35550C3B"/>
    <w:rsid w:val="000C024B"/>
    <w:rsid w:val="00223D3F"/>
    <w:rsid w:val="007441B8"/>
    <w:rsid w:val="008F14C3"/>
    <w:rsid w:val="009225E7"/>
    <w:rsid w:val="00D743B5"/>
    <w:rsid w:val="00E35822"/>
    <w:rsid w:val="00E64BFF"/>
    <w:rsid w:val="010121E9"/>
    <w:rsid w:val="018127EE"/>
    <w:rsid w:val="01AA1AC9"/>
    <w:rsid w:val="02652F99"/>
    <w:rsid w:val="02FF4C7B"/>
    <w:rsid w:val="0374413D"/>
    <w:rsid w:val="03836A76"/>
    <w:rsid w:val="03D16D75"/>
    <w:rsid w:val="04AE18D1"/>
    <w:rsid w:val="04AE60AB"/>
    <w:rsid w:val="04F55751"/>
    <w:rsid w:val="058C7E64"/>
    <w:rsid w:val="06301F59"/>
    <w:rsid w:val="06640499"/>
    <w:rsid w:val="07126147"/>
    <w:rsid w:val="071E2D3E"/>
    <w:rsid w:val="073F0F06"/>
    <w:rsid w:val="075157E3"/>
    <w:rsid w:val="07BC60B3"/>
    <w:rsid w:val="07BD64DF"/>
    <w:rsid w:val="07CF5DE6"/>
    <w:rsid w:val="08F63F37"/>
    <w:rsid w:val="092F7FCE"/>
    <w:rsid w:val="09433D1A"/>
    <w:rsid w:val="097924AD"/>
    <w:rsid w:val="097C7EC3"/>
    <w:rsid w:val="099948FD"/>
    <w:rsid w:val="09B35A64"/>
    <w:rsid w:val="09B55410"/>
    <w:rsid w:val="0A2A37A7"/>
    <w:rsid w:val="0B4A355A"/>
    <w:rsid w:val="0BC35C62"/>
    <w:rsid w:val="0BF45A2A"/>
    <w:rsid w:val="0D0429D6"/>
    <w:rsid w:val="0D556D8D"/>
    <w:rsid w:val="0E8E44AA"/>
    <w:rsid w:val="0ED939EE"/>
    <w:rsid w:val="0EE859DF"/>
    <w:rsid w:val="0F9A771C"/>
    <w:rsid w:val="0FA20284"/>
    <w:rsid w:val="0FD85A54"/>
    <w:rsid w:val="10341E1C"/>
    <w:rsid w:val="10533B3A"/>
    <w:rsid w:val="10AA5642"/>
    <w:rsid w:val="10C7659F"/>
    <w:rsid w:val="10CC55B8"/>
    <w:rsid w:val="122009DA"/>
    <w:rsid w:val="12301B77"/>
    <w:rsid w:val="12A045C5"/>
    <w:rsid w:val="12B80982"/>
    <w:rsid w:val="12D55CE4"/>
    <w:rsid w:val="13EB54F9"/>
    <w:rsid w:val="13EC7D20"/>
    <w:rsid w:val="144E2788"/>
    <w:rsid w:val="144E4536"/>
    <w:rsid w:val="154C6CC8"/>
    <w:rsid w:val="15530355"/>
    <w:rsid w:val="159E5049"/>
    <w:rsid w:val="15F07F9B"/>
    <w:rsid w:val="15F86E50"/>
    <w:rsid w:val="1604435F"/>
    <w:rsid w:val="160475A2"/>
    <w:rsid w:val="16412C4F"/>
    <w:rsid w:val="165926D2"/>
    <w:rsid w:val="16F2389F"/>
    <w:rsid w:val="173E7811"/>
    <w:rsid w:val="17953E93"/>
    <w:rsid w:val="17E727FA"/>
    <w:rsid w:val="18C451BC"/>
    <w:rsid w:val="18FA3739"/>
    <w:rsid w:val="191D7DDA"/>
    <w:rsid w:val="192D38C8"/>
    <w:rsid w:val="198D2276"/>
    <w:rsid w:val="19B64970"/>
    <w:rsid w:val="19D811F5"/>
    <w:rsid w:val="19D84FCE"/>
    <w:rsid w:val="19E679C4"/>
    <w:rsid w:val="19EF056A"/>
    <w:rsid w:val="19FB0CBC"/>
    <w:rsid w:val="1A1D0C33"/>
    <w:rsid w:val="1A7B1DFD"/>
    <w:rsid w:val="1AED4883"/>
    <w:rsid w:val="1AF2200F"/>
    <w:rsid w:val="1B3F4FA9"/>
    <w:rsid w:val="1CD84004"/>
    <w:rsid w:val="1D862F93"/>
    <w:rsid w:val="1D8B67FB"/>
    <w:rsid w:val="1DFD108C"/>
    <w:rsid w:val="1EC24C8C"/>
    <w:rsid w:val="1EDD3086"/>
    <w:rsid w:val="1EEC5078"/>
    <w:rsid w:val="1F6F0182"/>
    <w:rsid w:val="1FBF614E"/>
    <w:rsid w:val="1FF22B62"/>
    <w:rsid w:val="20465A95"/>
    <w:rsid w:val="209D0D1F"/>
    <w:rsid w:val="2131700A"/>
    <w:rsid w:val="21AC5E36"/>
    <w:rsid w:val="22520A20"/>
    <w:rsid w:val="23084722"/>
    <w:rsid w:val="23151041"/>
    <w:rsid w:val="233D2346"/>
    <w:rsid w:val="23582CDC"/>
    <w:rsid w:val="23B048C6"/>
    <w:rsid w:val="241412F8"/>
    <w:rsid w:val="24AF4B7D"/>
    <w:rsid w:val="24F9229C"/>
    <w:rsid w:val="250255F5"/>
    <w:rsid w:val="256242E5"/>
    <w:rsid w:val="25D23219"/>
    <w:rsid w:val="25E1520A"/>
    <w:rsid w:val="262B18C3"/>
    <w:rsid w:val="26D905D7"/>
    <w:rsid w:val="272A6282"/>
    <w:rsid w:val="2758774E"/>
    <w:rsid w:val="276F4634"/>
    <w:rsid w:val="277D12CE"/>
    <w:rsid w:val="28D0778C"/>
    <w:rsid w:val="28ED5768"/>
    <w:rsid w:val="28F60FCD"/>
    <w:rsid w:val="293B10D5"/>
    <w:rsid w:val="294C017B"/>
    <w:rsid w:val="2959155B"/>
    <w:rsid w:val="29AD788C"/>
    <w:rsid w:val="29CB461F"/>
    <w:rsid w:val="29E37561"/>
    <w:rsid w:val="2A432681"/>
    <w:rsid w:val="2A8645D2"/>
    <w:rsid w:val="2A8B3997"/>
    <w:rsid w:val="2A9767DF"/>
    <w:rsid w:val="2AB23619"/>
    <w:rsid w:val="2AE232B1"/>
    <w:rsid w:val="2B726905"/>
    <w:rsid w:val="2B9D5439"/>
    <w:rsid w:val="2BED3949"/>
    <w:rsid w:val="2D033C32"/>
    <w:rsid w:val="2D0363AE"/>
    <w:rsid w:val="2D4E1FC0"/>
    <w:rsid w:val="2DDB69E3"/>
    <w:rsid w:val="2DF21B43"/>
    <w:rsid w:val="2E1168A9"/>
    <w:rsid w:val="2E33112D"/>
    <w:rsid w:val="2E8C7518"/>
    <w:rsid w:val="2F5126FB"/>
    <w:rsid w:val="2F661D69"/>
    <w:rsid w:val="2F860BD0"/>
    <w:rsid w:val="2FF975F4"/>
    <w:rsid w:val="30416508"/>
    <w:rsid w:val="30711881"/>
    <w:rsid w:val="307F5D4C"/>
    <w:rsid w:val="30D065A7"/>
    <w:rsid w:val="311E2BD7"/>
    <w:rsid w:val="313755DD"/>
    <w:rsid w:val="317F0E37"/>
    <w:rsid w:val="31975317"/>
    <w:rsid w:val="31B23A0E"/>
    <w:rsid w:val="31B3732C"/>
    <w:rsid w:val="31C12394"/>
    <w:rsid w:val="32A36DF8"/>
    <w:rsid w:val="32CF78F1"/>
    <w:rsid w:val="33477044"/>
    <w:rsid w:val="33552D94"/>
    <w:rsid w:val="33CB12A8"/>
    <w:rsid w:val="341E7629"/>
    <w:rsid w:val="35063ED8"/>
    <w:rsid w:val="35550C3B"/>
    <w:rsid w:val="35656D09"/>
    <w:rsid w:val="35A31149"/>
    <w:rsid w:val="36150687"/>
    <w:rsid w:val="362B779D"/>
    <w:rsid w:val="36737BCD"/>
    <w:rsid w:val="36A75FFC"/>
    <w:rsid w:val="36B424C7"/>
    <w:rsid w:val="36CD25AD"/>
    <w:rsid w:val="36D30B9F"/>
    <w:rsid w:val="36E65199"/>
    <w:rsid w:val="3717474B"/>
    <w:rsid w:val="37392ECB"/>
    <w:rsid w:val="37556A25"/>
    <w:rsid w:val="378306C6"/>
    <w:rsid w:val="378400EB"/>
    <w:rsid w:val="37D56B99"/>
    <w:rsid w:val="385B628E"/>
    <w:rsid w:val="388F0AF6"/>
    <w:rsid w:val="397D3044"/>
    <w:rsid w:val="39875FD4"/>
    <w:rsid w:val="399F07E5"/>
    <w:rsid w:val="39A131D7"/>
    <w:rsid w:val="39C96289"/>
    <w:rsid w:val="3ADD50BB"/>
    <w:rsid w:val="3ADF24A2"/>
    <w:rsid w:val="3B0D21A6"/>
    <w:rsid w:val="3BDF5CF7"/>
    <w:rsid w:val="3BEE0229"/>
    <w:rsid w:val="3C2809C3"/>
    <w:rsid w:val="3C300842"/>
    <w:rsid w:val="3C616C4D"/>
    <w:rsid w:val="3C7D7AB1"/>
    <w:rsid w:val="3CC316B6"/>
    <w:rsid w:val="3CDD1AFD"/>
    <w:rsid w:val="3D5E4F3B"/>
    <w:rsid w:val="3DA212CB"/>
    <w:rsid w:val="3DD5344F"/>
    <w:rsid w:val="3DED3697"/>
    <w:rsid w:val="3E3068D7"/>
    <w:rsid w:val="3E3208A1"/>
    <w:rsid w:val="3E3A575D"/>
    <w:rsid w:val="3EAD3646"/>
    <w:rsid w:val="3EB968CD"/>
    <w:rsid w:val="3EC040FF"/>
    <w:rsid w:val="3F035D9A"/>
    <w:rsid w:val="3F713F31"/>
    <w:rsid w:val="3FE756BB"/>
    <w:rsid w:val="3FEC4A80"/>
    <w:rsid w:val="409749EB"/>
    <w:rsid w:val="41004C87"/>
    <w:rsid w:val="41847666"/>
    <w:rsid w:val="41923405"/>
    <w:rsid w:val="41C5246F"/>
    <w:rsid w:val="423821FE"/>
    <w:rsid w:val="429C453B"/>
    <w:rsid w:val="42A7780B"/>
    <w:rsid w:val="42B639E7"/>
    <w:rsid w:val="43164254"/>
    <w:rsid w:val="439E0787"/>
    <w:rsid w:val="439E6E16"/>
    <w:rsid w:val="43B27D8E"/>
    <w:rsid w:val="4450382F"/>
    <w:rsid w:val="4517259F"/>
    <w:rsid w:val="453F180C"/>
    <w:rsid w:val="45905269"/>
    <w:rsid w:val="45CA5863"/>
    <w:rsid w:val="45F94D3F"/>
    <w:rsid w:val="46192347"/>
    <w:rsid w:val="4648427E"/>
    <w:rsid w:val="46C87FF5"/>
    <w:rsid w:val="47160F4D"/>
    <w:rsid w:val="481B05F8"/>
    <w:rsid w:val="48494CF4"/>
    <w:rsid w:val="48A00AFD"/>
    <w:rsid w:val="48FA020D"/>
    <w:rsid w:val="495D2015"/>
    <w:rsid w:val="496F6A33"/>
    <w:rsid w:val="49991D28"/>
    <w:rsid w:val="4ABA5EC7"/>
    <w:rsid w:val="4B375749"/>
    <w:rsid w:val="4B426083"/>
    <w:rsid w:val="4C0F5D7E"/>
    <w:rsid w:val="4C72630D"/>
    <w:rsid w:val="4C7402D7"/>
    <w:rsid w:val="4D6640C3"/>
    <w:rsid w:val="4DE568B7"/>
    <w:rsid w:val="4E940EAA"/>
    <w:rsid w:val="4E942433"/>
    <w:rsid w:val="4F095275"/>
    <w:rsid w:val="4F563CC4"/>
    <w:rsid w:val="4FBC446F"/>
    <w:rsid w:val="4FDA1FB0"/>
    <w:rsid w:val="50680152"/>
    <w:rsid w:val="50760AC1"/>
    <w:rsid w:val="50CB7569"/>
    <w:rsid w:val="50E13A61"/>
    <w:rsid w:val="51D11D27"/>
    <w:rsid w:val="520B5935"/>
    <w:rsid w:val="52102850"/>
    <w:rsid w:val="528154FB"/>
    <w:rsid w:val="52C35B14"/>
    <w:rsid w:val="52DC6BD6"/>
    <w:rsid w:val="53486019"/>
    <w:rsid w:val="534C5B09"/>
    <w:rsid w:val="54A95743"/>
    <w:rsid w:val="55275FF4"/>
    <w:rsid w:val="557E5D22"/>
    <w:rsid w:val="55E62245"/>
    <w:rsid w:val="55E83420"/>
    <w:rsid w:val="55F81F79"/>
    <w:rsid w:val="560E5F06"/>
    <w:rsid w:val="56265BD3"/>
    <w:rsid w:val="569C2904"/>
    <w:rsid w:val="569D234C"/>
    <w:rsid w:val="56D71A69"/>
    <w:rsid w:val="56EE6F21"/>
    <w:rsid w:val="573610DF"/>
    <w:rsid w:val="58BD150F"/>
    <w:rsid w:val="59B12B6A"/>
    <w:rsid w:val="59CB1616"/>
    <w:rsid w:val="5AAB0390"/>
    <w:rsid w:val="5B376423"/>
    <w:rsid w:val="5B5C08B4"/>
    <w:rsid w:val="5BA02E96"/>
    <w:rsid w:val="5BE34B31"/>
    <w:rsid w:val="5C115FDF"/>
    <w:rsid w:val="5C6B1F9F"/>
    <w:rsid w:val="5C8C0F8F"/>
    <w:rsid w:val="5C98700C"/>
    <w:rsid w:val="5CA34C23"/>
    <w:rsid w:val="5CEE2462"/>
    <w:rsid w:val="5D6132D5"/>
    <w:rsid w:val="5D9205BD"/>
    <w:rsid w:val="5DAA7FFC"/>
    <w:rsid w:val="5DC566D1"/>
    <w:rsid w:val="5E3E6996"/>
    <w:rsid w:val="5E816429"/>
    <w:rsid w:val="5EEC63F2"/>
    <w:rsid w:val="5F6661A5"/>
    <w:rsid w:val="5F6E2A90"/>
    <w:rsid w:val="5FBE7D8F"/>
    <w:rsid w:val="600F05EB"/>
    <w:rsid w:val="602120CC"/>
    <w:rsid w:val="60363DC9"/>
    <w:rsid w:val="60966616"/>
    <w:rsid w:val="609D5BF6"/>
    <w:rsid w:val="61413A18"/>
    <w:rsid w:val="61475B62"/>
    <w:rsid w:val="617E2342"/>
    <w:rsid w:val="61A51E1D"/>
    <w:rsid w:val="61C3168D"/>
    <w:rsid w:val="6283185C"/>
    <w:rsid w:val="634265E1"/>
    <w:rsid w:val="63E61662"/>
    <w:rsid w:val="645E38EF"/>
    <w:rsid w:val="65293EFC"/>
    <w:rsid w:val="65515201"/>
    <w:rsid w:val="65605670"/>
    <w:rsid w:val="65962C14"/>
    <w:rsid w:val="661E50E3"/>
    <w:rsid w:val="66AF3F8D"/>
    <w:rsid w:val="67811660"/>
    <w:rsid w:val="67BF46A4"/>
    <w:rsid w:val="67ED7463"/>
    <w:rsid w:val="682C2166"/>
    <w:rsid w:val="68B735CD"/>
    <w:rsid w:val="68BA0AFA"/>
    <w:rsid w:val="68E51EE8"/>
    <w:rsid w:val="694035C3"/>
    <w:rsid w:val="697A703D"/>
    <w:rsid w:val="69BF430A"/>
    <w:rsid w:val="69E71C90"/>
    <w:rsid w:val="6A152CA1"/>
    <w:rsid w:val="6A301889"/>
    <w:rsid w:val="6A4946F9"/>
    <w:rsid w:val="6A9C0CCD"/>
    <w:rsid w:val="6ABC5F37"/>
    <w:rsid w:val="6B1116BB"/>
    <w:rsid w:val="6B362ECF"/>
    <w:rsid w:val="6BB71A65"/>
    <w:rsid w:val="6BD44496"/>
    <w:rsid w:val="6C4B6506"/>
    <w:rsid w:val="6D2A6A64"/>
    <w:rsid w:val="6D526EEE"/>
    <w:rsid w:val="6D7D3037"/>
    <w:rsid w:val="6DA560EA"/>
    <w:rsid w:val="6DB66549"/>
    <w:rsid w:val="6E0E3C8F"/>
    <w:rsid w:val="6E3F6BF9"/>
    <w:rsid w:val="6E4E094B"/>
    <w:rsid w:val="6EAC5256"/>
    <w:rsid w:val="6EB26D11"/>
    <w:rsid w:val="6EE113A4"/>
    <w:rsid w:val="6F045092"/>
    <w:rsid w:val="6F6376FF"/>
    <w:rsid w:val="6F7B35A7"/>
    <w:rsid w:val="6FA46CEA"/>
    <w:rsid w:val="702E0619"/>
    <w:rsid w:val="7056191E"/>
    <w:rsid w:val="705F6A24"/>
    <w:rsid w:val="706F478E"/>
    <w:rsid w:val="720707AA"/>
    <w:rsid w:val="72126D4C"/>
    <w:rsid w:val="725D51E5"/>
    <w:rsid w:val="73102258"/>
    <w:rsid w:val="73816170"/>
    <w:rsid w:val="73AF03FD"/>
    <w:rsid w:val="73DE5EB2"/>
    <w:rsid w:val="74143996"/>
    <w:rsid w:val="74E219D2"/>
    <w:rsid w:val="75954C96"/>
    <w:rsid w:val="766905FD"/>
    <w:rsid w:val="76E060E7"/>
    <w:rsid w:val="77383B2B"/>
    <w:rsid w:val="779B7DB1"/>
    <w:rsid w:val="77D17A87"/>
    <w:rsid w:val="78144598"/>
    <w:rsid w:val="785A0C35"/>
    <w:rsid w:val="78D42106"/>
    <w:rsid w:val="7A886B78"/>
    <w:rsid w:val="7B5B24DE"/>
    <w:rsid w:val="7BBF55AB"/>
    <w:rsid w:val="7C584880"/>
    <w:rsid w:val="7C662EE9"/>
    <w:rsid w:val="7CE63A60"/>
    <w:rsid w:val="7D171B39"/>
    <w:rsid w:val="7D5B39DC"/>
    <w:rsid w:val="7D7D673C"/>
    <w:rsid w:val="7E5D6B27"/>
    <w:rsid w:val="7E855D33"/>
    <w:rsid w:val="7EAF0B77"/>
    <w:rsid w:val="7EBF4B32"/>
    <w:rsid w:val="7F015C77"/>
    <w:rsid w:val="7F963AE5"/>
    <w:rsid w:val="7FC76F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uiPriority="99" w:name="heading 5"/>
    <w:lsdException w:uiPriority="99" w:name="heading 6"/>
    <w:lsdException w:uiPriority="99" w:name="heading 7"/>
    <w:lsdException w:uiPriority="99" w:name="heading 8"/>
    <w:lsdException w:uiPriority="99"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qFormat="1" w:unhideWhenUsed="0" w:uiPriority="0" w:semiHidden="0" w:name="index 8"/>
    <w:lsdException w:unhideWhenUsed="0" w:uiPriority="99" w:semiHidden="0" w:name="index 9"/>
    <w:lsdException w:qFormat="1" w:uiPriority="39" w:semiHidden="0" w:name="toc 1"/>
    <w:lsdException w:unhideWhenUsed="0" w:uiPriority="99" w:semiHidden="0" w:name="toc 2"/>
    <w:lsdException w:unhideWhenUsed="0" w:uiPriority="99" w:semiHidden="0" w:name="toc 3"/>
    <w:lsdException w:unhideWhenUsed="0" w:uiPriority="99" w:semiHidden="0" w:name="toc 4"/>
    <w:lsdException w:unhideWhenUsed="0" w:uiPriority="99"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99" w:semiHidden="0" w:name="index heading"/>
    <w:lsdException w:uiPriority="99" w:name="caption"/>
    <w:lsdException w:unhideWhenUsed="0" w:uiPriority="99" w:semiHidden="0" w:name="table of figures"/>
    <w:lsdException w:unhideWhenUsed="0" w:uiPriority="99" w:semiHidden="0" w:name="envelope address"/>
    <w:lsdException w:qFormat="1" w:unhideWhenUsed="0" w:uiPriority="0" w:semiHidden="0" w:name="envelope return"/>
    <w:lsdException w:qFormat="1" w:unhideWhenUsed="0" w:uiPriority="0" w:semiHidden="0" w:name="footnote reference"/>
    <w:lsdException w:unhideWhenUsed="0" w:uiPriority="99" w:semiHidden="0" w:name="annotation reference"/>
    <w:lsdException w:unhideWhenUsed="0" w:uiPriority="99" w:semiHidden="0" w:name="line number"/>
    <w:lsdException w:unhideWhenUsed="0" w:uiPriority="99" w:semiHidden="0" w:name="page number"/>
    <w:lsdException w:unhideWhenUsed="0" w:uiPriority="99" w:semiHidden="0" w:name="endnote reference"/>
    <w:lsdException w:unhideWhenUsed="0" w:uiPriority="99" w:semiHidden="0" w:name="endnote text"/>
    <w:lsdException w:unhideWhenUsed="0" w:uiPriority="99" w:semiHidden="0" w:name="table of authorities"/>
    <w:lsdException w:unhideWhenUsed="0" w:uiPriority="99" w:semiHidden="0" w:name="macro"/>
    <w:lsdException w:unhideWhenUsed="0" w:uiPriority="99" w:semiHidden="0" w:name="toa heading"/>
    <w:lsdException w:unhideWhenUsed="0" w:uiPriority="99" w:semiHidden="0" w:name="List"/>
    <w:lsdException w:unhideWhenUsed="0" w:uiPriority="99" w:semiHidden="0" w:name="List Bullet"/>
    <w:lsdException w:unhideWhenUsed="0" w:uiPriority="99" w:semiHidden="0" w:name="List Number"/>
    <w:lsdException w:unhideWhenUsed="0" w:uiPriority="99" w:semiHidden="0" w:name="List 2"/>
    <w:lsdException w:unhideWhenUsed="0" w:uiPriority="99" w:semiHidden="0" w:name="List 3"/>
    <w:lsdException w:unhideWhenUsed="0" w:uiPriority="99" w:semiHidden="0" w:name="List 4"/>
    <w:lsdException w:unhideWhenUsed="0" w:uiPriority="99" w:semiHidden="0"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unhideWhenUsed="0" w:uiPriority="99" w:semiHidden="0" w:name="Title"/>
    <w:lsdException w:unhideWhenUsed="0" w:uiPriority="99" w:semiHidden="0" w:name="Closing"/>
    <w:lsdException w:unhideWhenUsed="0" w:uiPriority="99"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nhideWhenUsed="0" w:uiPriority="99" w:semiHidden="0" w:name="Message Header"/>
    <w:lsdException w:unhideWhenUsed="0" w:uiPriority="99" w:semiHidden="0" w:name="Subtitle"/>
    <w:lsdException w:unhideWhenUsed="0" w:uiPriority="99" w:semiHidden="0" w:name="Salutation"/>
    <w:lsdException w:unhideWhenUsed="0" w:uiPriority="99" w:semiHidden="0" w:name="Date"/>
    <w:lsdException w:qFormat="1" w:uiPriority="99" w:name="Body Text First Indent"/>
    <w:lsdException w:qFormat="1" w:unhideWhenUsed="0" w:uiPriority="0" w:semiHidden="0" w:name="Body Text First Indent 2"/>
    <w:lsdException w:unhideWhenUsed="0" w:uiPriority="99" w:semiHidden="0" w:name="Note Heading"/>
    <w:lsdException w:qFormat="1" w:unhideWhenUsed="0" w:uiPriority="0"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qFormat="1" w:unhideWhenUsed="0" w:uiPriority="0" w:semiHidden="0" w:name="Hyperlink"/>
    <w:lsdException w:unhideWhenUsed="0" w:uiPriority="99" w:semiHidden="0" w:name="FollowedHyperlink"/>
    <w:lsdException w:unhideWhenUsed="0" w:uiPriority="99" w:semiHidden="0" w:name="Strong"/>
    <w:lsdException w:unhideWhenUsed="0" w:uiPriority="99" w:semiHidden="0" w:name="Emphasis"/>
    <w:lsdException w:unhideWhenUsed="0" w:uiPriority="99" w:semiHidden="0" w:name="Document Map"/>
    <w:lsdException w:qFormat="1" w:unhideWhenUsed="0" w:uiPriority="0" w:semiHidden="0" w:name="Plain Text"/>
    <w:lsdException w:unhideWhenUsed="0" w:uiPriority="99" w:semiHidden="0" w:name="E-mail Signature"/>
    <w:lsdException w:qFormat="1" w:unhideWhenUsed="0" w:uiPriority="0"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qFormat="1" w:uiPriority="99" w:name="Normal Table"/>
    <w:lsdException w:unhideWhenUsed="0" w:uiPriority="99" w:semiHidden="0"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unhideWhenUsed="0" w:uiPriority="99" w:semiHidden="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3"/>
    <w:autoRedefine/>
    <w:qFormat/>
    <w:uiPriority w:val="0"/>
    <w:pPr>
      <w:widowControl/>
      <w:spacing w:before="480" w:line="276" w:lineRule="auto"/>
      <w:outlineLvl w:val="0"/>
    </w:pPr>
    <w:rPr>
      <w:color w:val="365F91"/>
      <w:sz w:val="28"/>
      <w:szCs w:val="28"/>
    </w:rPr>
  </w:style>
  <w:style w:type="paragraph" w:styleId="4">
    <w:name w:val="heading 2"/>
    <w:basedOn w:val="1"/>
    <w:autoRedefine/>
    <w:semiHidden/>
    <w:unhideWhenUsed/>
    <w:qFormat/>
    <w:uiPriority w:val="0"/>
    <w:pPr>
      <w:outlineLvl w:val="1"/>
    </w:pPr>
    <w:rPr>
      <w:sz w:val="36"/>
      <w:szCs w:val="36"/>
    </w:rPr>
  </w:style>
  <w:style w:type="paragraph" w:styleId="3">
    <w:name w:val="heading 3"/>
    <w:basedOn w:val="1"/>
    <w:semiHidden/>
    <w:unhideWhenUsed/>
    <w:qFormat/>
    <w:uiPriority w:val="0"/>
    <w:pPr>
      <w:spacing w:beforeAutospacing="1" w:afterAutospacing="1"/>
      <w:jc w:val="left"/>
      <w:outlineLvl w:val="2"/>
    </w:pPr>
    <w:rPr>
      <w:rFonts w:hint="eastAsia" w:ascii="宋体" w:hAnsi="宋体" w:cs="Times New Roman"/>
      <w:kern w:val="0"/>
      <w:sz w:val="27"/>
      <w:szCs w:val="27"/>
    </w:rPr>
  </w:style>
  <w:style w:type="paragraph" w:styleId="5">
    <w:name w:val="heading 4"/>
    <w:basedOn w:val="1"/>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23">
    <w:name w:val="Default Paragraph Font"/>
    <w:autoRedefine/>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6">
    <w:name w:val="index 8"/>
    <w:basedOn w:val="1"/>
    <w:autoRedefine/>
    <w:qFormat/>
    <w:uiPriority w:val="0"/>
    <w:pPr>
      <w:ind w:left="2940"/>
    </w:pPr>
  </w:style>
  <w:style w:type="paragraph" w:styleId="7">
    <w:name w:val="Normal Indent"/>
    <w:basedOn w:val="1"/>
    <w:autoRedefine/>
    <w:qFormat/>
    <w:uiPriority w:val="0"/>
    <w:pPr>
      <w:ind w:firstLine="420"/>
    </w:pPr>
  </w:style>
  <w:style w:type="paragraph" w:styleId="8">
    <w:name w:val="annotation text"/>
    <w:basedOn w:val="1"/>
    <w:autoRedefine/>
    <w:qFormat/>
    <w:uiPriority w:val="99"/>
    <w:pPr>
      <w:jc w:val="left"/>
    </w:pPr>
  </w:style>
  <w:style w:type="paragraph" w:styleId="9">
    <w:name w:val="Body Text"/>
    <w:basedOn w:val="1"/>
    <w:autoRedefine/>
    <w:qFormat/>
    <w:uiPriority w:val="0"/>
    <w:pPr>
      <w:autoSpaceDE w:val="0"/>
      <w:autoSpaceDN w:val="0"/>
      <w:jc w:val="left"/>
    </w:pPr>
    <w:rPr>
      <w:rFonts w:ascii="宋体" w:hAnsi="宋体"/>
      <w:kern w:val="0"/>
      <w:sz w:val="32"/>
      <w:szCs w:val="32"/>
    </w:rPr>
  </w:style>
  <w:style w:type="paragraph" w:styleId="10">
    <w:name w:val="Body Text Indent"/>
    <w:basedOn w:val="1"/>
    <w:autoRedefine/>
    <w:qFormat/>
    <w:uiPriority w:val="0"/>
    <w:pPr>
      <w:tabs>
        <w:tab w:val="left" w:pos="72"/>
      </w:tabs>
      <w:ind w:firstLine="480" w:firstLineChars="200"/>
      <w:jc w:val="center"/>
    </w:pPr>
    <w:rPr>
      <w:sz w:val="24"/>
    </w:rPr>
  </w:style>
  <w:style w:type="paragraph" w:styleId="11">
    <w:name w:val="Plain Text"/>
    <w:basedOn w:val="1"/>
    <w:autoRedefine/>
    <w:qFormat/>
    <w:uiPriority w:val="0"/>
    <w:rPr>
      <w:rFonts w:hint="eastAsia" w:ascii="宋体" w:hAnsi="Courier New"/>
      <w:kern w:val="0"/>
      <w:sz w:val="20"/>
      <w:szCs w:val="21"/>
    </w:rPr>
  </w:style>
  <w:style w:type="paragraph" w:styleId="12">
    <w:name w:val="footer"/>
    <w:basedOn w:val="1"/>
    <w:autoRedefine/>
    <w:qFormat/>
    <w:uiPriority w:val="0"/>
    <w:pPr>
      <w:tabs>
        <w:tab w:val="center" w:pos="4153"/>
        <w:tab w:val="right" w:pos="8306"/>
      </w:tabs>
      <w:snapToGrid w:val="0"/>
      <w:jc w:val="left"/>
    </w:pPr>
    <w:rPr>
      <w:sz w:val="18"/>
    </w:rPr>
  </w:style>
  <w:style w:type="paragraph" w:styleId="13">
    <w:name w:val="envelope return"/>
    <w:basedOn w:val="1"/>
    <w:qFormat/>
    <w:uiPriority w:val="0"/>
    <w:pPr>
      <w:widowControl/>
    </w:pPr>
    <w:rPr>
      <w:rFonts w:ascii="Arial" w:hAnsi="Arial" w:eastAsia="Arial"/>
      <w:sz w:val="20"/>
    </w:rPr>
  </w:style>
  <w:style w:type="paragraph" w:styleId="1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autoRedefine/>
    <w:unhideWhenUsed/>
    <w:qFormat/>
    <w:uiPriority w:val="39"/>
  </w:style>
  <w:style w:type="paragraph" w:styleId="16">
    <w:name w:val="footnote text"/>
    <w:basedOn w:val="1"/>
    <w:autoRedefine/>
    <w:qFormat/>
    <w:uiPriority w:val="0"/>
    <w:pPr>
      <w:snapToGrid w:val="0"/>
      <w:jc w:val="left"/>
    </w:pPr>
    <w:rPr>
      <w:sz w:val="18"/>
      <w:szCs w:val="18"/>
    </w:rPr>
  </w:style>
  <w:style w:type="paragraph" w:styleId="17">
    <w:name w:val="Body Text 2"/>
    <w:basedOn w:val="1"/>
    <w:qFormat/>
    <w:uiPriority w:val="0"/>
    <w:pPr>
      <w:spacing w:line="360" w:lineRule="auto"/>
    </w:pPr>
    <w:rPr>
      <w:rFonts w:ascii="Times New Roman" w:hAnsi="Times New Roman" w:eastAsia="宋体"/>
      <w:kern w:val="0"/>
      <w:sz w:val="24"/>
      <w:szCs w:val="24"/>
    </w:rPr>
  </w:style>
  <w:style w:type="paragraph" w:styleId="18">
    <w:name w:val="Normal (Web)"/>
    <w:basedOn w:val="1"/>
    <w:autoRedefine/>
    <w:qFormat/>
    <w:uiPriority w:val="0"/>
    <w:pPr>
      <w:spacing w:beforeAutospacing="1" w:afterAutospacing="1"/>
      <w:jc w:val="left"/>
    </w:pPr>
    <w:rPr>
      <w:rFonts w:cs="Times New Roman"/>
      <w:kern w:val="0"/>
      <w:sz w:val="24"/>
    </w:rPr>
  </w:style>
  <w:style w:type="paragraph" w:styleId="19">
    <w:name w:val="Body Text First Indent"/>
    <w:basedOn w:val="9"/>
    <w:semiHidden/>
    <w:unhideWhenUsed/>
    <w:qFormat/>
    <w:uiPriority w:val="99"/>
    <w:pPr>
      <w:ind w:firstLine="420" w:firstLineChars="100"/>
    </w:pPr>
    <w:rPr>
      <w:rFonts w:asciiTheme="minorHAnsi" w:hAnsiTheme="minorHAnsi" w:eastAsiaTheme="minorEastAsia" w:cstheme="minorBidi"/>
      <w:szCs w:val="22"/>
    </w:rPr>
  </w:style>
  <w:style w:type="paragraph" w:styleId="20">
    <w:name w:val="Body Text First Indent 2"/>
    <w:basedOn w:val="10"/>
    <w:qFormat/>
    <w:uiPriority w:val="0"/>
    <w:pPr>
      <w:spacing w:after="120" w:line="240" w:lineRule="auto"/>
      <w:ind w:left="420" w:leftChars="200"/>
    </w:pPr>
    <w:rPr>
      <w:rFonts w:ascii="Calibri" w:hAnsi="Calibri"/>
      <w:szCs w:val="22"/>
    </w:rPr>
  </w:style>
  <w:style w:type="table" w:styleId="22">
    <w:name w:val="Table Grid"/>
    <w:basedOn w:val="2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Hyperlink"/>
    <w:basedOn w:val="23"/>
    <w:autoRedefine/>
    <w:qFormat/>
    <w:uiPriority w:val="0"/>
    <w:rPr>
      <w:color w:val="0000FF"/>
      <w:u w:val="single"/>
    </w:rPr>
  </w:style>
  <w:style w:type="character" w:styleId="25">
    <w:name w:val="footnote reference"/>
    <w:autoRedefine/>
    <w:qFormat/>
    <w:uiPriority w:val="0"/>
    <w:rPr>
      <w:vertAlign w:val="superscript"/>
    </w:rPr>
  </w:style>
  <w:style w:type="paragraph" w:customStyle="1" w:styleId="26">
    <w:name w:val="_Style 1"/>
    <w:basedOn w:val="1"/>
    <w:autoRedefine/>
    <w:qFormat/>
    <w:uiPriority w:val="99"/>
    <w:pPr>
      <w:ind w:firstLine="420" w:firstLineChars="200"/>
    </w:pPr>
  </w:style>
  <w:style w:type="paragraph" w:customStyle="1" w:styleId="27">
    <w:name w:val="p0"/>
    <w:basedOn w:val="1"/>
    <w:autoRedefine/>
    <w:qFormat/>
    <w:uiPriority w:val="0"/>
    <w:pPr>
      <w:widowControl/>
    </w:pPr>
    <w:rPr>
      <w:kern w:val="0"/>
      <w:szCs w:val="21"/>
    </w:rPr>
  </w:style>
  <w:style w:type="paragraph" w:customStyle="1" w:styleId="28">
    <w:name w:val="列出段落1"/>
    <w:basedOn w:val="1"/>
    <w:autoRedefine/>
    <w:qFormat/>
    <w:uiPriority w:val="34"/>
    <w:pPr>
      <w:ind w:firstLine="420" w:firstLineChars="200"/>
    </w:pPr>
  </w:style>
  <w:style w:type="paragraph" w:customStyle="1" w:styleId="29">
    <w:name w:val="列出段落111"/>
    <w:basedOn w:val="1"/>
    <w:qFormat/>
    <w:uiPriority w:val="0"/>
    <w:pPr>
      <w:ind w:firstLine="420" w:firstLineChars="200"/>
    </w:pPr>
  </w:style>
  <w:style w:type="character" w:customStyle="1" w:styleId="30">
    <w:name w:val="font31"/>
    <w:basedOn w:val="23"/>
    <w:qFormat/>
    <w:uiPriority w:val="0"/>
    <w:rPr>
      <w:rFonts w:hint="eastAsia" w:ascii="宋体" w:hAnsi="宋体" w:eastAsia="宋体" w:cs="宋体"/>
      <w:color w:val="000000"/>
      <w:sz w:val="24"/>
      <w:szCs w:val="24"/>
      <w:u w:val="none"/>
    </w:rPr>
  </w:style>
  <w:style w:type="character" w:customStyle="1" w:styleId="31">
    <w:name w:val="font51"/>
    <w:basedOn w:val="23"/>
    <w:qFormat/>
    <w:uiPriority w:val="0"/>
    <w:rPr>
      <w:rFonts w:hint="eastAsia" w:ascii="宋体" w:hAnsi="宋体" w:eastAsia="宋体" w:cs="宋体"/>
      <w:b/>
      <w:bCs/>
      <w:color w:val="FF0000"/>
      <w:sz w:val="24"/>
      <w:szCs w:val="24"/>
      <w:u w:val="none"/>
    </w:rPr>
  </w:style>
  <w:style w:type="paragraph" w:customStyle="1" w:styleId="32">
    <w:name w:val="表格文字"/>
    <w:basedOn w:val="1"/>
    <w:qFormat/>
    <w:uiPriority w:val="0"/>
    <w:pPr>
      <w:spacing w:before="25" w:after="25"/>
      <w:jc w:val="left"/>
    </w:pPr>
    <w:rPr>
      <w:bCs/>
      <w:spacing w:val="10"/>
      <w:kern w:val="0"/>
      <w:sz w:val="24"/>
    </w:rPr>
  </w:style>
  <w:style w:type="paragraph" w:customStyle="1" w:styleId="33">
    <w:name w:val="纯文本1"/>
    <w:basedOn w:val="1"/>
    <w:qFormat/>
    <w:uiPriority w:val="0"/>
    <w:pPr>
      <w:widowControl/>
      <w:adjustRightInd w:val="0"/>
      <w:snapToGrid w:val="0"/>
      <w:spacing w:after="200"/>
      <w:jc w:val="left"/>
    </w:pPr>
    <w:rPr>
      <w:rFonts w:ascii="宋体" w:hAnsi="Courier New" w:eastAsia="微软雅黑"/>
      <w:kern w:val="0"/>
      <w:sz w:val="22"/>
      <w:szCs w:val="20"/>
    </w:rPr>
  </w:style>
  <w:style w:type="paragraph" w:customStyle="1" w:styleId="34">
    <w:name w:val="列出段落11"/>
    <w:basedOn w:val="1"/>
    <w:qFormat/>
    <w:uiPriority w:val="0"/>
    <w:pPr>
      <w:ind w:firstLine="420"/>
    </w:pPr>
  </w:style>
  <w:style w:type="paragraph" w:customStyle="1" w:styleId="35">
    <w:name w:val="样式2"/>
    <w:basedOn w:val="36"/>
    <w:qFormat/>
    <w:uiPriority w:val="0"/>
    <w:rPr>
      <w:rFonts w:ascii="楷体_GB2312" w:eastAsia="楷体_GB2312"/>
      <w:color w:val="000000"/>
      <w:sz w:val="24"/>
    </w:rPr>
  </w:style>
  <w:style w:type="paragraph" w:customStyle="1" w:styleId="36">
    <w:name w:val="样式1"/>
    <w:basedOn w:val="1"/>
    <w:qFormat/>
    <w:uiPriority w:val="0"/>
    <w:pPr>
      <w:widowControl/>
      <w:jc w:val="left"/>
    </w:pPr>
    <w:rPr>
      <w:rFonts w:cs="宋体"/>
      <w:bCs/>
      <w:color w:val="auto"/>
      <w:sz w:val="21"/>
      <w:szCs w:val="22"/>
    </w:rPr>
  </w:style>
  <w:style w:type="paragraph" w:customStyle="1" w:styleId="37">
    <w:name w:val="0级"/>
    <w:basedOn w:val="1"/>
    <w:qFormat/>
    <w:uiPriority w:val="0"/>
    <w:pPr>
      <w:ind w:left="420" w:hanging="420"/>
    </w:pPr>
    <w:rPr>
      <w:rFonts w:ascii="宋体" w:hAnsi="宋体" w:eastAsia="宋体" w:cs="Times New Roman"/>
      <w:color w:val="000000"/>
      <w:szCs w:val="21"/>
    </w:rPr>
  </w:style>
  <w:style w:type="paragraph" w:customStyle="1" w:styleId="38">
    <w:name w:val="List Paragraph"/>
    <w:basedOn w:val="1"/>
    <w:qFormat/>
    <w:uiPriority w:val="34"/>
    <w:pPr>
      <w:ind w:firstLine="420" w:firstLineChars="200"/>
    </w:pPr>
  </w:style>
  <w:style w:type="paragraph" w:customStyle="1" w:styleId="39">
    <w:name w:val="USE 1"/>
    <w:basedOn w:val="1"/>
    <w:qFormat/>
    <w:uiPriority w:val="0"/>
    <w:pPr>
      <w:spacing w:line="200" w:lineRule="atLeast"/>
      <w:ind w:left="425" w:hanging="425"/>
      <w:jc w:val="left"/>
    </w:pPr>
    <w:rPr>
      <w:rFonts w:ascii="宋体" w:hAnsi="宋体" w:eastAsia="宋体" w:cs="Times New Roman"/>
      <w:b/>
      <w:sz w:val="24"/>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17966</Words>
  <Characters>18501</Characters>
  <Lines>134</Lines>
  <Paragraphs>37</Paragraphs>
  <TotalTime>2</TotalTime>
  <ScaleCrop>false</ScaleCrop>
  <LinksUpToDate>false</LinksUpToDate>
  <CharactersWithSpaces>19155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2023-09-04T11:59:00Z</dcterms:created>
  <dc:creator>Z-</dc:creator>
  <cp:lastModifiedBy>HyoQi</cp:lastModifiedBy>
  <cp:lastPrinted>2024-04-12T02:45:25Z</cp:lastPrinted>
  <dcterms:modified xsi:type="dcterms:W3CDTF">2024-04-12T03:22:35Z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35D6E514B45446B29946584D74A1A85F</vt:lpwstr>
  </property>
</Properties>
</file>