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b/>
          <w:bCs/>
          <w:kern w:val="0"/>
          <w:sz w:val="36"/>
          <w:szCs w:val="36"/>
        </w:rPr>
      </w:pPr>
      <w:r>
        <w:rPr>
          <w:rFonts w:hint="eastAsia" w:ascii="宋体" w:hAnsi="宋体" w:cs="宋体"/>
          <w:b/>
          <w:bCs/>
          <w:kern w:val="0"/>
          <w:sz w:val="36"/>
          <w:szCs w:val="36"/>
        </w:rPr>
        <w:t>深圳市龙岗区第三人民医院公开遴选综合评分表</w:t>
      </w:r>
    </w:p>
    <w:p>
      <w:pPr>
        <w:pStyle w:val="3"/>
        <w:jc w:val="left"/>
        <w:rPr>
          <w:rFonts w:ascii="宋体" w:hAnsi="宋体" w:cs="宋体"/>
          <w:bCs/>
          <w:kern w:val="0"/>
          <w:sz w:val="28"/>
          <w:szCs w:val="28"/>
        </w:rPr>
      </w:pPr>
      <w:r>
        <w:rPr>
          <w:rFonts w:hint="eastAsia" w:ascii="宋体" w:hAnsi="宋体" w:cs="宋体"/>
          <w:bCs/>
          <w:kern w:val="0"/>
          <w:sz w:val="28"/>
          <w:szCs w:val="28"/>
        </w:rPr>
        <w:t>项目：</w:t>
      </w:r>
    </w:p>
    <w:tbl>
      <w:tblPr>
        <w:tblStyle w:val="7"/>
        <w:tblW w:w="15463" w:type="dxa"/>
        <w:jc w:val="center"/>
        <w:tblLayout w:type="fixed"/>
        <w:tblCellMar>
          <w:top w:w="0" w:type="dxa"/>
          <w:left w:w="108" w:type="dxa"/>
          <w:bottom w:w="0" w:type="dxa"/>
          <w:right w:w="108" w:type="dxa"/>
        </w:tblCellMar>
      </w:tblPr>
      <w:tblGrid>
        <w:gridCol w:w="720"/>
        <w:gridCol w:w="1145"/>
        <w:gridCol w:w="1319"/>
        <w:gridCol w:w="1309"/>
        <w:gridCol w:w="1828"/>
        <w:gridCol w:w="1922"/>
        <w:gridCol w:w="2237"/>
        <w:gridCol w:w="1650"/>
        <w:gridCol w:w="1348"/>
        <w:gridCol w:w="1135"/>
        <w:gridCol w:w="850"/>
      </w:tblGrid>
      <w:tr>
        <w:tblPrEx>
          <w:tblCellMar>
            <w:top w:w="0" w:type="dxa"/>
            <w:left w:w="108" w:type="dxa"/>
            <w:bottom w:w="0" w:type="dxa"/>
            <w:right w:w="108" w:type="dxa"/>
          </w:tblCellMar>
        </w:tblPrEx>
        <w:trPr>
          <w:trHeight w:val="512" w:hRule="atLeast"/>
          <w:jc w:val="center"/>
        </w:trPr>
        <w:tc>
          <w:tcPr>
            <w:tcW w:w="186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0"/>
                <w:szCs w:val="20"/>
              </w:rPr>
            </w:pPr>
            <w:r>
              <w:rPr>
                <w:rFonts w:hint="eastAsia" w:ascii="宋体" w:hAnsi="宋体" w:cs="宋体"/>
                <w:bCs/>
                <w:kern w:val="0"/>
                <w:sz w:val="20"/>
                <w:szCs w:val="20"/>
              </w:rPr>
              <w:t>评分要素</w:t>
            </w:r>
          </w:p>
        </w:tc>
        <w:tc>
          <w:tcPr>
            <w:tcW w:w="44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产品质量及齐全度（40）</w:t>
            </w:r>
          </w:p>
        </w:tc>
        <w:tc>
          <w:tcPr>
            <w:tcW w:w="1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价格部分（25）</w:t>
            </w:r>
          </w:p>
        </w:tc>
        <w:tc>
          <w:tcPr>
            <w:tcW w:w="52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bCs/>
                <w:kern w:val="0"/>
                <w:sz w:val="18"/>
                <w:szCs w:val="18"/>
              </w:rPr>
              <w:t>综合实力（25）</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服务及其他部分（10）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100</w:t>
            </w:r>
          </w:p>
        </w:tc>
      </w:tr>
      <w:tr>
        <w:tblPrEx>
          <w:tblCellMar>
            <w:top w:w="0" w:type="dxa"/>
            <w:left w:w="108" w:type="dxa"/>
            <w:bottom w:w="0" w:type="dxa"/>
            <w:right w:w="108" w:type="dxa"/>
          </w:tblCellMar>
        </w:tblPrEx>
        <w:trPr>
          <w:trHeight w:val="849" w:hRule="atLeast"/>
          <w:jc w:val="center"/>
        </w:trPr>
        <w:tc>
          <w:tcPr>
            <w:tcW w:w="18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0"/>
                <w:szCs w:val="20"/>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评标专家通过对样品、产品质量评价</w:t>
            </w: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评标专家通过对品牌知名度、认可度方面评价</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w:t>
            </w:r>
            <w:r>
              <w:rPr>
                <w:rFonts w:hint="eastAsia" w:ascii="宋体" w:hAnsi="宋体" w:cs="宋体"/>
                <w:color w:val="000000"/>
                <w:kern w:val="0"/>
                <w:sz w:val="18"/>
                <w:szCs w:val="18"/>
              </w:rPr>
              <w:t>投标报价</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投标文件中提供的广东省内三甲医院使用证明</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企业诚信</w:t>
            </w:r>
          </w:p>
        </w:tc>
        <w:tc>
          <w:tcPr>
            <w:tcW w:w="13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企业资质</w:t>
            </w:r>
          </w:p>
        </w:tc>
        <w:tc>
          <w:tcPr>
            <w:tcW w:w="113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配送/售后服务</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总分</w:t>
            </w:r>
          </w:p>
        </w:tc>
      </w:tr>
      <w:tr>
        <w:tblPrEx>
          <w:tblCellMar>
            <w:top w:w="0" w:type="dxa"/>
            <w:left w:w="108" w:type="dxa"/>
            <w:bottom w:w="0" w:type="dxa"/>
            <w:right w:w="108" w:type="dxa"/>
          </w:tblCellMar>
        </w:tblPrEx>
        <w:trPr>
          <w:trHeight w:val="1387"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序号</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评标专家对投标产品进行横向比较，进行打分。</w:t>
            </w:r>
            <w:r>
              <w:rPr>
                <w:rFonts w:hint="eastAsia" w:ascii="宋体" w:hAnsi="宋体" w:cs="宋体"/>
                <w:kern w:val="0"/>
                <w:sz w:val="15"/>
                <w:szCs w:val="15"/>
              </w:rPr>
              <w:br w:type="textWrapping"/>
            </w:r>
            <w:r>
              <w:rPr>
                <w:rFonts w:hint="eastAsia" w:ascii="宋体" w:hAnsi="宋体" w:cs="宋体"/>
                <w:kern w:val="0"/>
                <w:sz w:val="15"/>
                <w:szCs w:val="15"/>
              </w:rPr>
              <w:t>优 15分</w:t>
            </w:r>
            <w:r>
              <w:rPr>
                <w:rFonts w:hint="eastAsia" w:ascii="宋体" w:hAnsi="宋体" w:cs="宋体"/>
                <w:kern w:val="0"/>
                <w:sz w:val="15"/>
                <w:szCs w:val="15"/>
              </w:rPr>
              <w:br w:type="textWrapping"/>
            </w:r>
            <w:r>
              <w:rPr>
                <w:rFonts w:hint="eastAsia" w:ascii="宋体" w:hAnsi="宋体" w:cs="宋体"/>
                <w:kern w:val="0"/>
                <w:sz w:val="15"/>
                <w:szCs w:val="15"/>
              </w:rPr>
              <w:t>良 10分</w:t>
            </w:r>
          </w:p>
          <w:p>
            <w:pPr>
              <w:widowControl/>
              <w:jc w:val="center"/>
              <w:rPr>
                <w:rFonts w:ascii="宋体" w:hAnsi="宋体" w:cs="宋体"/>
                <w:kern w:val="0"/>
                <w:sz w:val="15"/>
                <w:szCs w:val="15"/>
              </w:rPr>
            </w:pPr>
            <w:r>
              <w:rPr>
                <w:rFonts w:hint="eastAsia" w:ascii="宋体" w:hAnsi="宋体" w:cs="宋体"/>
                <w:kern w:val="0"/>
                <w:sz w:val="15"/>
                <w:szCs w:val="15"/>
              </w:rPr>
              <w:t>中6分</w:t>
            </w:r>
            <w:r>
              <w:rPr>
                <w:rFonts w:hint="eastAsia" w:ascii="宋体" w:hAnsi="宋体" w:cs="宋体"/>
                <w:kern w:val="0"/>
                <w:sz w:val="15"/>
                <w:szCs w:val="15"/>
              </w:rPr>
              <w:br w:type="textWrapping"/>
            </w:r>
            <w:r>
              <w:rPr>
                <w:rFonts w:hint="eastAsia" w:ascii="宋体" w:hAnsi="宋体" w:cs="宋体"/>
                <w:kern w:val="0"/>
                <w:sz w:val="15"/>
                <w:szCs w:val="15"/>
              </w:rPr>
              <w:t>差 1分</w:t>
            </w: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评标专家对投标产品品牌认可度进行横向比较，进行打分。</w:t>
            </w:r>
            <w:r>
              <w:rPr>
                <w:rFonts w:hint="eastAsia" w:ascii="宋体" w:hAnsi="宋体" w:cs="宋体"/>
                <w:kern w:val="0"/>
                <w:sz w:val="15"/>
                <w:szCs w:val="15"/>
              </w:rPr>
              <w:br w:type="textWrapping"/>
            </w:r>
            <w:r>
              <w:rPr>
                <w:rFonts w:hint="eastAsia" w:ascii="宋体" w:hAnsi="宋体" w:cs="宋体"/>
                <w:kern w:val="0"/>
                <w:sz w:val="15"/>
                <w:szCs w:val="15"/>
              </w:rPr>
              <w:t>优 10分</w:t>
            </w:r>
            <w:r>
              <w:rPr>
                <w:rFonts w:hint="eastAsia" w:ascii="宋体" w:hAnsi="宋体" w:cs="宋体"/>
                <w:kern w:val="0"/>
                <w:sz w:val="15"/>
                <w:szCs w:val="15"/>
              </w:rPr>
              <w:br w:type="textWrapping"/>
            </w:r>
            <w:r>
              <w:rPr>
                <w:rFonts w:hint="eastAsia" w:ascii="宋体" w:hAnsi="宋体" w:cs="宋体"/>
                <w:kern w:val="0"/>
                <w:sz w:val="15"/>
                <w:szCs w:val="15"/>
              </w:rPr>
              <w:t>良 7分</w:t>
            </w:r>
          </w:p>
          <w:p>
            <w:pPr>
              <w:widowControl/>
              <w:jc w:val="center"/>
              <w:rPr>
                <w:rFonts w:ascii="宋体" w:hAnsi="宋体" w:cs="宋体"/>
                <w:kern w:val="0"/>
                <w:sz w:val="15"/>
                <w:szCs w:val="15"/>
              </w:rPr>
            </w:pPr>
            <w:r>
              <w:rPr>
                <w:rFonts w:hint="eastAsia" w:ascii="宋体" w:hAnsi="宋体" w:cs="宋体"/>
                <w:kern w:val="0"/>
                <w:sz w:val="15"/>
                <w:szCs w:val="15"/>
              </w:rPr>
              <w:t>中4分</w:t>
            </w:r>
            <w:r>
              <w:rPr>
                <w:rFonts w:hint="eastAsia" w:ascii="宋体" w:hAnsi="宋体" w:cs="宋体"/>
                <w:kern w:val="0"/>
                <w:sz w:val="15"/>
                <w:szCs w:val="15"/>
              </w:rPr>
              <w:br w:type="textWrapping"/>
            </w:r>
            <w:r>
              <w:rPr>
                <w:rFonts w:hint="eastAsia" w:ascii="宋体" w:hAnsi="宋体" w:cs="宋体"/>
                <w:kern w:val="0"/>
                <w:sz w:val="15"/>
                <w:szCs w:val="15"/>
              </w:rPr>
              <w:t>差 1分</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评标专家对投标公司投标产品进行横向比较，进行打分。</w:t>
            </w:r>
            <w:r>
              <w:rPr>
                <w:rFonts w:hint="eastAsia" w:ascii="宋体" w:hAnsi="宋体" w:cs="宋体"/>
                <w:kern w:val="0"/>
                <w:sz w:val="15"/>
                <w:szCs w:val="15"/>
              </w:rPr>
              <w:br w:type="textWrapping"/>
            </w:r>
            <w:r>
              <w:rPr>
                <w:rFonts w:hint="eastAsia" w:ascii="宋体" w:hAnsi="宋体" w:cs="宋体"/>
                <w:kern w:val="0"/>
                <w:sz w:val="15"/>
                <w:szCs w:val="15"/>
              </w:rPr>
              <w:t>全部满足 15分</w:t>
            </w:r>
            <w:r>
              <w:rPr>
                <w:rFonts w:hint="eastAsia" w:ascii="宋体" w:hAnsi="宋体" w:cs="宋体"/>
                <w:kern w:val="0"/>
                <w:sz w:val="15"/>
                <w:szCs w:val="15"/>
              </w:rPr>
              <w:br w:type="textWrapping"/>
            </w:r>
            <w:r>
              <w:rPr>
                <w:rFonts w:hint="eastAsia" w:ascii="宋体" w:hAnsi="宋体" w:cs="宋体"/>
                <w:kern w:val="0"/>
                <w:sz w:val="15"/>
                <w:szCs w:val="15"/>
              </w:rPr>
              <w:t>大部分满足 10分</w:t>
            </w:r>
            <w:r>
              <w:rPr>
                <w:rFonts w:hint="eastAsia" w:ascii="宋体" w:hAnsi="宋体" w:cs="宋体"/>
                <w:kern w:val="0"/>
                <w:sz w:val="15"/>
                <w:szCs w:val="15"/>
              </w:rPr>
              <w:br w:type="textWrapping"/>
            </w:r>
            <w:r>
              <w:rPr>
                <w:rFonts w:hint="eastAsia" w:ascii="宋体" w:hAnsi="宋体" w:cs="宋体"/>
                <w:kern w:val="0"/>
                <w:sz w:val="15"/>
                <w:szCs w:val="15"/>
              </w:rPr>
              <w:t>部分满足 5分</w:t>
            </w:r>
          </w:p>
          <w:p>
            <w:pPr>
              <w:widowControl/>
              <w:jc w:val="center"/>
              <w:rPr>
                <w:rFonts w:ascii="宋体" w:hAnsi="宋体" w:cs="宋体"/>
                <w:kern w:val="0"/>
                <w:sz w:val="15"/>
                <w:szCs w:val="15"/>
              </w:rPr>
            </w:pPr>
            <w:r>
              <w:rPr>
                <w:rFonts w:hint="eastAsia" w:ascii="宋体" w:hAnsi="宋体" w:cs="宋体"/>
                <w:kern w:val="0"/>
                <w:sz w:val="15"/>
                <w:szCs w:val="15"/>
              </w:rPr>
              <w:t>少部分满足 1分</w:t>
            </w:r>
          </w:p>
        </w:tc>
        <w:tc>
          <w:tcPr>
            <w:tcW w:w="192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价格分应当采用低价优先法计算，即满足招标文件要求且投标价格最低的投标报价为评标基准价，其价格分为满分。</w:t>
            </w:r>
          </w:p>
          <w:p>
            <w:pPr>
              <w:widowControl/>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其他投标人的价格分统一按照下列公式计算：</w:t>
            </w:r>
          </w:p>
          <w:p>
            <w:pPr>
              <w:widowControl/>
              <w:jc w:val="center"/>
              <w:rPr>
                <w:rFonts w:ascii="宋体" w:hAnsi="宋体" w:cs="宋体"/>
                <w:kern w:val="0"/>
                <w:sz w:val="15"/>
                <w:szCs w:val="15"/>
              </w:rPr>
            </w:pPr>
            <w:r>
              <w:rPr>
                <w:rFonts w:hint="eastAsia" w:ascii="宋体" w:hAnsi="宋体" w:cs="宋体"/>
                <w:color w:val="000000"/>
                <w:kern w:val="0"/>
                <w:sz w:val="15"/>
                <w:szCs w:val="15"/>
              </w:rPr>
              <w:t>投标报价得分=最低价/投标报价*价格分值</w:t>
            </w: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eastAsia="宋体" w:cs="宋体"/>
                <w:kern w:val="0"/>
                <w:sz w:val="15"/>
                <w:szCs w:val="15"/>
              </w:rPr>
              <w:t>使用证明仅限含</w:t>
            </w:r>
            <w:bookmarkStart w:id="0" w:name="_GoBack"/>
            <w:bookmarkEnd w:id="0"/>
            <w:r>
              <w:rPr>
                <w:rFonts w:hint="eastAsia" w:ascii="宋体" w:hAnsi="宋体" w:eastAsia="宋体" w:cs="宋体"/>
                <w:kern w:val="0"/>
                <w:sz w:val="15"/>
                <w:szCs w:val="15"/>
              </w:rPr>
              <w:t>投标产品规格型号、价格的发票</w:t>
            </w:r>
            <w:r>
              <w:rPr>
                <w:rFonts w:hint="eastAsia" w:ascii="宋体" w:hAnsi="宋体" w:eastAsia="宋体" w:cs="宋体"/>
                <w:kern w:val="0"/>
                <w:sz w:val="15"/>
                <w:szCs w:val="15"/>
                <w:lang w:eastAsia="zh-CN"/>
              </w:rPr>
              <w:t>或</w:t>
            </w:r>
            <w:r>
              <w:rPr>
                <w:rFonts w:hint="eastAsia" w:ascii="宋体" w:hAnsi="宋体" w:eastAsia="宋体" w:cs="宋体"/>
                <w:kern w:val="0"/>
                <w:sz w:val="15"/>
                <w:szCs w:val="15"/>
              </w:rPr>
              <w:t>合同</w:t>
            </w:r>
            <w:r>
              <w:rPr>
                <w:rFonts w:hint="eastAsia" w:ascii="宋体" w:hAnsi="宋体" w:eastAsia="宋体" w:cs="宋体"/>
                <w:kern w:val="0"/>
                <w:sz w:val="15"/>
                <w:szCs w:val="15"/>
                <w:lang w:eastAsia="zh-CN"/>
              </w:rPr>
              <w:t>或</w:t>
            </w:r>
            <w:r>
              <w:rPr>
                <w:rFonts w:hint="eastAsia" w:ascii="宋体" w:hAnsi="宋体" w:eastAsia="宋体" w:cs="宋体"/>
                <w:kern w:val="0"/>
                <w:sz w:val="15"/>
                <w:szCs w:val="15"/>
              </w:rPr>
              <w:t>中标通知书。</w:t>
            </w:r>
            <w:r>
              <w:rPr>
                <w:rFonts w:hint="eastAsia" w:ascii="宋体" w:hAnsi="宋体" w:cs="宋体"/>
                <w:kern w:val="0"/>
                <w:sz w:val="15"/>
                <w:szCs w:val="15"/>
              </w:rPr>
              <w:t>每提供一家得2.5分，满分20分。提供资料（发票、合同、中标通知书）必须是</w:t>
            </w:r>
            <w:r>
              <w:rPr>
                <w:rFonts w:hint="eastAsia" w:ascii="宋体" w:hAnsi="宋体" w:cs="宋体"/>
                <w:kern w:val="0"/>
                <w:sz w:val="15"/>
                <w:szCs w:val="15"/>
                <w:lang w:eastAsia="zh-CN"/>
              </w:rPr>
              <w:t>发布公告前</w:t>
            </w:r>
            <w:r>
              <w:rPr>
                <w:rFonts w:hint="eastAsia" w:ascii="宋体" w:hAnsi="宋体" w:cs="宋体"/>
                <w:kern w:val="0"/>
                <w:sz w:val="15"/>
                <w:szCs w:val="15"/>
              </w:rPr>
              <w:t>2</w:t>
            </w:r>
            <w:r>
              <w:rPr>
                <w:rFonts w:ascii="宋体" w:hAnsi="宋体" w:cs="宋体"/>
                <w:kern w:val="0"/>
                <w:sz w:val="15"/>
                <w:szCs w:val="15"/>
              </w:rPr>
              <w:t>4个月内</w:t>
            </w:r>
            <w:r>
              <w:rPr>
                <w:rFonts w:hint="eastAsia" w:ascii="宋体" w:hAnsi="宋体" w:cs="宋体"/>
                <w:kern w:val="0"/>
                <w:sz w:val="15"/>
                <w:szCs w:val="15"/>
              </w:rPr>
              <w:t>的广东省内三甲医院使用证明（业绩证明必须附带三甲医院证明）</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1.投标人诚信状态良好得2分；具有诚信管理体系认证证书和企业信用等级证书各1分，2.投标人存在诚信相关问题且在主管部门相关处理措施实施期限内的，本项不得分；3.不提供不得分。满分2分</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5"/>
                <w:szCs w:val="15"/>
              </w:rPr>
            </w:pPr>
            <w:r>
              <w:rPr>
                <w:rFonts w:hint="eastAsia" w:ascii="宋体" w:hAnsi="宋体" w:cs="宋体"/>
                <w:kern w:val="0"/>
                <w:sz w:val="15"/>
                <w:szCs w:val="15"/>
              </w:rPr>
              <w:t>投标产品生产厂家和投标公司都具有有效时间内医疗器械质量管理体系认证证书、环境管理体系认证证书、职业健康安全管理体系认证证书。满分3分</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5"/>
                <w:szCs w:val="15"/>
              </w:rPr>
            </w:pPr>
            <w:r>
              <w:rPr>
                <w:rFonts w:hint="eastAsia" w:ascii="宋体" w:hAnsi="宋体" w:cs="宋体"/>
                <w:kern w:val="0"/>
                <w:sz w:val="15"/>
                <w:szCs w:val="15"/>
              </w:rPr>
              <w:t>根据售后服务承诺情况及投标公司服务能力打分，优 10分，良 7分，中4分，</w:t>
            </w:r>
            <w:r>
              <w:rPr>
                <w:rFonts w:hint="eastAsia" w:ascii="宋体" w:hAnsi="宋体" w:cs="宋体"/>
                <w:kern w:val="0"/>
                <w:sz w:val="15"/>
                <w:szCs w:val="15"/>
              </w:rPr>
              <w:br w:type="textWrapping"/>
            </w:r>
            <w:r>
              <w:rPr>
                <w:rFonts w:hint="eastAsia" w:ascii="宋体" w:hAnsi="宋体" w:cs="宋体"/>
                <w:kern w:val="0"/>
                <w:sz w:val="15"/>
                <w:szCs w:val="15"/>
              </w:rPr>
              <w:t>差 1分</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kern w:val="0"/>
                <w:sz w:val="18"/>
                <w:szCs w:val="18"/>
              </w:rPr>
            </w:pPr>
          </w:p>
        </w:tc>
      </w:tr>
      <w:tr>
        <w:tblPrEx>
          <w:tblCellMar>
            <w:top w:w="0" w:type="dxa"/>
            <w:left w:w="108" w:type="dxa"/>
            <w:bottom w:w="0" w:type="dxa"/>
            <w:right w:w="108" w:type="dxa"/>
          </w:tblCellMar>
        </w:tblPrEx>
        <w:trPr>
          <w:trHeight w:val="514"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1</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319"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32"/>
                <w:szCs w:val="32"/>
              </w:rPr>
            </w:pPr>
          </w:p>
        </w:tc>
        <w:tc>
          <w:tcPr>
            <w:tcW w:w="1309"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32"/>
                <w:szCs w:val="32"/>
              </w:rPr>
            </w:pPr>
          </w:p>
        </w:tc>
        <w:tc>
          <w:tcPr>
            <w:tcW w:w="1828"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32"/>
                <w:szCs w:val="32"/>
              </w:rPr>
            </w:pPr>
          </w:p>
        </w:tc>
        <w:tc>
          <w:tcPr>
            <w:tcW w:w="1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p>
        </w:tc>
        <w:tc>
          <w:tcPr>
            <w:tcW w:w="13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r>
      <w:tr>
        <w:tblPrEx>
          <w:tblCellMar>
            <w:top w:w="0" w:type="dxa"/>
            <w:left w:w="108" w:type="dxa"/>
            <w:bottom w:w="0" w:type="dxa"/>
            <w:right w:w="108" w:type="dxa"/>
          </w:tblCellMar>
        </w:tblPrEx>
        <w:trPr>
          <w:trHeight w:val="419"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p>
        </w:tc>
        <w:tc>
          <w:tcPr>
            <w:tcW w:w="13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r>
      <w:tr>
        <w:tblPrEx>
          <w:tblCellMar>
            <w:top w:w="0" w:type="dxa"/>
            <w:left w:w="108" w:type="dxa"/>
            <w:bottom w:w="0" w:type="dxa"/>
            <w:right w:w="108" w:type="dxa"/>
          </w:tblCellMar>
        </w:tblPrEx>
        <w:trPr>
          <w:trHeight w:val="524"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3</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p>
        </w:tc>
        <w:tc>
          <w:tcPr>
            <w:tcW w:w="13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r>
      <w:tr>
        <w:tblPrEx>
          <w:tblCellMar>
            <w:top w:w="0" w:type="dxa"/>
            <w:left w:w="108" w:type="dxa"/>
            <w:bottom w:w="0" w:type="dxa"/>
            <w:right w:w="108" w:type="dxa"/>
          </w:tblCellMar>
        </w:tblPrEx>
        <w:trPr>
          <w:trHeight w:val="524"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4</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p>
        </w:tc>
        <w:tc>
          <w:tcPr>
            <w:tcW w:w="13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r>
      <w:tr>
        <w:tblPrEx>
          <w:tblCellMar>
            <w:top w:w="0" w:type="dxa"/>
            <w:left w:w="108" w:type="dxa"/>
            <w:bottom w:w="0" w:type="dxa"/>
            <w:right w:w="108" w:type="dxa"/>
          </w:tblCellMar>
        </w:tblPrEx>
        <w:trPr>
          <w:trHeight w:val="40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5</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2"/>
                <w:szCs w:val="32"/>
              </w:rPr>
            </w:pPr>
          </w:p>
        </w:tc>
        <w:tc>
          <w:tcPr>
            <w:tcW w:w="1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p>
        </w:tc>
        <w:tc>
          <w:tcPr>
            <w:tcW w:w="13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r>
      <w:tr>
        <w:tblPrEx>
          <w:tblCellMar>
            <w:top w:w="0" w:type="dxa"/>
            <w:left w:w="108" w:type="dxa"/>
            <w:bottom w:w="0" w:type="dxa"/>
            <w:right w:w="108" w:type="dxa"/>
          </w:tblCellMar>
        </w:tblPrEx>
        <w:trPr>
          <w:trHeight w:val="750" w:hRule="atLeast"/>
          <w:jc w:val="center"/>
        </w:trPr>
        <w:tc>
          <w:tcPr>
            <w:tcW w:w="15463"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专家签名：</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年  </w:t>
            </w:r>
            <w:r>
              <w:rPr>
                <w:rFonts w:hint="eastAsia" w:ascii="宋体" w:hAnsi="宋体" w:cs="宋体"/>
                <w:kern w:val="0"/>
                <w:sz w:val="24"/>
                <w:lang w:val="en-US" w:eastAsia="zh-CN"/>
              </w:rPr>
              <w:t xml:space="preserve"> </w:t>
            </w:r>
            <w:r>
              <w:rPr>
                <w:rFonts w:hint="eastAsia" w:ascii="宋体" w:hAnsi="宋体" w:cs="宋体"/>
                <w:kern w:val="0"/>
                <w:sz w:val="24"/>
              </w:rPr>
              <w:t xml:space="preserve">月 </w:t>
            </w:r>
            <w:r>
              <w:rPr>
                <w:rFonts w:hint="eastAsia" w:ascii="宋体" w:hAnsi="宋体" w:cs="宋体"/>
                <w:kern w:val="0"/>
                <w:sz w:val="24"/>
                <w:lang w:val="en-US" w:eastAsia="zh-CN"/>
              </w:rPr>
              <w:t xml:space="preserve"> </w:t>
            </w:r>
            <w:r>
              <w:rPr>
                <w:rFonts w:hint="eastAsia" w:ascii="宋体" w:hAnsi="宋体" w:cs="宋体"/>
                <w:kern w:val="0"/>
                <w:sz w:val="24"/>
              </w:rPr>
              <w:t xml:space="preserve"> 日</w:t>
            </w:r>
          </w:p>
        </w:tc>
      </w:tr>
    </w:tbl>
    <w:p>
      <w:pPr>
        <w:pStyle w:val="4"/>
        <w:jc w:val="left"/>
      </w:pPr>
    </w:p>
    <w:sectPr>
      <w:pgSz w:w="16838" w:h="11906" w:orient="landscape"/>
      <w:pgMar w:top="284"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lZGYxYzRmYWNhNzEyNDRmYWRjYmQyMjhiYWIxNWEifQ=="/>
  </w:docVars>
  <w:rsids>
    <w:rsidRoot w:val="0045108E"/>
    <w:rsid w:val="00001445"/>
    <w:rsid w:val="00024C95"/>
    <w:rsid w:val="000602EB"/>
    <w:rsid w:val="00073359"/>
    <w:rsid w:val="000C0642"/>
    <w:rsid w:val="00121A90"/>
    <w:rsid w:val="0012459E"/>
    <w:rsid w:val="001439B5"/>
    <w:rsid w:val="00163D0B"/>
    <w:rsid w:val="00176791"/>
    <w:rsid w:val="001E7DBA"/>
    <w:rsid w:val="00252C19"/>
    <w:rsid w:val="002D3C02"/>
    <w:rsid w:val="002E03E3"/>
    <w:rsid w:val="00385B33"/>
    <w:rsid w:val="00396E0B"/>
    <w:rsid w:val="003E3AA2"/>
    <w:rsid w:val="00430DA1"/>
    <w:rsid w:val="00437AF0"/>
    <w:rsid w:val="004405B7"/>
    <w:rsid w:val="0045108E"/>
    <w:rsid w:val="0046288E"/>
    <w:rsid w:val="00525515"/>
    <w:rsid w:val="005426A4"/>
    <w:rsid w:val="00593D3F"/>
    <w:rsid w:val="00617F2E"/>
    <w:rsid w:val="006350AA"/>
    <w:rsid w:val="0063766E"/>
    <w:rsid w:val="006550F7"/>
    <w:rsid w:val="006E199D"/>
    <w:rsid w:val="00713DEA"/>
    <w:rsid w:val="00750D32"/>
    <w:rsid w:val="00760BDB"/>
    <w:rsid w:val="007C2224"/>
    <w:rsid w:val="008369FA"/>
    <w:rsid w:val="00883448"/>
    <w:rsid w:val="008E0CC3"/>
    <w:rsid w:val="00973B60"/>
    <w:rsid w:val="009B3C5D"/>
    <w:rsid w:val="00AD39E2"/>
    <w:rsid w:val="00B26408"/>
    <w:rsid w:val="00B72B6F"/>
    <w:rsid w:val="00BA6276"/>
    <w:rsid w:val="00BD09F1"/>
    <w:rsid w:val="00BE2743"/>
    <w:rsid w:val="00C26715"/>
    <w:rsid w:val="00C26DA4"/>
    <w:rsid w:val="00CA644E"/>
    <w:rsid w:val="00CE787A"/>
    <w:rsid w:val="00D8793E"/>
    <w:rsid w:val="00E02E8E"/>
    <w:rsid w:val="00E33CFA"/>
    <w:rsid w:val="00E60D21"/>
    <w:rsid w:val="00E65A43"/>
    <w:rsid w:val="00ED2456"/>
    <w:rsid w:val="00ED25BB"/>
    <w:rsid w:val="00F73905"/>
    <w:rsid w:val="00F73EE4"/>
    <w:rsid w:val="00FC0934"/>
    <w:rsid w:val="00FE0642"/>
    <w:rsid w:val="05243ECD"/>
    <w:rsid w:val="0EB81AF6"/>
    <w:rsid w:val="1BC00931"/>
    <w:rsid w:val="22316AE6"/>
    <w:rsid w:val="2CBD345D"/>
    <w:rsid w:val="384E34A3"/>
    <w:rsid w:val="48593477"/>
    <w:rsid w:val="50997208"/>
    <w:rsid w:val="51993E87"/>
    <w:rsid w:val="5A5E6A0F"/>
    <w:rsid w:val="6E152EBD"/>
    <w:rsid w:val="77DE0C38"/>
    <w:rsid w:val="7E2266D1"/>
    <w:rsid w:val="7F0A3D33"/>
    <w:rsid w:val="7FAF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ind w:firstLine="420" w:firstLineChars="200"/>
    </w:pPr>
    <w:rPr>
      <w:szCs w:val="21"/>
    </w:rPr>
  </w:style>
  <w:style w:type="paragraph" w:styleId="3">
    <w:name w:val="Body Text"/>
    <w:basedOn w:val="1"/>
    <w:next w:val="4"/>
    <w:autoRedefine/>
    <w:unhideWhenUsed/>
    <w:qFormat/>
    <w:uiPriority w:val="99"/>
    <w:pPr>
      <w:spacing w:after="120"/>
    </w:pPr>
  </w:style>
  <w:style w:type="paragraph" w:styleId="4">
    <w:name w:val="Title"/>
    <w:basedOn w:val="1"/>
    <w:next w:val="1"/>
    <w:autoRedefine/>
    <w:qFormat/>
    <w:uiPriority w:val="0"/>
    <w:pPr>
      <w:spacing w:before="240" w:after="60" w:line="276" w:lineRule="auto"/>
      <w:jc w:val="center"/>
      <w:outlineLvl w:val="0"/>
    </w:pPr>
    <w:rPr>
      <w:rFonts w:ascii="Cambria" w:hAnsi="Cambria"/>
      <w:b/>
      <w:bCs/>
      <w:sz w:val="32"/>
      <w:szCs w:val="32"/>
    </w:rPr>
  </w:style>
  <w:style w:type="paragraph" w:styleId="5">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autoRedefine/>
    <w:qFormat/>
    <w:uiPriority w:val="99"/>
    <w:rPr>
      <w:sz w:val="18"/>
      <w:szCs w:val="18"/>
    </w:rPr>
  </w:style>
  <w:style w:type="character" w:customStyle="1" w:styleId="10">
    <w:name w:val="页脚 Char"/>
    <w:basedOn w:val="8"/>
    <w:link w:val="5"/>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143</Words>
  <Characters>820</Characters>
  <Lines>6</Lines>
  <Paragraphs>1</Paragraphs>
  <TotalTime>3</TotalTime>
  <ScaleCrop>false</ScaleCrop>
  <LinksUpToDate>false</LinksUpToDate>
  <CharactersWithSpaces>962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2023-11-21T06:47:00Z</dcterms:created>
  <dc:creator>郑剑锋</dc:creator>
  <cp:lastModifiedBy>、Sun</cp:lastModifiedBy>
  <cp:lastPrinted>2020-04-27T09:18:00Z</cp:lastPrinted>
  <dcterms:modified xsi:type="dcterms:W3CDTF">2024-03-04T00:34:05Z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4D1A6DD921E2448BAA29D178E91FCF62_13</vt:lpwstr>
  </property>
</Properties>
</file>