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附件3</w:t>
      </w:r>
    </w:p>
    <w:p>
      <w:pPr>
        <w:spacing w:line="560" w:lineRule="exact"/>
        <w:jc w:val="both"/>
        <w:rPr>
          <w:rFonts w:hint="eastAsia" w:ascii="方正小标宋简体" w:hAnsi="方正小标宋简体" w:eastAsia="方正小标宋简体" w:cs="方正小标宋简体"/>
          <w:color w:val="auto"/>
          <w:sz w:val="44"/>
          <w:szCs w:val="44"/>
          <w:highlight w:val="none"/>
        </w:rPr>
      </w:pPr>
    </w:p>
    <w:p>
      <w:pPr>
        <w:spacing w:line="560" w:lineRule="exact"/>
        <w:jc w:val="both"/>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深圳市龙岗区创新型产业用房运营管理规则</w:t>
      </w:r>
    </w:p>
    <w:p>
      <w:pPr>
        <w:spacing w:line="560" w:lineRule="exact"/>
        <w:jc w:val="center"/>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default" w:ascii="楷体_GB2312" w:hAnsi="楷体_GB2312" w:eastAsia="楷体_GB2312" w:cs="楷体_GB2312"/>
          <w:color w:val="auto"/>
          <w:sz w:val="32"/>
          <w:szCs w:val="32"/>
          <w:highlight w:val="none"/>
        </w:rPr>
        <w:t>征求意见稿</w:t>
      </w:r>
      <w:r>
        <w:rPr>
          <w:rFonts w:hint="eastAsia" w:ascii="楷体_GB2312" w:hAnsi="楷体_GB2312" w:eastAsia="楷体_GB2312" w:cs="楷体_GB2312"/>
          <w:color w:val="auto"/>
          <w:sz w:val="32"/>
          <w:szCs w:val="32"/>
          <w:highlight w:val="none"/>
        </w:rPr>
        <w:t>）</w:t>
      </w:r>
    </w:p>
    <w:p>
      <w:pPr>
        <w:spacing w:line="560" w:lineRule="exact"/>
        <w:ind w:firstLine="645"/>
        <w:rPr>
          <w:rFonts w:ascii="仿宋_GB2312" w:hAnsi="仿宋_GB2312" w:eastAsia="仿宋_GB2312" w:cs="仿宋_GB2312"/>
          <w:color w:val="auto"/>
          <w:sz w:val="32"/>
          <w:szCs w:val="32"/>
          <w:highlight w:val="none"/>
        </w:rPr>
      </w:pPr>
    </w:p>
    <w:p>
      <w:pPr>
        <w:adjustRightInd w:val="0"/>
        <w:snapToGrid w:val="0"/>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一、</w:t>
      </w:r>
      <w:r>
        <w:rPr>
          <w:rFonts w:hint="default" w:ascii="黑体" w:hAnsi="黑体" w:eastAsia="黑体"/>
          <w:color w:val="auto"/>
          <w:sz w:val="32"/>
          <w:szCs w:val="32"/>
          <w:highlight w:val="none"/>
        </w:rPr>
        <w:t>日常</w:t>
      </w:r>
      <w:r>
        <w:rPr>
          <w:rFonts w:ascii="黑体" w:hAnsi="黑体" w:eastAsia="黑体"/>
          <w:color w:val="auto"/>
          <w:sz w:val="32"/>
          <w:szCs w:val="32"/>
          <w:highlight w:val="none"/>
        </w:rPr>
        <w:t>运营管理机构选定依据及操作流程</w:t>
      </w:r>
    </w:p>
    <w:p>
      <w:pPr>
        <w:spacing w:line="560" w:lineRule="exact"/>
        <w:ind w:firstLine="640" w:firstLineChars="200"/>
        <w:rPr>
          <w:rFonts w:ascii="楷体" w:hAnsi="楷体" w:eastAsia="楷体" w:cs="楷体"/>
          <w:color w:val="auto"/>
          <w:sz w:val="32"/>
          <w:szCs w:val="20"/>
          <w:highlight w:val="none"/>
        </w:rPr>
      </w:pPr>
      <w:r>
        <w:rPr>
          <w:rFonts w:hint="eastAsia" w:ascii="楷体" w:hAnsi="楷体" w:eastAsia="楷体" w:cs="楷体"/>
          <w:color w:val="auto"/>
          <w:sz w:val="32"/>
          <w:szCs w:val="20"/>
          <w:highlight w:val="none"/>
        </w:rPr>
        <w:t>（一）选定依据</w:t>
      </w:r>
    </w:p>
    <w:p>
      <w:pPr>
        <w:adjustRightInd w:val="0"/>
        <w:snapToGrid w:val="0"/>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本区创新型产业用房的建设和管理遵循“政府主导、市区联动、企业参与”的原则，政府产权创新型产业用房运营管理工作原则上由区产业主管部门委托区属国企开展，日常运营管理机构至少应符合以下条件之一（按优先级排序）：</w:t>
      </w:r>
    </w:p>
    <w:p>
      <w:pPr>
        <w:spacing w:line="560" w:lineRule="exact"/>
        <w:ind w:firstLine="640" w:firstLineChars="200"/>
        <w:rPr>
          <w:rFonts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1</w:t>
      </w:r>
      <w:r>
        <w:rPr>
          <w:rFonts w:ascii="仿宋_GB2312" w:hAnsi="仿宋_GB2312" w:eastAsia="仿宋_GB2312" w:cs="仿宋_GB2312"/>
          <w:color w:val="auto"/>
          <w:sz w:val="32"/>
          <w:szCs w:val="32"/>
          <w:highlight w:val="none"/>
        </w:rPr>
        <w:t>.创新型产业用房投资建设主体；</w:t>
      </w:r>
    </w:p>
    <w:p>
      <w:pPr>
        <w:spacing w:line="560" w:lineRule="exact"/>
        <w:ind w:firstLine="640" w:firstLineChars="200"/>
        <w:rPr>
          <w:rFonts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2</w:t>
      </w:r>
      <w:r>
        <w:rPr>
          <w:rFonts w:ascii="仿宋_GB2312" w:hAnsi="仿宋_GB2312" w:eastAsia="仿宋_GB2312" w:cs="仿宋_GB2312"/>
          <w:color w:val="auto"/>
          <w:sz w:val="32"/>
          <w:szCs w:val="32"/>
          <w:highlight w:val="none"/>
        </w:rPr>
        <w:t>.创新型产业用房历史遗留项目日常运营管理机构；</w:t>
      </w:r>
    </w:p>
    <w:p>
      <w:pPr>
        <w:spacing w:line="560" w:lineRule="exact"/>
        <w:ind w:firstLine="640" w:firstLineChars="200"/>
        <w:rPr>
          <w:rFonts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3</w:t>
      </w:r>
      <w:r>
        <w:rPr>
          <w:rFonts w:ascii="仿宋_GB2312" w:hAnsi="仿宋_GB2312" w:eastAsia="仿宋_GB2312" w:cs="仿宋_GB2312"/>
          <w:color w:val="auto"/>
          <w:sz w:val="32"/>
          <w:szCs w:val="32"/>
          <w:highlight w:val="none"/>
        </w:rPr>
        <w:t>.匹配片区规划定位特殊需要、配合片区打造产业链集群需要的主体；</w:t>
      </w:r>
    </w:p>
    <w:p>
      <w:pPr>
        <w:spacing w:line="560" w:lineRule="exact"/>
        <w:ind w:firstLine="640" w:firstLineChars="200"/>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4</w:t>
      </w:r>
      <w:r>
        <w:rPr>
          <w:rFonts w:ascii="仿宋_GB2312" w:hAnsi="仿宋_GB2312" w:eastAsia="仿宋_GB2312" w:cs="仿宋_GB2312"/>
          <w:color w:val="auto"/>
          <w:sz w:val="32"/>
          <w:szCs w:val="32"/>
          <w:highlight w:val="none"/>
        </w:rPr>
        <w:t>.具有创新型产业用房运营管理职能的主体；</w:t>
      </w:r>
    </w:p>
    <w:p>
      <w:pPr>
        <w:spacing w:line="560" w:lineRule="exact"/>
        <w:ind w:firstLine="640" w:firstLineChars="200"/>
        <w:rPr>
          <w:rFonts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5</w:t>
      </w:r>
      <w:r>
        <w:rPr>
          <w:rFonts w:ascii="仿宋_GB2312" w:hAnsi="仿宋_GB2312" w:eastAsia="仿宋_GB2312" w:cs="仿宋_GB2312"/>
          <w:color w:val="auto"/>
          <w:sz w:val="32"/>
          <w:szCs w:val="32"/>
          <w:highlight w:val="none"/>
        </w:rPr>
        <w:t>.市、区政府签订相关协议或会议同意的日常运营管理机构。</w:t>
      </w:r>
    </w:p>
    <w:p>
      <w:pPr>
        <w:spacing w:line="560" w:lineRule="exact"/>
        <w:ind w:firstLine="640" w:firstLineChars="200"/>
        <w:rPr>
          <w:rFonts w:ascii="楷体" w:hAnsi="楷体" w:eastAsia="楷体" w:cs="楷体"/>
          <w:color w:val="auto"/>
          <w:sz w:val="32"/>
          <w:szCs w:val="20"/>
          <w:highlight w:val="none"/>
        </w:rPr>
      </w:pPr>
      <w:r>
        <w:rPr>
          <w:rFonts w:hint="eastAsia" w:ascii="楷体" w:hAnsi="楷体" w:eastAsia="楷体" w:cs="楷体"/>
          <w:color w:val="auto"/>
          <w:sz w:val="32"/>
          <w:szCs w:val="20"/>
          <w:highlight w:val="none"/>
        </w:rPr>
        <w:t>（二）操作流程</w:t>
      </w:r>
    </w:p>
    <w:p>
      <w:pPr>
        <w:adjustRightInd w:val="0"/>
        <w:snapToGrid w:val="0"/>
        <w:spacing w:line="560" w:lineRule="exact"/>
        <w:ind w:firstLine="640" w:firstLineChars="200"/>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1.区产业主管部门根据片区产业集群定位明确各项目主导产业方向；</w:t>
      </w:r>
    </w:p>
    <w:p>
      <w:pPr>
        <w:adjustRightInd w:val="0"/>
        <w:snapToGrid w:val="0"/>
        <w:spacing w:line="560" w:lineRule="exact"/>
        <w:ind w:firstLine="640" w:firstLineChars="200"/>
        <w:rPr>
          <w:rFonts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2</w:t>
      </w:r>
      <w:r>
        <w:rPr>
          <w:rFonts w:ascii="仿宋_GB2312" w:hAnsi="仿宋_GB2312" w:eastAsia="仿宋_GB2312" w:cs="仿宋_GB2312"/>
          <w:color w:val="auto"/>
          <w:sz w:val="32"/>
          <w:szCs w:val="32"/>
          <w:highlight w:val="none"/>
        </w:rPr>
        <w:t>.意向运营管理机构向区产业主管部门来函明确项目基本情况及运营管理需求；</w:t>
      </w:r>
    </w:p>
    <w:p>
      <w:pPr>
        <w:adjustRightInd w:val="0"/>
        <w:snapToGrid w:val="0"/>
        <w:spacing w:line="560" w:lineRule="exact"/>
        <w:ind w:firstLine="640" w:firstLineChars="200"/>
        <w:rPr>
          <w:rFonts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3</w:t>
      </w:r>
      <w:r>
        <w:rPr>
          <w:rFonts w:ascii="仿宋_GB2312" w:hAnsi="仿宋_GB2312" w:eastAsia="仿宋_GB2312" w:cs="仿宋_GB2312"/>
          <w:color w:val="auto"/>
          <w:sz w:val="32"/>
          <w:szCs w:val="32"/>
          <w:highlight w:val="none"/>
        </w:rPr>
        <w:t>.区产业主管部门依据本规则及项目实际情况提出选定项目运营管理机构的初审意见，分别征求区国资局、区财政局、区属国企等有关部门意见后报</w:t>
      </w:r>
      <w:r>
        <w:rPr>
          <w:rFonts w:hint="eastAsia" w:ascii="仿宋_GB2312" w:hAnsi="仿宋_GB2312" w:eastAsia="仿宋_GB2312" w:cs="仿宋_GB2312"/>
          <w:color w:val="auto"/>
          <w:sz w:val="32"/>
          <w:szCs w:val="32"/>
          <w:highlight w:val="none"/>
        </w:rPr>
        <w:t>龙岗区创新型产业用房建设和管理领导小组</w:t>
      </w:r>
      <w:r>
        <w:rPr>
          <w:rFonts w:ascii="仿宋_GB2312" w:hAnsi="仿宋_GB2312" w:eastAsia="仿宋_GB2312" w:cs="仿宋_GB2312"/>
          <w:color w:val="auto"/>
          <w:sz w:val="32"/>
          <w:szCs w:val="32"/>
          <w:highlight w:val="none"/>
        </w:rPr>
        <w:t>办公室会议审议；</w:t>
      </w:r>
    </w:p>
    <w:p>
      <w:pPr>
        <w:adjustRightInd w:val="0"/>
        <w:snapToGrid w:val="0"/>
        <w:spacing w:line="560" w:lineRule="exact"/>
        <w:ind w:firstLine="640" w:firstLineChars="200"/>
        <w:rPr>
          <w:rFonts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4</w:t>
      </w:r>
      <w:r>
        <w:rPr>
          <w:rFonts w:ascii="仿宋_GB2312" w:hAnsi="仿宋_GB2312" w:eastAsia="仿宋_GB2312" w:cs="仿宋_GB2312"/>
          <w:color w:val="auto"/>
          <w:sz w:val="32"/>
          <w:szCs w:val="32"/>
          <w:highlight w:val="none"/>
        </w:rPr>
        <w:t>.区产业主管部门去函告知相关单位项目具体运营管理机构及要求。</w:t>
      </w:r>
    </w:p>
    <w:p>
      <w:pPr>
        <w:pStyle w:val="2"/>
        <w:spacing w:line="560" w:lineRule="exact"/>
        <w:ind w:firstLine="640"/>
        <w:rPr>
          <w:rFonts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rPr>
        <w:t>二、</w:t>
      </w:r>
      <w:r>
        <w:rPr>
          <w:rFonts w:hint="default" w:ascii="黑体" w:hAnsi="黑体" w:eastAsia="黑体"/>
          <w:color w:val="auto"/>
          <w:sz w:val="32"/>
          <w:szCs w:val="32"/>
          <w:highlight w:val="none"/>
        </w:rPr>
        <w:t>日常</w:t>
      </w:r>
      <w:r>
        <w:rPr>
          <w:rFonts w:hint="eastAsia" w:ascii="黑体" w:hAnsi="黑体" w:eastAsia="黑体"/>
          <w:color w:val="auto"/>
          <w:sz w:val="32"/>
          <w:szCs w:val="32"/>
          <w:highlight w:val="none"/>
        </w:rPr>
        <w:t>运营管理</w:t>
      </w:r>
      <w:r>
        <w:rPr>
          <w:rFonts w:hint="default" w:ascii="黑体" w:hAnsi="黑体" w:eastAsia="黑体"/>
          <w:color w:val="auto"/>
          <w:sz w:val="32"/>
          <w:szCs w:val="32"/>
          <w:highlight w:val="none"/>
        </w:rPr>
        <w:t>机构</w:t>
      </w:r>
      <w:r>
        <w:rPr>
          <w:rFonts w:hint="eastAsia" w:ascii="黑体" w:hAnsi="黑体" w:eastAsia="黑体"/>
          <w:color w:val="auto"/>
          <w:sz w:val="32"/>
          <w:szCs w:val="32"/>
          <w:highlight w:val="none"/>
        </w:rPr>
        <w:t>相关要求</w:t>
      </w:r>
    </w:p>
    <w:p>
      <w:pPr>
        <w:adjustRightInd w:val="0"/>
        <w:snapToGrid w:val="0"/>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 xml:space="preserve">1.区产业主管部门与选定的运营管理机构签订项目授权管理使用责任书，明确项目运营管理具体规定，应达到的产值税收等相关要求；日常运营管理机构对项目授权管理使用责任书约定的内容负责，定期向区产业主管部门报送工作推进情况。 </w:t>
      </w:r>
    </w:p>
    <w:p>
      <w:pPr>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2.各运营管理机构负责发布租售信息，制定创新型产业用房入驻申报指南，并与符合条件的承租企业签订租赁协议，明确承租企业相关要求。</w:t>
      </w:r>
    </w:p>
    <w:p>
      <w:pPr>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3.区产业主管部门定期或不定期对园区授权管理使用责任书约定内容履约情况进行监督考核，对履约较好的运营管理机构给予表彰,对履约较差的运营管理机构进行问责。</w:t>
      </w:r>
    </w:p>
    <w:p>
      <w:pPr>
        <w:pStyle w:val="2"/>
        <w:spacing w:line="560" w:lineRule="exact"/>
        <w:ind w:firstLine="640"/>
        <w:jc w:val="both"/>
        <w:rPr>
          <w:color w:val="auto"/>
          <w:highlight w:val="none"/>
        </w:rPr>
      </w:pPr>
      <w:r>
        <w:rPr>
          <w:rFonts w:ascii="黑体" w:hAnsi="黑体" w:eastAsia="黑体"/>
          <w:color w:val="auto"/>
          <w:sz w:val="32"/>
          <w:szCs w:val="32"/>
          <w:highlight w:val="none"/>
        </w:rPr>
        <w:t>三</w:t>
      </w:r>
      <w:r>
        <w:rPr>
          <w:rFonts w:hint="eastAsia" w:ascii="黑体" w:hAnsi="黑体" w:eastAsia="黑体"/>
          <w:color w:val="auto"/>
          <w:sz w:val="32"/>
          <w:szCs w:val="32"/>
          <w:highlight w:val="none"/>
        </w:rPr>
        <w:t>、</w:t>
      </w:r>
      <w:r>
        <w:rPr>
          <w:rFonts w:hint="default" w:ascii="黑体" w:hAnsi="黑体" w:eastAsia="黑体"/>
          <w:color w:val="auto"/>
          <w:sz w:val="32"/>
          <w:szCs w:val="32"/>
          <w:highlight w:val="none"/>
        </w:rPr>
        <w:t>日常</w:t>
      </w:r>
      <w:r>
        <w:rPr>
          <w:rFonts w:ascii="黑体" w:hAnsi="黑体" w:eastAsia="黑体"/>
          <w:color w:val="auto"/>
          <w:sz w:val="32"/>
          <w:szCs w:val="32"/>
          <w:highlight w:val="none"/>
        </w:rPr>
        <w:t>运营管理机构工作内容</w:t>
      </w:r>
    </w:p>
    <w:p>
      <w:pPr>
        <w:adjustRightInd w:val="0"/>
        <w:snapToGrid w:val="0"/>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1.日常运营管理机构按规定程序与入驻企业签订租赁合同，应包括但不限于约定年度考核、安全生产、节能环保、退出机制、违约责任、分租转租限制、履行情况核查等相关条款。</w:t>
      </w:r>
    </w:p>
    <w:p>
      <w:pPr>
        <w:pStyle w:val="2"/>
        <w:spacing w:line="560" w:lineRule="exact"/>
        <w:ind w:firstLine="640"/>
        <w:jc w:val="both"/>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2.日常运营管理机构应严格按市区创新型产业用房有关规定开展入驻企业审查，定期对入驻企业履约情况、使用情况（不得转租）进行核查，督促不符合有关规定的企业进行整改。</w:t>
      </w:r>
    </w:p>
    <w:p>
      <w:pPr>
        <w:pStyle w:val="2"/>
        <w:spacing w:line="560" w:lineRule="exact"/>
        <w:ind w:firstLine="640"/>
        <w:jc w:val="both"/>
        <w:rPr>
          <w:rFonts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3</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日常运营管理机构应会同产权单位等部门做好项目产证办理、配套设施建设及维护等相关工作</w:t>
      </w:r>
      <w:r>
        <w:rPr>
          <w:rFonts w:ascii="仿宋_GB2312" w:hAnsi="仿宋_GB2312" w:eastAsia="仿宋_GB2312" w:cs="仿宋_GB2312"/>
          <w:color w:val="auto"/>
          <w:sz w:val="32"/>
          <w:szCs w:val="32"/>
          <w:highlight w:val="none"/>
        </w:rPr>
        <w:t>。</w:t>
      </w:r>
    </w:p>
    <w:p>
      <w:pPr>
        <w:pStyle w:val="2"/>
        <w:spacing w:line="560" w:lineRule="exact"/>
        <w:ind w:firstLine="640"/>
        <w:jc w:val="both"/>
        <w:rPr>
          <w:color w:val="auto"/>
          <w:highlight w:val="none"/>
        </w:rPr>
      </w:pPr>
      <w:r>
        <w:rPr>
          <w:rFonts w:ascii="黑体" w:hAnsi="黑体" w:eastAsia="黑体"/>
          <w:color w:val="auto"/>
          <w:sz w:val="32"/>
          <w:szCs w:val="32"/>
          <w:highlight w:val="none"/>
        </w:rPr>
        <w:t>四</w:t>
      </w: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val="en-US" w:eastAsia="zh-CN"/>
        </w:rPr>
        <w:t>相关</w:t>
      </w:r>
      <w:r>
        <w:rPr>
          <w:rFonts w:ascii="黑体" w:hAnsi="黑体" w:eastAsia="黑体"/>
          <w:color w:val="auto"/>
          <w:sz w:val="32"/>
          <w:szCs w:val="32"/>
          <w:highlight w:val="none"/>
        </w:rPr>
        <w:t>费用</w:t>
      </w:r>
      <w:r>
        <w:rPr>
          <w:rFonts w:hint="eastAsia" w:ascii="黑体" w:hAnsi="黑体" w:eastAsia="黑体"/>
          <w:color w:val="auto"/>
          <w:sz w:val="32"/>
          <w:szCs w:val="32"/>
          <w:highlight w:val="none"/>
          <w:lang w:eastAsia="zh-CN"/>
        </w:rPr>
        <w:t>的</w:t>
      </w:r>
      <w:r>
        <w:rPr>
          <w:rFonts w:ascii="黑体" w:hAnsi="黑体" w:eastAsia="黑体"/>
          <w:color w:val="auto"/>
          <w:sz w:val="32"/>
          <w:szCs w:val="32"/>
          <w:highlight w:val="none"/>
        </w:rPr>
        <w:t>核定</w:t>
      </w:r>
    </w:p>
    <w:p>
      <w:pPr>
        <w:adjustRightInd w:val="0"/>
        <w:snapToGrid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w:t>
      </w:r>
      <w:r>
        <w:rPr>
          <w:rFonts w:hint="default" w:ascii="仿宋_GB2312" w:hAnsi="仿宋_GB2312" w:eastAsia="仿宋_GB2312" w:cs="仿宋_GB2312"/>
          <w:color w:val="auto"/>
          <w:sz w:val="32"/>
          <w:szCs w:val="32"/>
          <w:highlight w:val="none"/>
          <w:lang w:eastAsia="zh-CN"/>
        </w:rPr>
        <w:t>办公用房、研发用房及工业厂房</w:t>
      </w:r>
      <w:r>
        <w:rPr>
          <w:rFonts w:hint="eastAsia" w:ascii="仿宋_GB2312" w:hAnsi="仿宋_GB2312" w:eastAsia="仿宋_GB2312" w:cs="仿宋_GB2312"/>
          <w:color w:val="auto"/>
          <w:sz w:val="32"/>
          <w:szCs w:val="32"/>
          <w:highlight w:val="none"/>
          <w:lang w:eastAsia="zh-CN"/>
        </w:rPr>
        <w:t>运营管理费</w:t>
      </w:r>
    </w:p>
    <w:p>
      <w:pPr>
        <w:adjustRightInd w:val="0"/>
        <w:snapToGrid w:val="0"/>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单一项目的创新型产业用房费用标准暂按3.0元/㎡/月执行。</w:t>
      </w:r>
      <w:r>
        <w:rPr>
          <w:rFonts w:hint="default" w:ascii="仿宋_GB2312" w:hAnsi="仿宋_GB2312" w:eastAsia="仿宋_GB2312" w:cs="仿宋_GB2312"/>
          <w:color w:val="auto"/>
          <w:sz w:val="32"/>
          <w:szCs w:val="32"/>
          <w:highlight w:val="none"/>
        </w:rPr>
        <w:t>上述</w:t>
      </w:r>
      <w:r>
        <w:rPr>
          <w:rFonts w:hint="eastAsia" w:ascii="仿宋_GB2312" w:hAnsi="仿宋_GB2312" w:eastAsia="仿宋_GB2312" w:cs="仿宋_GB2312"/>
          <w:color w:val="auto"/>
          <w:sz w:val="32"/>
          <w:szCs w:val="32"/>
          <w:highlight w:val="none"/>
        </w:rPr>
        <w:t>运营管理费从区产业主管部门与日常运营管理机构签订项目授权管理使用责任书或区产业主管部门书面委托之日起计</w:t>
      </w:r>
      <w:r>
        <w:rPr>
          <w:rFonts w:hint="default"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如遇市场行情有较大变化的，上述费用标准可报龙岗区创新型产业用房建设和管理领导小组会议审议后调整</w:t>
      </w:r>
      <w:r>
        <w:rPr>
          <w:rFonts w:ascii="仿宋_GB2312" w:hAnsi="仿宋_GB2312" w:eastAsia="仿宋_GB2312" w:cs="仿宋_GB2312"/>
          <w:color w:val="auto"/>
          <w:sz w:val="32"/>
          <w:szCs w:val="32"/>
          <w:highlight w:val="none"/>
        </w:rPr>
        <w:t>。</w:t>
      </w:r>
    </w:p>
    <w:p>
      <w:pPr>
        <w:pStyle w:val="2"/>
        <w:spacing w:line="560" w:lineRule="exac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lang w:eastAsia="zh-CN"/>
        </w:rPr>
        <w:t>）物业管理费</w:t>
      </w:r>
    </w:p>
    <w:p>
      <w:pPr>
        <w:pStyle w:val="2"/>
        <w:adjustRightInd w:val="0"/>
        <w:snapToGrid w:val="0"/>
        <w:spacing w:line="560" w:lineRule="exact"/>
        <w:ind w:firstLine="640" w:firstLineChars="200"/>
        <w:jc w:val="both"/>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区产业主管部门</w:t>
      </w:r>
      <w:r>
        <w:rPr>
          <w:rFonts w:ascii="仿宋_GB2312" w:hAnsi="仿宋_GB2312" w:eastAsia="仿宋_GB2312" w:cs="仿宋_GB2312"/>
          <w:color w:val="auto"/>
          <w:sz w:val="32"/>
          <w:szCs w:val="32"/>
          <w:highlight w:val="none"/>
        </w:rPr>
        <w:t>联合区住房建设局对创新型产业用房的物业管理费进行监管，为打造良好产业生态，鼓励各</w:t>
      </w:r>
      <w:r>
        <w:rPr>
          <w:rFonts w:hint="eastAsia" w:ascii="仿宋_GB2312" w:hAnsi="仿宋_GB2312" w:eastAsia="仿宋_GB2312" w:cs="仿宋_GB2312"/>
          <w:color w:val="auto"/>
          <w:sz w:val="32"/>
          <w:szCs w:val="32"/>
          <w:highlight w:val="none"/>
        </w:rPr>
        <w:t>日常运营管理机构结合项目具体区位</w:t>
      </w:r>
      <w:r>
        <w:rPr>
          <w:rFonts w:hint="default" w:ascii="仿宋_GB2312" w:hAnsi="仿宋_GB2312" w:eastAsia="仿宋_GB2312" w:cs="仿宋_GB2312"/>
          <w:color w:val="auto"/>
          <w:sz w:val="32"/>
          <w:szCs w:val="32"/>
          <w:highlight w:val="none"/>
        </w:rPr>
        <w:t>及项目规模，对物业管理费进行适当</w:t>
      </w:r>
      <w:r>
        <w:rPr>
          <w:rFonts w:hint="eastAsia" w:ascii="仿宋_GB2312" w:hAnsi="仿宋_GB2312" w:eastAsia="仿宋_GB2312" w:cs="仿宋_GB2312"/>
          <w:color w:val="auto"/>
          <w:sz w:val="32"/>
          <w:szCs w:val="32"/>
          <w:highlight w:val="none"/>
        </w:rPr>
        <w:t>优惠</w:t>
      </w:r>
      <w:r>
        <w:rPr>
          <w:rFonts w:hint="default" w:ascii="仿宋_GB2312" w:hAnsi="仿宋_GB2312" w:eastAsia="仿宋_GB2312" w:cs="仿宋_GB2312"/>
          <w:color w:val="auto"/>
          <w:sz w:val="32"/>
          <w:szCs w:val="32"/>
          <w:highlight w:val="none"/>
        </w:rPr>
        <w:t>。</w:t>
      </w:r>
    </w:p>
    <w:p>
      <w:pPr>
        <w:pStyle w:val="2"/>
        <w:numPr>
          <w:ilvl w:val="-1"/>
          <w:numId w:val="0"/>
        </w:numPr>
        <w:adjustRightInd w:val="0"/>
        <w:snapToGrid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lang w:eastAsia="zh-CN"/>
        </w:rPr>
        <w:t>其他费用</w:t>
      </w:r>
    </w:p>
    <w:p>
      <w:pPr>
        <w:pStyle w:val="2"/>
        <w:numPr>
          <w:ilvl w:val="-1"/>
          <w:numId w:val="0"/>
        </w:numPr>
        <w:adjustRightInd w:val="0"/>
        <w:snapToGrid w:val="0"/>
        <w:spacing w:line="560" w:lineRule="exact"/>
        <w:ind w:firstLine="640" w:firstLineChars="0"/>
        <w:rPr>
          <w:rFonts w:hint="default" w:ascii="Calibri" w:hAnsi="Calibri" w:eastAsia="宋体" w:cs="Times New Roman"/>
          <w:color w:val="auto"/>
          <w:sz w:val="32"/>
          <w:szCs w:val="32"/>
          <w:highlight w:val="none"/>
        </w:rPr>
      </w:pPr>
      <w:r>
        <w:rPr>
          <w:rFonts w:hint="default" w:ascii="仿宋_GB2312" w:hAnsi="仿宋_GB2312" w:eastAsia="仿宋_GB2312" w:cs="仿宋_GB2312"/>
          <w:color w:val="auto"/>
          <w:sz w:val="32"/>
          <w:szCs w:val="32"/>
          <w:highlight w:val="none"/>
        </w:rPr>
        <w:t>创新型产业用房产权移交至区产业主管部门后，在未委托日常运营管理机构进行管理的过渡期内所产生的必要费用，由区产业主管部门按程序向区财政部门申请</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如因产业发展需要变更创新型产业用房日常运营管理机构的，应结合项目运营管理工作实际情况结算有关费用。</w:t>
      </w:r>
      <w:bookmarkStart w:id="0" w:name="_GoBack"/>
      <w:bookmarkEnd w:id="0"/>
    </w:p>
    <w:sectPr>
      <w:footerReference r:id="rId3" w:type="default"/>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004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Verdana">
    <w:altName w:val="Ubuntu Light"/>
    <w:panose1 w:val="020B0604030005040204"/>
    <w:charset w:val="00"/>
    <w:family w:val="swiss"/>
    <w:pitch w:val="default"/>
    <w:sig w:usb0="00000000" w:usb1="00000000" w:usb2="00000010" w:usb3="00000000" w:csb0="0000019F" w:csb1="00000000"/>
  </w:font>
  <w:font w:name="Ubuntu Light">
    <w:panose1 w:val="020B0604030602030204"/>
    <w:charset w:val="00"/>
    <w:family w:val="auto"/>
    <w:pitch w:val="default"/>
    <w:sig w:usb0="E00002FF" w:usb1="5000205B" w:usb2="00000000" w:usb3="00000000" w:csb0="2000009F" w:csb1="5601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0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C5dblS0AAAAAUBAAAPAAAAAAAA&#10;AAEAIAAAADgAAABkcnMvZG93bnJldi54bWxQSwECFAAUAAAACACHTuJAEKTERMsBAACSAwAADgAA&#10;AAAAAAABACAAAAA1AQAAZHJzL2Uyb0RvYy54bWxQSwUGAAAAAAYABgBZAQAAcgUAAAAA&#10;">
              <v:fill on="f" focussize="0,0"/>
              <v:stroke on="f"/>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jc w:val="center"/>
                          </w:pPr>
                        </w:p>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uXW5UtAAAAAFAQAADwAAAAAAAAAB&#10;ACAAAAA4AAAAZHJzL2Rvd25yZXYueG1sUEsBAhQAFAAAAAgAh07iQPEb63XJAQAAkgMAAA4AAAAA&#10;AAAAAQAgAAAANQEAAGRycy9lMm9Eb2MueG1sUEsFBgAAAAAGAAYAWQEAAHAFAAAAAA==&#10;">
              <v:fill on="f" focussize="0,0"/>
              <v:stroke on="f"/>
              <v:imagedata o:title=""/>
              <o:lock v:ext="edit" aspectratio="f"/>
              <v:textbox inset="0mm,0mm,0mm,0mm" style="mso-fit-shape-to-text:t;">
                <w:txbxContent>
                  <w:p>
                    <w:pPr>
                      <w:pStyle w:val="4"/>
                      <w:jc w:val="center"/>
                    </w:pPr>
                  </w:p>
                  <w:p/>
                </w:txbxContent>
              </v:textbox>
            </v:rect>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999648"/>
    <w:rsid w:val="24DD208B"/>
    <w:rsid w:val="2AA5B78D"/>
    <w:rsid w:val="3BADBFD2"/>
    <w:rsid w:val="3FEE8AB9"/>
    <w:rsid w:val="59BDEC88"/>
    <w:rsid w:val="5FFF5B34"/>
    <w:rsid w:val="64E14A3F"/>
    <w:rsid w:val="6F5B647E"/>
    <w:rsid w:val="6F5B8E47"/>
    <w:rsid w:val="6FFBCDBF"/>
    <w:rsid w:val="72FF1537"/>
    <w:rsid w:val="7E0743E4"/>
    <w:rsid w:val="7F4F4D6D"/>
    <w:rsid w:val="7FD560E4"/>
    <w:rsid w:val="7FDF8E7D"/>
    <w:rsid w:val="A9BF21F8"/>
    <w:rsid w:val="BEFB4F7B"/>
    <w:rsid w:val="D4F95D45"/>
    <w:rsid w:val="D5F7B8CA"/>
    <w:rsid w:val="F66F6414"/>
    <w:rsid w:val="F71F71C3"/>
    <w:rsid w:val="F7EF59C7"/>
    <w:rsid w:val="F7F8955D"/>
    <w:rsid w:val="FBF8E4C7"/>
    <w:rsid w:val="FBFD3B09"/>
    <w:rsid w:val="FEFF3297"/>
    <w:rsid w:val="FFDD10F4"/>
    <w:rsid w:val="FFF7E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customStyle="1" w:styleId="2">
    <w:name w:val="段落文字"/>
    <w:basedOn w:val="1"/>
    <w:qFormat/>
    <w:uiPriority w:val="34"/>
    <w:pPr>
      <w:adjustRightInd w:val="0"/>
      <w:snapToGrid w:val="0"/>
      <w:spacing w:line="360" w:lineRule="auto"/>
      <w:ind w:firstLine="200" w:firstLineChars="200"/>
      <w:jc w:val="left"/>
    </w:pPr>
    <w:rPr>
      <w:rFonts w:ascii="Times New Roman" w:hAnsi="Times New Roman"/>
      <w:sz w:val="24"/>
    </w:rPr>
  </w:style>
  <w:style w:type="paragraph" w:styleId="3">
    <w:name w:val="Balloon Text"/>
    <w:basedOn w:val="1"/>
    <w:link w:val="16"/>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customStyle="1" w:styleId="10">
    <w:name w:val="Char Char Char"/>
    <w:basedOn w:val="1"/>
    <w:qFormat/>
    <w:uiPriority w:val="0"/>
    <w:rPr>
      <w:rFonts w:eastAsia="宋体"/>
      <w:szCs w:val="24"/>
    </w:rPr>
  </w:style>
  <w:style w:type="paragraph" w:customStyle="1" w:styleId="11">
    <w:name w:val="Char Char Char Char Char Char 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2">
    <w:name w:val="列出段落1"/>
    <w:basedOn w:val="1"/>
    <w:qFormat/>
    <w:uiPriority w:val="34"/>
    <w:pPr>
      <w:ind w:firstLine="420" w:firstLineChars="200"/>
    </w:p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paragraph" w:customStyle="1" w:styleId="15">
    <w:name w:val="列出段落11"/>
    <w:basedOn w:val="1"/>
    <w:qFormat/>
    <w:uiPriority w:val="34"/>
    <w:pPr>
      <w:ind w:firstLine="420" w:firstLineChars="200"/>
    </w:pPr>
    <w:rPr>
      <w:rFonts w:ascii="Times New Roman" w:hAnsi="Times New Roman" w:eastAsia="宋体" w:cs="Times New Roman"/>
    </w:rPr>
  </w:style>
  <w:style w:type="character" w:customStyle="1" w:styleId="16">
    <w:name w:val="批注框文本 Char"/>
    <w:basedOn w:val="8"/>
    <w:link w:val="3"/>
    <w:qFormat/>
    <w:uiPriority w:val="99"/>
    <w:rPr>
      <w:sz w:val="18"/>
      <w:szCs w:val="18"/>
    </w:rPr>
  </w:style>
  <w:style w:type="character" w:customStyle="1" w:styleId="17">
    <w:name w:val="NormalCharacter"/>
    <w:qFormat/>
    <w:uiPriority w:val="0"/>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Pages>
  <Words>1347</Words>
  <Characters>1383</Characters>
  <Paragraphs>47</Paragraphs>
  <TotalTime>32</TotalTime>
  <ScaleCrop>false</ScaleCrop>
  <LinksUpToDate>false</LinksUpToDate>
  <CharactersWithSpaces>1390</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2023-04-20T03:15:00Z</dcterms:created>
  <dc:creator>黄伟</dc:creator>
  <cp:lastModifiedBy>办公室核稿</cp:lastModifiedBy>
  <cp:lastPrinted>2023-07-26T03:03:00Z</cp:lastPrinted>
  <dcterms:modified xsi:type="dcterms:W3CDTF">2024-01-26T15:06:32Z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A33C97332D7E47F0A61870B535346A39</vt:lpwstr>
  </property>
</Properties>
</file>