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snapToGrid w:val="0"/>
        <w:spacing w:line="360" w:lineRule="auto"/>
        <w:jc w:val="left"/>
        <w:outlineLvl w:val="1"/>
        <w:rPr>
          <w:rFonts w:hint="eastAsia" w:ascii="黑体" w:hAnsi="仿宋" w:eastAsia="黑体"/>
          <w:bCs/>
          <w:kern w:val="0"/>
          <w:lang w:eastAsia="zh-CN"/>
        </w:rPr>
      </w:pPr>
      <w:bookmarkStart w:id="1" w:name="_GoBack"/>
      <w:bookmarkEnd w:id="1"/>
      <w:bookmarkStart w:id="0" w:name="_Toc463778243"/>
      <w:r>
        <w:rPr>
          <w:rFonts w:ascii="黑体" w:hAnsi="仿宋" w:eastAsia="黑体"/>
          <w:bCs/>
          <w:kern w:val="0"/>
        </w:rPr>
        <w:t>附件</w:t>
      </w:r>
      <w:bookmarkEnd w:id="0"/>
      <w:r>
        <w:rPr>
          <w:rFonts w:hint="eastAsia" w:ascii="黑体" w:hAnsi="仿宋" w:eastAsia="黑体"/>
          <w:bCs/>
          <w:kern w:val="0"/>
          <w:lang w:val="en-US" w:eastAsia="zh-CN"/>
        </w:rPr>
        <w:t>1</w:t>
      </w:r>
    </w:p>
    <w:p>
      <w:pPr>
        <w:spacing w:line="360" w:lineRule="auto"/>
        <w:ind w:firstLine="420"/>
        <w:jc w:val="center"/>
        <w:rPr>
          <w:rFonts w:hint="eastAsia" w:eastAsia="仿宋"/>
          <w:b/>
          <w:color w:val="auto"/>
          <w:kern w:val="0"/>
          <w:sz w:val="24"/>
        </w:rPr>
      </w:pPr>
      <w:r>
        <w:rPr>
          <w:rFonts w:hint="eastAsia" w:ascii="宋体" w:hAnsi="宋体" w:eastAsia="宋体"/>
          <w:b/>
          <w:color w:val="auto"/>
          <w:sz w:val="44"/>
          <w:szCs w:val="44"/>
        </w:rPr>
        <w:t>龙岗区20</w:t>
      </w:r>
      <w:r>
        <w:rPr>
          <w:rFonts w:hint="eastAsia" w:ascii="宋体" w:hAnsi="宋体" w:eastAsia="宋体"/>
          <w:b/>
          <w:color w:val="auto"/>
          <w:sz w:val="44"/>
          <w:szCs w:val="44"/>
          <w:lang w:val="en-US" w:eastAsia="zh-CN"/>
        </w:rPr>
        <w:t>24</w:t>
      </w:r>
      <w:r>
        <w:rPr>
          <w:rFonts w:hint="eastAsia" w:ascii="宋体" w:hAnsi="宋体" w:eastAsia="宋体"/>
          <w:b/>
          <w:color w:val="auto"/>
          <w:sz w:val="44"/>
          <w:szCs w:val="44"/>
        </w:rPr>
        <w:t>年重大项目基本申报条件</w:t>
      </w:r>
    </w:p>
    <w:tbl>
      <w:tblPr>
        <w:tblStyle w:val="6"/>
        <w:tblW w:w="85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9"/>
        <w:gridCol w:w="1249"/>
        <w:gridCol w:w="4547"/>
        <w:gridCol w:w="1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249" w:type="dxa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分类</w:t>
            </w:r>
          </w:p>
        </w:tc>
        <w:tc>
          <w:tcPr>
            <w:tcW w:w="1249" w:type="dxa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行业分类</w:t>
            </w:r>
          </w:p>
        </w:tc>
        <w:tc>
          <w:tcPr>
            <w:tcW w:w="4547" w:type="dxa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包含领域</w:t>
            </w:r>
          </w:p>
        </w:tc>
        <w:tc>
          <w:tcPr>
            <w:tcW w:w="1474" w:type="dxa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申报条件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9" w:type="dxa"/>
            <w:vMerge w:val="restart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现代产业项目</w:t>
            </w:r>
          </w:p>
        </w:tc>
        <w:tc>
          <w:tcPr>
            <w:tcW w:w="1249" w:type="dxa"/>
            <w:vMerge w:val="restart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战略性新兴产业</w:t>
            </w:r>
          </w:p>
        </w:tc>
        <w:tc>
          <w:tcPr>
            <w:tcW w:w="4547" w:type="dxa"/>
            <w:vAlign w:val="center"/>
          </w:tcPr>
          <w:p>
            <w:pPr>
              <w:spacing w:before="100" w:beforeAutospacing="1" w:after="100" w:afterAutospacing="1" w:line="380" w:lineRule="exact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新一代信息技术、高端装备制造、绿色低碳、生物医药、数字经济、新材料、海洋经济</w:t>
            </w:r>
          </w:p>
        </w:tc>
        <w:tc>
          <w:tcPr>
            <w:tcW w:w="1474" w:type="dxa"/>
            <w:vMerge w:val="restart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原则上要求总投资1亿元及以上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  <w:vMerge w:val="continue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547" w:type="dxa"/>
            <w:vAlign w:val="center"/>
          </w:tcPr>
          <w:p>
            <w:pPr>
              <w:spacing w:before="100" w:beforeAutospacing="1" w:after="100" w:afterAutospacing="1" w:line="38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重大科技基础设施、基础研究机构、诺贝尔奖科学家实验室、制造业创新中心、生产性服务业公共服务平台、“双创”示范基地等</w:t>
            </w:r>
          </w:p>
        </w:tc>
        <w:tc>
          <w:tcPr>
            <w:tcW w:w="1474" w:type="dxa"/>
            <w:vMerge w:val="continue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49" w:type="dxa"/>
            <w:vMerge w:val="restart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先进制造业和优势传统产业</w:t>
            </w:r>
          </w:p>
        </w:tc>
        <w:tc>
          <w:tcPr>
            <w:tcW w:w="4547" w:type="dxa"/>
            <w:vAlign w:val="center"/>
          </w:tcPr>
          <w:p>
            <w:pPr>
              <w:spacing w:before="100" w:beforeAutospacing="1" w:after="100" w:afterAutospacing="1" w:line="38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航空航天、海工装备、汽车零部件、汽车电子、精细化工、芯片制造、光电显示</w:t>
            </w:r>
          </w:p>
        </w:tc>
        <w:tc>
          <w:tcPr>
            <w:tcW w:w="1474" w:type="dxa"/>
            <w:vMerge w:val="continue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49" w:type="dxa"/>
            <w:vMerge w:val="continue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4547" w:type="dxa"/>
            <w:vAlign w:val="center"/>
          </w:tcPr>
          <w:p>
            <w:pPr>
              <w:spacing w:before="100" w:beforeAutospacing="1" w:after="100" w:afterAutospacing="1" w:line="38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汽车整车、船舶制造</w:t>
            </w:r>
          </w:p>
        </w:tc>
        <w:tc>
          <w:tcPr>
            <w:tcW w:w="1474" w:type="dxa"/>
            <w:vMerge w:val="continue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49" w:type="dxa"/>
            <w:vMerge w:val="continue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4547" w:type="dxa"/>
            <w:vAlign w:val="center"/>
          </w:tcPr>
          <w:p>
            <w:pPr>
              <w:spacing w:before="100" w:beforeAutospacing="1" w:after="100" w:afterAutospacing="1" w:line="38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黄金珠宝、钟表、服装、眼镜、家具等</w:t>
            </w:r>
          </w:p>
        </w:tc>
        <w:tc>
          <w:tcPr>
            <w:tcW w:w="1474" w:type="dxa"/>
            <w:vMerge w:val="continue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49" w:type="dxa"/>
            <w:vMerge w:val="restart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现代服务业</w:t>
            </w:r>
          </w:p>
        </w:tc>
        <w:tc>
          <w:tcPr>
            <w:tcW w:w="4547" w:type="dxa"/>
            <w:vAlign w:val="center"/>
          </w:tcPr>
          <w:p>
            <w:pPr>
              <w:spacing w:before="100" w:beforeAutospacing="1" w:after="100" w:afterAutospacing="1" w:line="38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旅游、商贸会展、现代物流业</w:t>
            </w:r>
          </w:p>
        </w:tc>
        <w:tc>
          <w:tcPr>
            <w:tcW w:w="1474" w:type="dxa"/>
            <w:vMerge w:val="continue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49" w:type="dxa"/>
            <w:vMerge w:val="continue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4547" w:type="dxa"/>
            <w:vAlign w:val="center"/>
          </w:tcPr>
          <w:p>
            <w:pPr>
              <w:spacing w:before="100" w:beforeAutospacing="1" w:after="100" w:afterAutospacing="1" w:line="38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现代金融、软件和信息服务业、科学研究和技术服务业、租赁和商务服务业、专业服务业</w:t>
            </w:r>
          </w:p>
        </w:tc>
        <w:tc>
          <w:tcPr>
            <w:tcW w:w="1474" w:type="dxa"/>
            <w:vMerge w:val="continue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49" w:type="dxa"/>
            <w:vMerge w:val="continue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4547" w:type="dxa"/>
            <w:vAlign w:val="center"/>
          </w:tcPr>
          <w:p>
            <w:pPr>
              <w:spacing w:before="100" w:beforeAutospacing="1" w:after="100" w:afterAutospacing="1" w:line="38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总部经济</w:t>
            </w:r>
          </w:p>
        </w:tc>
        <w:tc>
          <w:tcPr>
            <w:tcW w:w="1474" w:type="dxa"/>
            <w:vMerge w:val="continue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249" w:type="dxa"/>
            <w:vMerge w:val="restart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基础设施项目</w:t>
            </w:r>
          </w:p>
        </w:tc>
        <w:tc>
          <w:tcPr>
            <w:tcW w:w="1249" w:type="dxa"/>
            <w:vMerge w:val="restart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轨道交通</w:t>
            </w:r>
          </w:p>
        </w:tc>
        <w:tc>
          <w:tcPr>
            <w:tcW w:w="4547" w:type="dxa"/>
            <w:vAlign w:val="center"/>
          </w:tcPr>
          <w:p>
            <w:pPr>
              <w:spacing w:before="100" w:beforeAutospacing="1" w:after="100" w:afterAutospacing="1" w:line="38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国家铁路、城际和城市轨道交通</w:t>
            </w:r>
          </w:p>
        </w:tc>
        <w:tc>
          <w:tcPr>
            <w:tcW w:w="1474" w:type="dxa"/>
            <w:vMerge w:val="restart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原则上要求总投资1亿元及以上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249" w:type="dxa"/>
            <w:vMerge w:val="continue"/>
          </w:tcPr>
          <w:p>
            <w:pPr>
              <w:spacing w:before="100" w:beforeAutospacing="1" w:after="100" w:afterAutospacing="1" w:line="3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  <w:vMerge w:val="continue"/>
          </w:tcPr>
          <w:p>
            <w:pPr>
              <w:spacing w:before="100" w:beforeAutospacing="1" w:after="100" w:afterAutospacing="1" w:line="3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547" w:type="dxa"/>
            <w:vAlign w:val="center"/>
          </w:tcPr>
          <w:p>
            <w:pPr>
              <w:spacing w:before="100" w:beforeAutospacing="1" w:after="100" w:afterAutospacing="1" w:line="38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综合交通枢纽及配套</w:t>
            </w:r>
          </w:p>
        </w:tc>
        <w:tc>
          <w:tcPr>
            <w:tcW w:w="1474" w:type="dxa"/>
            <w:vMerge w:val="continue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249" w:type="dxa"/>
            <w:vMerge w:val="continue"/>
          </w:tcPr>
          <w:p>
            <w:pPr>
              <w:spacing w:before="100" w:beforeAutospacing="1" w:after="100" w:afterAutospacing="1" w:line="3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  <w:vMerge w:val="continue"/>
          </w:tcPr>
          <w:p>
            <w:pPr>
              <w:spacing w:before="100" w:beforeAutospacing="1" w:after="100" w:afterAutospacing="1" w:line="3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547" w:type="dxa"/>
            <w:vAlign w:val="center"/>
          </w:tcPr>
          <w:p>
            <w:pPr>
              <w:spacing w:before="100" w:beforeAutospacing="1" w:after="100" w:afterAutospacing="1" w:line="38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中小运量轨道交通系统（有轨电车等）</w:t>
            </w:r>
          </w:p>
        </w:tc>
        <w:tc>
          <w:tcPr>
            <w:tcW w:w="1474" w:type="dxa"/>
            <w:vMerge w:val="continue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  <w:vMerge w:val="restart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道路机场港口</w:t>
            </w:r>
          </w:p>
        </w:tc>
        <w:tc>
          <w:tcPr>
            <w:tcW w:w="4547" w:type="dxa"/>
            <w:vAlign w:val="center"/>
          </w:tcPr>
          <w:p>
            <w:pPr>
              <w:spacing w:before="100" w:beforeAutospacing="1" w:after="100" w:afterAutospacing="1" w:line="38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新建、改扩建机场，万吨级集装箱专用码头、年吞吐量200万吨的散货码头、年旅客通过能力500万人次以上的客运码头，通行10万吨级以上船只的新建航道及航道整治</w:t>
            </w:r>
          </w:p>
        </w:tc>
        <w:tc>
          <w:tcPr>
            <w:tcW w:w="1474" w:type="dxa"/>
            <w:vMerge w:val="continue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3" w:hRule="atLeast"/>
          <w:jc w:val="center"/>
        </w:trPr>
        <w:tc>
          <w:tcPr>
            <w:tcW w:w="1249" w:type="dxa"/>
            <w:vMerge w:val="continue"/>
          </w:tcPr>
          <w:p>
            <w:pPr>
              <w:spacing w:before="100" w:beforeAutospacing="1" w:after="100" w:afterAutospacing="1" w:line="3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  <w:vMerge w:val="continue"/>
          </w:tcPr>
          <w:p>
            <w:pPr>
              <w:spacing w:before="100" w:beforeAutospacing="1" w:after="100" w:afterAutospacing="1" w:line="3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547" w:type="dxa"/>
            <w:vAlign w:val="center"/>
          </w:tcPr>
          <w:p>
            <w:pPr>
              <w:spacing w:before="100" w:beforeAutospacing="1" w:after="100" w:afterAutospacing="1" w:line="38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城市高快速路网、干线性主干道、国道、省道等道路工程，重要过境口岸、全市性综合交通枢纽场站，跨境、跨区域和城市的重要桥梁及隧道工程</w:t>
            </w:r>
          </w:p>
        </w:tc>
        <w:tc>
          <w:tcPr>
            <w:tcW w:w="1474" w:type="dxa"/>
            <w:vMerge w:val="restart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原则上要求总投资1亿元及以上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  <w:vMerge w:val="restart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城市安全环境资源</w:t>
            </w:r>
          </w:p>
        </w:tc>
        <w:tc>
          <w:tcPr>
            <w:tcW w:w="4547" w:type="dxa"/>
            <w:vAlign w:val="center"/>
          </w:tcPr>
          <w:p>
            <w:pPr>
              <w:spacing w:before="100" w:beforeAutospacing="1" w:after="100" w:afterAutospacing="1" w:line="38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公共安全工程项目</w:t>
            </w:r>
          </w:p>
        </w:tc>
        <w:tc>
          <w:tcPr>
            <w:tcW w:w="1474" w:type="dxa"/>
            <w:vMerge w:val="continue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249" w:type="dxa"/>
            <w:vMerge w:val="continue"/>
          </w:tcPr>
          <w:p>
            <w:pPr>
              <w:spacing w:before="100" w:beforeAutospacing="1" w:after="100" w:afterAutospacing="1" w:line="3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  <w:vMerge w:val="continue"/>
          </w:tcPr>
          <w:p>
            <w:pPr>
              <w:spacing w:before="100" w:beforeAutospacing="1" w:after="100" w:afterAutospacing="1" w:line="3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547" w:type="dxa"/>
            <w:vAlign w:val="center"/>
          </w:tcPr>
          <w:p>
            <w:pPr>
              <w:spacing w:before="100" w:beforeAutospacing="1" w:after="100" w:afterAutospacing="1" w:line="38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石油和天然气的接收、储存、输送工程</w:t>
            </w:r>
          </w:p>
        </w:tc>
        <w:tc>
          <w:tcPr>
            <w:tcW w:w="1474" w:type="dxa"/>
            <w:vMerge w:val="continue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249" w:type="dxa"/>
            <w:vMerge w:val="continue"/>
          </w:tcPr>
          <w:p>
            <w:pPr>
              <w:spacing w:before="100" w:beforeAutospacing="1" w:after="100" w:afterAutospacing="1" w:line="3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  <w:vMerge w:val="continue"/>
          </w:tcPr>
          <w:p>
            <w:pPr>
              <w:spacing w:before="100" w:beforeAutospacing="1" w:after="100" w:afterAutospacing="1" w:line="3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547" w:type="dxa"/>
            <w:vAlign w:val="center"/>
          </w:tcPr>
          <w:p>
            <w:pPr>
              <w:spacing w:before="100" w:beforeAutospacing="1" w:after="100" w:afterAutospacing="1" w:line="38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电厂、输变电建设工程和电网改造工程</w:t>
            </w:r>
          </w:p>
        </w:tc>
        <w:tc>
          <w:tcPr>
            <w:tcW w:w="1474" w:type="dxa"/>
            <w:vMerge w:val="continue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249" w:type="dxa"/>
            <w:vMerge w:val="continue"/>
          </w:tcPr>
          <w:p>
            <w:pPr>
              <w:spacing w:before="100" w:beforeAutospacing="1" w:after="100" w:afterAutospacing="1" w:line="3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  <w:vMerge w:val="continue"/>
          </w:tcPr>
          <w:p>
            <w:pPr>
              <w:spacing w:before="100" w:beforeAutospacing="1" w:after="100" w:afterAutospacing="1" w:line="3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547" w:type="dxa"/>
            <w:vAlign w:val="center"/>
          </w:tcPr>
          <w:p>
            <w:pPr>
              <w:spacing w:before="100" w:beforeAutospacing="1" w:after="100" w:afterAutospacing="1" w:line="38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废物再利用和资源化项目</w:t>
            </w:r>
          </w:p>
        </w:tc>
        <w:tc>
          <w:tcPr>
            <w:tcW w:w="1474" w:type="dxa"/>
            <w:vMerge w:val="continue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249" w:type="dxa"/>
            <w:vMerge w:val="continue"/>
          </w:tcPr>
          <w:p>
            <w:pPr>
              <w:spacing w:before="100" w:beforeAutospacing="1" w:after="100" w:afterAutospacing="1" w:line="3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  <w:vMerge w:val="continue"/>
          </w:tcPr>
          <w:p>
            <w:pPr>
              <w:spacing w:before="100" w:beforeAutospacing="1" w:after="100" w:afterAutospacing="1" w:line="3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547" w:type="dxa"/>
            <w:vAlign w:val="center"/>
          </w:tcPr>
          <w:p>
            <w:pPr>
              <w:spacing w:before="100" w:beforeAutospacing="1" w:after="100" w:afterAutospacing="1" w:line="38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河流整治、污水处理厂及其配套管网、截污和排水管网、水库、水厂、引水工程</w:t>
            </w:r>
          </w:p>
        </w:tc>
        <w:tc>
          <w:tcPr>
            <w:tcW w:w="1474" w:type="dxa"/>
            <w:vMerge w:val="continue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249" w:type="dxa"/>
            <w:vMerge w:val="continue"/>
          </w:tcPr>
          <w:p>
            <w:pPr>
              <w:spacing w:before="100" w:beforeAutospacing="1" w:after="100" w:afterAutospacing="1" w:line="3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  <w:vMerge w:val="continue"/>
          </w:tcPr>
          <w:p>
            <w:pPr>
              <w:spacing w:before="100" w:beforeAutospacing="1" w:after="100" w:afterAutospacing="1" w:line="3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547" w:type="dxa"/>
            <w:vAlign w:val="center"/>
          </w:tcPr>
          <w:p>
            <w:pPr>
              <w:spacing w:before="100" w:beforeAutospacing="1" w:after="100" w:afterAutospacing="1" w:line="38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可再生能源利用和开发（风能、太阳能、水能、生物质能、海洋能等非化石能源）</w:t>
            </w:r>
          </w:p>
        </w:tc>
        <w:tc>
          <w:tcPr>
            <w:tcW w:w="1474" w:type="dxa"/>
            <w:vMerge w:val="continue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249" w:type="dxa"/>
            <w:vMerge w:val="continue"/>
          </w:tcPr>
          <w:p>
            <w:pPr>
              <w:spacing w:before="100" w:beforeAutospacing="1" w:after="100" w:afterAutospacing="1" w:line="3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  <w:vMerge w:val="continue"/>
          </w:tcPr>
          <w:p>
            <w:pPr>
              <w:spacing w:before="100" w:beforeAutospacing="1" w:after="100" w:afterAutospacing="1" w:line="3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547" w:type="dxa"/>
            <w:vAlign w:val="center"/>
          </w:tcPr>
          <w:p>
            <w:pPr>
              <w:spacing w:before="100" w:beforeAutospacing="1" w:after="100" w:afterAutospacing="1" w:line="38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生活垃圾处理项目、余泥渣土受纳场项目、海绵城市项目、综合管廊项目</w:t>
            </w:r>
          </w:p>
        </w:tc>
        <w:tc>
          <w:tcPr>
            <w:tcW w:w="1474" w:type="dxa"/>
            <w:vMerge w:val="continue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249" w:type="dxa"/>
            <w:vMerge w:val="restart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民生改善项目</w:t>
            </w:r>
          </w:p>
        </w:tc>
        <w:tc>
          <w:tcPr>
            <w:tcW w:w="1249" w:type="dxa"/>
            <w:vMerge w:val="restart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社会民生</w:t>
            </w:r>
          </w:p>
        </w:tc>
        <w:tc>
          <w:tcPr>
            <w:tcW w:w="4547" w:type="dxa"/>
            <w:tcBorders>
              <w:bottom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8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医疗、卫生、教育、民政、气象、文体、公园</w:t>
            </w:r>
          </w:p>
        </w:tc>
        <w:tc>
          <w:tcPr>
            <w:tcW w:w="1474" w:type="dxa"/>
            <w:vMerge w:val="restart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社会民生类项目，原则上要求总投资5000万元及以上；城市更新类项目，原则上要求总投资1亿元及以上、完成实施主体确认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49" w:type="dxa"/>
            <w:vMerge w:val="continue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4547" w:type="dxa"/>
            <w:vAlign w:val="center"/>
          </w:tcPr>
          <w:p>
            <w:pPr>
              <w:spacing w:before="100" w:beforeAutospacing="1" w:after="100" w:afterAutospacing="1" w:line="38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人才住房和保障性住房（纯安居工程项目）</w:t>
            </w:r>
          </w:p>
        </w:tc>
        <w:tc>
          <w:tcPr>
            <w:tcW w:w="1474" w:type="dxa"/>
            <w:vMerge w:val="continue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49" w:type="dxa"/>
            <w:vMerge w:val="continue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4547" w:type="dxa"/>
            <w:vAlign w:val="center"/>
          </w:tcPr>
          <w:p>
            <w:pPr>
              <w:spacing w:before="100" w:beforeAutospacing="1" w:after="100" w:afterAutospacing="1" w:line="380" w:lineRule="exac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电信网、广播电视网、互联网</w:t>
            </w:r>
            <w:r>
              <w:rPr>
                <w:rFonts w:hint="eastAsia"/>
                <w:kern w:val="0"/>
                <w:sz w:val="24"/>
                <w:szCs w:val="24"/>
              </w:rPr>
              <w:t>建设及升级改造，三网融合工程，有利于提高</w:t>
            </w:r>
            <w:r>
              <w:rPr>
                <w:kern w:val="0"/>
                <w:sz w:val="24"/>
                <w:szCs w:val="24"/>
              </w:rPr>
              <w:t>公共服务</w:t>
            </w:r>
            <w:r>
              <w:rPr>
                <w:rFonts w:hint="eastAsia"/>
                <w:kern w:val="0"/>
                <w:sz w:val="24"/>
                <w:szCs w:val="24"/>
              </w:rPr>
              <w:t>水平的智慧应用</w:t>
            </w:r>
          </w:p>
        </w:tc>
        <w:tc>
          <w:tcPr>
            <w:tcW w:w="1474" w:type="dxa"/>
            <w:vMerge w:val="continue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1" w:hRule="atLeas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城市更新</w:t>
            </w:r>
          </w:p>
        </w:tc>
        <w:tc>
          <w:tcPr>
            <w:tcW w:w="4547" w:type="dxa"/>
            <w:vAlign w:val="center"/>
          </w:tcPr>
          <w:p>
            <w:pPr>
              <w:spacing w:before="100" w:beforeAutospacing="1" w:after="100" w:afterAutospacing="1" w:line="38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符合《深圳市城市更新办法》和《深圳市城市更新办法实施细则》有关规定，且已列入深圳市城市更新单元计划并完成实施主体确认、拟拆除重建用地面积3万平方米以上的城市更新建设项目。</w:t>
            </w:r>
          </w:p>
        </w:tc>
        <w:tc>
          <w:tcPr>
            <w:tcW w:w="1474" w:type="dxa"/>
            <w:vMerge w:val="continue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kern w:val="0"/>
                <w:sz w:val="24"/>
                <w:szCs w:val="24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510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17081547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isplayBackgroundShape w:val="1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C42"/>
    <w:rsid w:val="00012521"/>
    <w:rsid w:val="0022240E"/>
    <w:rsid w:val="00325248"/>
    <w:rsid w:val="00343ABD"/>
    <w:rsid w:val="00352634"/>
    <w:rsid w:val="003A0A23"/>
    <w:rsid w:val="00424428"/>
    <w:rsid w:val="004E1794"/>
    <w:rsid w:val="006A54D9"/>
    <w:rsid w:val="00850B56"/>
    <w:rsid w:val="008A03B6"/>
    <w:rsid w:val="00A25C1D"/>
    <w:rsid w:val="00B1650A"/>
    <w:rsid w:val="00BF1DD6"/>
    <w:rsid w:val="00DD4C42"/>
    <w:rsid w:val="00E005D8"/>
    <w:rsid w:val="056B256B"/>
    <w:rsid w:val="0C6B1B09"/>
    <w:rsid w:val="2A57322B"/>
    <w:rsid w:val="398F5C1F"/>
    <w:rsid w:val="563936AB"/>
    <w:rsid w:val="5C110795"/>
    <w:rsid w:val="5E56435E"/>
    <w:rsid w:val="730876FC"/>
    <w:rsid w:val="7918064C"/>
    <w:rsid w:val="7E7E2D29"/>
    <w:rsid w:val="7EEA6A45"/>
    <w:rsid w:val="D5DFF820"/>
    <w:rsid w:val="FDF9F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Times" w:eastAsia="仿宋_GB2312" w:cs="Times New Roman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rPr>
      <w:rFonts w:ascii="仿宋_GB2312" w:hAnsi="仿宋_GB2312" w:eastAsia="仿宋_GB2312" w:cs="仿宋_GB2312"/>
      <w:sz w:val="32"/>
      <w:szCs w:val="32"/>
      <w:lang w:val="zh-CN" w:bidi="zh-CN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link w:val="8"/>
    <w:qFormat/>
    <w:uiPriority w:val="10"/>
    <w:pPr>
      <w:spacing w:before="240" w:after="60"/>
      <w:jc w:val="center"/>
      <w:outlineLvl w:val="0"/>
    </w:pPr>
    <w:rPr>
      <w:rFonts w:ascii="Arial" w:hAnsi="Arial"/>
      <w:b/>
    </w:rPr>
  </w:style>
  <w:style w:type="character" w:customStyle="1" w:styleId="8">
    <w:name w:val="标题 Char"/>
    <w:basedOn w:val="7"/>
    <w:link w:val="5"/>
    <w:qFormat/>
    <w:uiPriority w:val="10"/>
    <w:rPr>
      <w:rFonts w:ascii="Arial" w:hAnsi="Arial" w:eastAsia="仿宋_GB2312" w:cs="Times New Roman"/>
      <w:b/>
      <w:sz w:val="32"/>
      <w:szCs w:val="32"/>
    </w:rPr>
  </w:style>
  <w:style w:type="character" w:customStyle="1" w:styleId="9">
    <w:name w:val="页眉 Char"/>
    <w:basedOn w:val="7"/>
    <w:link w:val="4"/>
    <w:qFormat/>
    <w:uiPriority w:val="99"/>
    <w:rPr>
      <w:rFonts w:ascii="仿宋_GB2312" w:hAnsi="Times" w:eastAsia="仿宋_GB2312" w:cs="Times New Roman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rFonts w:ascii="仿宋_GB2312" w:hAnsi="Times" w:eastAsia="仿宋_GB2312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156</Words>
  <Characters>893</Characters>
  <Lines>7</Lines>
  <Paragraphs>2</Paragraphs>
  <TotalTime>0</TotalTime>
  <ScaleCrop>false</ScaleCrop>
  <LinksUpToDate>false</LinksUpToDate>
  <CharactersWithSpaces>1047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2021-11-28T19:01:00Z</dcterms:created>
  <dc:creator>vivian</dc:creator>
  <cp:lastModifiedBy>萧小玉</cp:lastModifiedBy>
  <dcterms:modified xsi:type="dcterms:W3CDTF">2023-10-16T17:35:10Z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  <property fmtid="{D5CDD505-2E9C-101B-9397-08002B2CF9AE}" pid="3" name="ICV">
    <vt:lpwstr>9DCC1132858042F095005017EDD989B0</vt:lpwstr>
  </property>
</Properties>
</file>