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龙岗区</w:t>
      </w:r>
      <w:r>
        <w:rPr>
          <w:rFonts w:hint="eastAsia" w:ascii="方正小标宋简体" w:hAnsi="方正小标宋简体" w:eastAsia="方正小标宋简体" w:cs="方正小标宋简体"/>
          <w:sz w:val="44"/>
          <w:szCs w:val="44"/>
          <w:lang w:eastAsia="zh-CN"/>
        </w:rPr>
        <w:t>城市管理</w:t>
      </w:r>
      <w:r>
        <w:rPr>
          <w:rFonts w:hint="eastAsia" w:ascii="方正小标宋简体" w:hAnsi="方正小标宋简体" w:eastAsia="方正小标宋简体" w:cs="方正小标宋简体"/>
          <w:sz w:val="44"/>
          <w:szCs w:val="44"/>
        </w:rPr>
        <w:t>和综合执法局关于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行政调解事项目录的公示</w:t>
      </w:r>
    </w:p>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根据《深圳市行政调解实施办法（试行）》(深府〔2013〕109 号)《深圳市龙岗区行政调解实施办法（试行）》(深龙府规〔2021〕3 号)等有关规定，现将涉及我局职能的行政调解事项及行政调解所依据的法律、法规等内容公告如下：</w:t>
      </w:r>
    </w:p>
    <w:tbl>
      <w:tblPr>
        <w:tblStyle w:val="4"/>
        <w:tblpPr w:leftFromText="180" w:rightFromText="180" w:vertAnchor="text" w:horzAnchor="page" w:tblpX="1846" w:tblpY="466"/>
        <w:tblOverlap w:val="never"/>
        <w:tblW w:w="13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2250"/>
        <w:gridCol w:w="2265"/>
        <w:gridCol w:w="1875"/>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22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单位</w:t>
            </w: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调解组织名称</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行政调解事项</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依据</w:t>
            </w:r>
          </w:p>
        </w:tc>
        <w:tc>
          <w:tcPr>
            <w:tcW w:w="46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5" w:hRule="atLeast"/>
        </w:trPr>
        <w:tc>
          <w:tcPr>
            <w:tcW w:w="2280" w:type="dxa"/>
            <w:vAlign w:val="center"/>
          </w:tcPr>
          <w:p>
            <w:pPr>
              <w:keepNext w:val="0"/>
              <w:keepLines w:val="0"/>
              <w:pageBreakBefore w:val="0"/>
              <w:widowControl w:val="0"/>
              <w:tabs>
                <w:tab w:val="left" w:pos="49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龙岗区城市管理和综合执法局</w:t>
            </w:r>
          </w:p>
        </w:tc>
        <w:tc>
          <w:tcPr>
            <w:tcW w:w="2250" w:type="dxa"/>
            <w:vAlign w:val="center"/>
          </w:tcPr>
          <w:p>
            <w:pPr>
              <w:keepNext w:val="0"/>
              <w:keepLines w:val="0"/>
              <w:pageBreakBefore w:val="0"/>
              <w:widowControl w:val="0"/>
              <w:tabs>
                <w:tab w:val="left" w:pos="49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龙岗区城市管理和综合执法局行政调解小组</w:t>
            </w:r>
          </w:p>
        </w:tc>
        <w:tc>
          <w:tcPr>
            <w:tcW w:w="2265" w:type="dxa"/>
            <w:vAlign w:val="center"/>
          </w:tcPr>
          <w:p>
            <w:pPr>
              <w:keepNext w:val="0"/>
              <w:keepLines w:val="0"/>
              <w:pageBreakBefore w:val="0"/>
              <w:widowControl w:val="0"/>
              <w:tabs>
                <w:tab w:val="left" w:pos="49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城市管理和综合执法相关纠纷</w:t>
            </w:r>
          </w:p>
        </w:tc>
        <w:tc>
          <w:tcPr>
            <w:tcW w:w="1875" w:type="dxa"/>
            <w:vAlign w:val="top"/>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1.深圳市行 政调解实施 办法（试行）</w:t>
            </w:r>
          </w:p>
          <w:p>
            <w:pPr>
              <w:keepNext w:val="0"/>
              <w:keepLines w:val="0"/>
              <w:pageBreakBefore w:val="0"/>
              <w:widowControl w:val="0"/>
              <w:tabs>
                <w:tab w:val="left" w:pos="492"/>
              </w:tabs>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val="0"/>
              <w:tabs>
                <w:tab w:val="left" w:pos="492"/>
              </w:tabs>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val="0"/>
              <w:tabs>
                <w:tab w:val="left" w:pos="492"/>
              </w:tabs>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val="0"/>
              <w:tabs>
                <w:tab w:val="left" w:pos="492"/>
              </w:tabs>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val="0"/>
              <w:tabs>
                <w:tab w:val="left" w:pos="492"/>
              </w:tabs>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val="0"/>
              <w:tabs>
                <w:tab w:val="left" w:pos="492"/>
              </w:tabs>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val="0"/>
              <w:tabs>
                <w:tab w:val="left" w:pos="492"/>
              </w:tabs>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val="0"/>
              <w:tabs>
                <w:tab w:val="left" w:pos="492"/>
              </w:tabs>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2.</w:t>
            </w:r>
            <w:r>
              <w:rPr>
                <w:rFonts w:hint="eastAsia" w:ascii="仿宋_GB2312" w:hAnsi="仿宋_GB2312" w:eastAsia="仿宋_GB2312" w:cs="仿宋_GB2312"/>
                <w:kern w:val="0"/>
                <w:sz w:val="28"/>
                <w:szCs w:val="28"/>
                <w:lang w:val="en-US" w:eastAsia="zh-CN" w:bidi="ar"/>
              </w:rPr>
              <w:t>深圳市龙 岗区行政调 解实施办法 （试行)</w:t>
            </w:r>
          </w:p>
          <w:p>
            <w:pPr>
              <w:keepNext w:val="0"/>
              <w:keepLines w:val="0"/>
              <w:pageBreakBefore w:val="0"/>
              <w:widowControl w:val="0"/>
              <w:tabs>
                <w:tab w:val="left" w:pos="492"/>
              </w:tabs>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c>
          <w:tcPr>
            <w:tcW w:w="4620" w:type="dxa"/>
            <w:vAlign w:val="center"/>
          </w:tcPr>
          <w:p>
            <w:pPr>
              <w:keepNext w:val="0"/>
              <w:keepLines w:val="0"/>
              <w:pageBreakBefore w:val="0"/>
              <w:widowControl/>
              <w:numPr>
                <w:numId w:val="0"/>
              </w:numPr>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第三条：行政机关可以对下列争议进行调解：</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法律、法规规定由行政机关调解的公民、法人或者其他组织之间因</w:t>
            </w:r>
            <w:r>
              <w:rPr>
                <w:rFonts w:hint="default" w:ascii="Arial" w:hAnsi="Arial" w:eastAsia="仿宋_GB2312" w:cs="Arial"/>
                <w:kern w:val="0"/>
                <w:sz w:val="28"/>
                <w:szCs w:val="28"/>
                <w:lang w:val="en-US" w:eastAsia="zh-CN" w:bidi="ar"/>
              </w:rPr>
              <w:t>……</w:t>
            </w:r>
            <w:r>
              <w:rPr>
                <w:rFonts w:hint="eastAsia" w:ascii="仿宋_GB2312" w:hAnsi="仿宋_GB2312" w:eastAsia="仿宋_GB2312" w:cs="仿宋_GB2312"/>
                <w:kern w:val="0"/>
                <w:sz w:val="28"/>
                <w:szCs w:val="28"/>
                <w:lang w:val="en-US" w:eastAsia="zh-CN" w:bidi="ar"/>
              </w:rPr>
              <w:t>环境保护</w:t>
            </w:r>
            <w:r>
              <w:rPr>
                <w:rFonts w:hint="default" w:ascii="Arial" w:hAnsi="Arial" w:eastAsia="仿宋_GB2312" w:cs="Arial"/>
                <w:kern w:val="0"/>
                <w:sz w:val="28"/>
                <w:szCs w:val="28"/>
                <w:lang w:val="en-US" w:eastAsia="zh-CN" w:bidi="ar"/>
              </w:rPr>
              <w:t>……</w:t>
            </w:r>
            <w:r>
              <w:rPr>
                <w:rFonts w:hint="eastAsia" w:ascii="仿宋_GB2312" w:hAnsi="仿宋_GB2312" w:eastAsia="仿宋_GB2312" w:cs="仿宋_GB2312"/>
                <w:kern w:val="0"/>
                <w:sz w:val="28"/>
                <w:szCs w:val="28"/>
                <w:lang w:val="en-US" w:eastAsia="zh-CN" w:bidi="ar"/>
              </w:rPr>
              <w:t xml:space="preserve">劳动保障等事宜产生的争议；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80" w:lineRule="exact"/>
              <w:ind w:left="0" w:leftChars="0" w:firstLine="0" w:firstLineChars="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行政机关与公民、法人或者其他组织之间因行政补偿和具有行政管理特征的政府合同引发的争议；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Chars="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（三）其他依法可以进行调解的或市政府确定进行调解的争议。</w:t>
            </w:r>
          </w:p>
          <w:p>
            <w:pPr>
              <w:keepNext w:val="0"/>
              <w:keepLines w:val="0"/>
              <w:pageBreakBefore w:val="0"/>
              <w:widowControl/>
              <w:numPr>
                <w:numId w:val="0"/>
              </w:numPr>
              <w:suppressLineNumbers w:val="0"/>
              <w:kinsoku/>
              <w:wordWrap/>
              <w:overflowPunct/>
              <w:topLinePunct w:val="0"/>
              <w:autoSpaceDE/>
              <w:autoSpaceDN/>
              <w:bidi w:val="0"/>
              <w:adjustRightInd/>
              <w:snapToGrid/>
              <w:spacing w:line="380" w:lineRule="exact"/>
              <w:ind w:leftChars="0"/>
              <w:jc w:val="left"/>
              <w:textAlignment w:val="auto"/>
              <w:rPr>
                <w:rFonts w:hint="eastAsia" w:ascii="仿宋_GB2312" w:hAnsi="仿宋_GB2312" w:eastAsia="仿宋_GB2312" w:cs="仿宋_GB2312"/>
                <w:kern w:val="0"/>
                <w:sz w:val="28"/>
                <w:szCs w:val="28"/>
                <w:lang w:val="en-US" w:eastAsia="zh-CN" w:bidi="ar"/>
              </w:rPr>
            </w:pPr>
            <w:bookmarkStart w:id="0" w:name="_GoBack"/>
            <w:bookmarkEnd w:id="0"/>
          </w:p>
          <w:p>
            <w:pPr>
              <w:keepNext w:val="0"/>
              <w:keepLines w:val="0"/>
              <w:pageBreakBefore w:val="0"/>
              <w:widowControl/>
              <w:numPr>
                <w:numId w:val="0"/>
              </w:numPr>
              <w:suppressLineNumbers w:val="0"/>
              <w:kinsoku/>
              <w:wordWrap/>
              <w:overflowPunct/>
              <w:topLinePunct w:val="0"/>
              <w:autoSpaceDE/>
              <w:autoSpaceDN/>
              <w:bidi w:val="0"/>
              <w:adjustRightInd/>
              <w:snapToGrid/>
              <w:spacing w:line="380" w:lineRule="exact"/>
              <w:ind w:leftChars="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第四条：行政机关可以依法对下列争议纠纷进行调解：</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80" w:lineRule="exact"/>
              <w:ind w:leftChars="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 xml:space="preserve">依法可以调解的民事纠纷： 6.环境污染赔偿纠纷；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 xml:space="preserve">劳动保障纠纷；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80" w:lineRule="exact"/>
              <w:ind w:left="0" w:leftChars="0" w:firstLine="0" w:firstLineChars="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其他依法可以调解的民事纠纷。 （二）依法可以调解的行政争议：</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80" w:lineRule="exact"/>
              <w:ind w:leftChars="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 xml:space="preserve">公民、法人或者其他组织与行政机关之间因行政补偿引发的争议；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80" w:lineRule="exact"/>
              <w:ind w:left="0" w:leftChars="0" w:firstLine="0" w:firstLineChars="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 xml:space="preserve">公民、法人或者其他组织与行政机关之间因具有行政管理特征的政府合同引发的争议；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3.其他依法可以调解的行政争议。</w:t>
            </w:r>
          </w:p>
          <w:p>
            <w:pPr>
              <w:keepNext w:val="0"/>
              <w:keepLines w:val="0"/>
              <w:pageBreakBefore w:val="0"/>
              <w:widowControl w:val="0"/>
              <w:tabs>
                <w:tab w:val="left" w:pos="492"/>
              </w:tabs>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sectPr>
      <w:pgSz w:w="16838" w:h="11906" w:orient="landscape"/>
      <w:pgMar w:top="1587" w:right="192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E1B48"/>
    <w:multiLevelType w:val="singleLevel"/>
    <w:tmpl w:val="EFFE1B48"/>
    <w:lvl w:ilvl="0" w:tentative="0">
      <w:start w:val="8"/>
      <w:numFmt w:val="decimal"/>
      <w:lvlText w:val="%1."/>
      <w:lvlJc w:val="left"/>
      <w:pPr>
        <w:tabs>
          <w:tab w:val="left" w:pos="312"/>
        </w:tabs>
      </w:pPr>
    </w:lvl>
  </w:abstractNum>
  <w:abstractNum w:abstractNumId="1">
    <w:nsid w:val="F7DEF50F"/>
    <w:multiLevelType w:val="singleLevel"/>
    <w:tmpl w:val="F7DEF50F"/>
    <w:lvl w:ilvl="0" w:tentative="0">
      <w:start w:val="1"/>
      <w:numFmt w:val="decimal"/>
      <w:lvlText w:val="%1."/>
      <w:lvlJc w:val="left"/>
      <w:pPr>
        <w:tabs>
          <w:tab w:val="left" w:pos="312"/>
        </w:tabs>
      </w:pPr>
    </w:lvl>
  </w:abstractNum>
  <w:abstractNum w:abstractNumId="2">
    <w:nsid w:val="FACF4920"/>
    <w:multiLevelType w:val="singleLevel"/>
    <w:tmpl w:val="FACF4920"/>
    <w:lvl w:ilvl="0" w:tentative="0">
      <w:start w:val="1"/>
      <w:numFmt w:val="chineseCounting"/>
      <w:suff w:val="nothing"/>
      <w:lvlText w:val="（%1）"/>
      <w:lvlJc w:val="left"/>
      <w:rPr>
        <w:rFonts w:hint="eastAsia"/>
      </w:rPr>
    </w:lvl>
  </w:abstractNum>
  <w:abstractNum w:abstractNumId="3">
    <w:nsid w:val="FF9F9ACE"/>
    <w:multiLevelType w:val="singleLevel"/>
    <w:tmpl w:val="FF9F9ACE"/>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BDD1589"/>
    <w:rsid w:val="317F329C"/>
    <w:rsid w:val="36AF7ECC"/>
    <w:rsid w:val="3CFB5DEB"/>
    <w:rsid w:val="3EFF9337"/>
    <w:rsid w:val="3FFF97D9"/>
    <w:rsid w:val="45F76218"/>
    <w:rsid w:val="4A1947CF"/>
    <w:rsid w:val="4DDBE51E"/>
    <w:rsid w:val="7BB67F12"/>
    <w:rsid w:val="7D5EBF19"/>
    <w:rsid w:val="A6E84AB8"/>
    <w:rsid w:val="A9BFB31B"/>
    <w:rsid w:val="BF73B7BB"/>
    <w:rsid w:val="D3DA3E03"/>
    <w:rsid w:val="FBFB53BB"/>
    <w:rsid w:val="FFBEC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2018-07-12T15:11:00Z</dcterms:created>
  <dc:creator>d</dc:creator>
  <cp:lastModifiedBy>李擎</cp:lastModifiedBy>
  <cp:lastPrinted>2023-09-25T16:54:55Z</cp:lastPrinted>
  <dcterms:modified xsi:type="dcterms:W3CDTF">2023-09-25T16:56:01Z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A0DBBD1EBB7B43B227F5106573A9DC0A</vt:lpwstr>
  </property>
</Properties>
</file>