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val="0"/>
        <w:snapToGrid w:val="0"/>
        <w:spacing w:line="560" w:lineRule="exact"/>
        <w:ind w:left="0" w:leftChars="0" w:right="0" w:rightChars="0"/>
        <w:jc w:val="left"/>
        <w:textAlignment w:val="auto"/>
        <w:outlineLvl w:val="9"/>
        <w:rPr>
          <w:rFonts w:hint="default" w:ascii="黑体" w:hAnsi="黑体" w:eastAsia="黑体" w:cs="黑体"/>
          <w:b w:val="0"/>
          <w:bCs/>
          <w:sz w:val="32"/>
          <w:szCs w:val="32"/>
          <w:highlight w:val="none"/>
          <w:lang w:val="en-US" w:eastAsia="zh-CN"/>
        </w:rPr>
      </w:pPr>
      <w:bookmarkStart w:id="0" w:name="_GoBack"/>
      <w:bookmarkEnd w:id="0"/>
      <w:r>
        <w:rPr>
          <w:rFonts w:hint="eastAsia" w:ascii="黑体" w:hAnsi="黑体" w:eastAsia="黑体" w:cs="黑体"/>
          <w:b w:val="0"/>
          <w:bCs/>
          <w:sz w:val="32"/>
          <w:szCs w:val="32"/>
          <w:highlight w:val="none"/>
          <w:lang w:val="en-US" w:eastAsia="zh-CN"/>
        </w:rPr>
        <w:t>附件1</w:t>
      </w:r>
    </w:p>
    <w:p>
      <w:pPr>
        <w:keepNext w:val="0"/>
        <w:keepLines w:val="0"/>
        <w:pageBreakBefore w:val="0"/>
        <w:widowControl w:val="0"/>
        <w:shd w:val="clear"/>
        <w:kinsoku/>
        <w:wordWrap/>
        <w:overflowPunct/>
        <w:topLinePunct w:val="0"/>
        <w:autoSpaceDE/>
        <w:autoSpaceDN/>
        <w:bidi w:val="0"/>
        <w:adjustRightInd w:val="0"/>
        <w:snapToGrid w:val="0"/>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highlight w:val="none"/>
        </w:rPr>
      </w:pPr>
    </w:p>
    <w:p>
      <w:pPr>
        <w:keepNext w:val="0"/>
        <w:keepLines w:val="0"/>
        <w:pageBreakBefore w:val="0"/>
        <w:widowControl w:val="0"/>
        <w:shd w:val="clear"/>
        <w:kinsoku/>
        <w:wordWrap/>
        <w:overflowPunct/>
        <w:topLinePunct w:val="0"/>
        <w:autoSpaceDE/>
        <w:autoSpaceDN/>
        <w:bidi w:val="0"/>
        <w:adjustRightInd w:val="0"/>
        <w:snapToGrid w:val="0"/>
        <w:spacing w:line="560" w:lineRule="exact"/>
        <w:ind w:left="0" w:leftChars="0" w:right="0" w:rightChars="0"/>
        <w:jc w:val="center"/>
        <w:textAlignment w:val="auto"/>
        <w:outlineLvl w:val="9"/>
        <w:rPr>
          <w:rFonts w:hint="eastAsia" w:ascii="楷体_GB2312" w:hAnsi="楷体_GB2312" w:eastAsia="楷体_GB2312" w:cs="楷体_GB2312"/>
          <w:b w:val="0"/>
          <w:bCs/>
          <w:sz w:val="32"/>
          <w:szCs w:val="32"/>
          <w:highlight w:val="none"/>
          <w:lang w:val="en-US" w:eastAsia="zh-CN"/>
        </w:rPr>
      </w:pPr>
      <w:r>
        <w:rPr>
          <w:rFonts w:hint="eastAsia" w:ascii="方正小标宋简体" w:hAnsi="方正小标宋简体" w:eastAsia="方正小标宋简体" w:cs="方正小标宋简体"/>
          <w:b w:val="0"/>
          <w:bCs/>
          <w:sz w:val="44"/>
          <w:szCs w:val="44"/>
          <w:highlight w:val="none"/>
        </w:rPr>
        <w:t>深圳市龙岗区工业和信息化产业发展专项资金关于支持</w:t>
      </w:r>
      <w:r>
        <w:rPr>
          <w:rFonts w:hint="eastAsia" w:ascii="方正小标宋简体" w:hAnsi="方正小标宋简体" w:eastAsia="方正小标宋简体" w:cs="方正小标宋简体"/>
          <w:b w:val="0"/>
          <w:bCs/>
          <w:sz w:val="44"/>
          <w:szCs w:val="44"/>
          <w:highlight w:val="none"/>
          <w:lang w:eastAsia="zh-CN"/>
        </w:rPr>
        <w:t>优质企业安置</w:t>
      </w:r>
      <w:r>
        <w:rPr>
          <w:rFonts w:hint="eastAsia" w:ascii="方正小标宋简体" w:hAnsi="方正小标宋简体" w:eastAsia="方正小标宋简体" w:cs="方正小标宋简体"/>
          <w:b w:val="0"/>
          <w:bCs/>
          <w:sz w:val="44"/>
          <w:szCs w:val="44"/>
          <w:highlight w:val="none"/>
        </w:rPr>
        <w:t>实施细则</w:t>
      </w:r>
    </w:p>
    <w:p>
      <w:pPr>
        <w:keepNext w:val="0"/>
        <w:keepLines w:val="0"/>
        <w:pageBreakBefore w:val="0"/>
        <w:widowControl w:val="0"/>
        <w:shd w:val="clear"/>
        <w:kinsoku/>
        <w:wordWrap/>
        <w:overflowPunct/>
        <w:topLinePunct w:val="0"/>
        <w:autoSpaceDE/>
        <w:autoSpaceDN/>
        <w:bidi w:val="0"/>
        <w:adjustRightInd w:val="0"/>
        <w:snapToGrid w:val="0"/>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highlight w:val="none"/>
          <w:lang w:val="en-US" w:eastAsia="zh-CN"/>
        </w:rPr>
      </w:pPr>
    </w:p>
    <w:p>
      <w:pPr>
        <w:keepNext w:val="0"/>
        <w:keepLines w:val="0"/>
        <w:pageBreakBefore w:val="0"/>
        <w:widowControl w:val="0"/>
        <w:shd w:val="clear"/>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第一章 总则</w:t>
      </w:r>
    </w:p>
    <w:p>
      <w:pPr>
        <w:keepNext w:val="0"/>
        <w:keepLines w:val="0"/>
        <w:pageBreakBefore w:val="0"/>
        <w:widowControl w:val="0"/>
        <w:numPr>
          <w:ilvl w:val="0"/>
          <w:numId w:val="1"/>
        </w:numPr>
        <w:shd w:val="clea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根据《深圳市龙岗区区级财政专项资金管理办法》（深龙府规〔2021〕1号）及《深圳市龙岗区工业和信息化产业发展专项资金管理办法》</w:t>
      </w:r>
      <w:r>
        <w:rPr>
          <w:rFonts w:hint="eastAsia" w:ascii="仿宋_GB2312" w:hAnsi="仿宋_GB2312" w:eastAsia="仿宋_GB2312" w:cs="仿宋_GB2312"/>
          <w:sz w:val="32"/>
          <w:szCs w:val="32"/>
          <w:highlight w:val="none"/>
          <w:lang w:eastAsia="zh-CN"/>
        </w:rPr>
        <w:t>（深龙工信规〔2022〕5号）</w:t>
      </w:r>
      <w:r>
        <w:rPr>
          <w:rFonts w:hint="eastAsia" w:ascii="仿宋_GB2312" w:hAnsi="仿宋_GB2312" w:eastAsia="仿宋_GB2312" w:cs="仿宋_GB2312"/>
          <w:sz w:val="32"/>
          <w:szCs w:val="32"/>
          <w:highlight w:val="none"/>
        </w:rPr>
        <w:t>，结合工作实际，制定本实施细则。</w:t>
      </w:r>
    </w:p>
    <w:p>
      <w:pPr>
        <w:keepNext w:val="0"/>
        <w:keepLines w:val="0"/>
        <w:pageBreakBefore w:val="0"/>
        <w:widowControl w:val="0"/>
        <w:numPr>
          <w:ilvl w:val="0"/>
          <w:numId w:val="1"/>
        </w:numPr>
        <w:shd w:val="clea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本实施细则所需资金从深圳市龙岗区工业和信息化产业发展专项资金中列支，实行总额控制，如果年度资助规模超出财政预算，则对扶持项目应获资助金额按比例核减。</w:t>
      </w:r>
    </w:p>
    <w:p>
      <w:pPr>
        <w:keepNext w:val="0"/>
        <w:keepLines w:val="0"/>
        <w:pageBreakBefore w:val="0"/>
        <w:widowControl w:val="0"/>
        <w:numPr>
          <w:ilvl w:val="0"/>
          <w:numId w:val="1"/>
        </w:numPr>
        <w:shd w:val="clea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区工业和信息化局是本细则的实施部门。</w:t>
      </w:r>
    </w:p>
    <w:p>
      <w:pPr>
        <w:pStyle w:val="2"/>
        <w:keepNext w:val="0"/>
        <w:keepLines w:val="0"/>
        <w:pageBreakBefore w:val="0"/>
        <w:widowControl w:val="0"/>
        <w:numPr>
          <w:ilvl w:val="0"/>
          <w:numId w:val="0"/>
        </w:numPr>
        <w:shd w:val="clear"/>
        <w:kinsoku/>
        <w:wordWrap/>
        <w:overflowPunct/>
        <w:topLinePunct w:val="0"/>
        <w:autoSpaceDE/>
        <w:autoSpaceDN/>
        <w:bidi w:val="0"/>
        <w:adjustRightInd w:val="0"/>
        <w:snapToGrid w:val="0"/>
        <w:spacing w:line="560" w:lineRule="exact"/>
        <w:ind w:leftChars="0" w:firstLine="640" w:firstLineChars="200"/>
        <w:textAlignment w:val="auto"/>
        <w:rPr>
          <w:rFonts w:hint="eastAsia" w:ascii="仿宋_GB2312" w:hAnsi="仿宋_GB2312" w:eastAsia="仿宋_GB2312" w:cs="仿宋_GB2312"/>
          <w:sz w:val="32"/>
          <w:szCs w:val="32"/>
          <w:highlight w:val="none"/>
        </w:rPr>
      </w:pPr>
    </w:p>
    <w:p>
      <w:pPr>
        <w:keepNext w:val="0"/>
        <w:keepLines w:val="0"/>
        <w:pageBreakBefore w:val="0"/>
        <w:widowControl w:val="0"/>
        <w:shd w:val="clear"/>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第二章 扶持范围、标准和审核方式</w:t>
      </w:r>
    </w:p>
    <w:p>
      <w:pPr>
        <w:keepNext w:val="0"/>
        <w:keepLines w:val="0"/>
        <w:pageBreakBefore w:val="0"/>
        <w:widowControl w:val="0"/>
        <w:numPr>
          <w:ilvl w:val="0"/>
          <w:numId w:val="1"/>
        </w:numPr>
        <w:shd w:val="clea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val="en-US" w:eastAsia="zh-CN"/>
        </w:rPr>
        <w:t>优质企业安置租金扶持</w:t>
      </w:r>
    </w:p>
    <w:p>
      <w:pPr>
        <w:keepNext w:val="0"/>
        <w:keepLines w:val="0"/>
        <w:pageBreakBefore w:val="0"/>
        <w:widowControl w:val="0"/>
        <w:shd w:val="clea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eastAsia="zh-CN"/>
        </w:rPr>
        <w:t>）扶持范围：因城市更新、土地整备等原因确需搬迁</w:t>
      </w:r>
      <w:r>
        <w:rPr>
          <w:rFonts w:hint="eastAsia" w:ascii="仿宋_GB2312" w:hAnsi="仿宋_GB2312" w:eastAsia="仿宋_GB2312" w:cs="仿宋_GB2312"/>
          <w:sz w:val="32"/>
          <w:szCs w:val="32"/>
          <w:highlight w:val="none"/>
          <w:lang w:val="en-US" w:eastAsia="zh-CN"/>
        </w:rPr>
        <w:t>并通过租赁方式安置在龙岗区范围内</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lang w:val="en-US" w:eastAsia="zh-CN"/>
        </w:rPr>
        <w:t>“四上”企业（规模以上工业企业、资质等级建筑业企业、限额以上批零住餐企业、重点服务业企业）和重点企业（上市企业、国家高新技术企业、“专精特新”企业、样本企业）。按产权调换已给予安置过渡费补偿的，不纳入扶持范围</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shd w:val="clea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lang w:eastAsia="zh-CN"/>
        </w:rPr>
        <w:t>）扶持方式和标准：扶持方式为事后</w:t>
      </w:r>
      <w:r>
        <w:rPr>
          <w:rFonts w:hint="eastAsia" w:ascii="仿宋_GB2312" w:hAnsi="仿宋_GB2312" w:eastAsia="仿宋_GB2312" w:cs="仿宋_GB2312"/>
          <w:sz w:val="32"/>
          <w:szCs w:val="32"/>
          <w:highlight w:val="none"/>
          <w:lang w:val="en-US" w:eastAsia="zh-CN"/>
        </w:rPr>
        <w:t>补</w:t>
      </w:r>
      <w:r>
        <w:rPr>
          <w:rFonts w:hint="eastAsia" w:ascii="仿宋_GB2312" w:hAnsi="仿宋_GB2312" w:eastAsia="仿宋_GB2312" w:cs="仿宋_GB2312"/>
          <w:sz w:val="32"/>
          <w:szCs w:val="32"/>
          <w:highlight w:val="none"/>
          <w:lang w:eastAsia="zh-CN"/>
        </w:rPr>
        <w:t>助。搬迁满</w:t>
      </w:r>
      <w:r>
        <w:rPr>
          <w:rFonts w:hint="eastAsia" w:ascii="仿宋_GB2312" w:hAnsi="仿宋_GB2312" w:eastAsia="仿宋_GB2312" w:cs="仿宋_GB2312"/>
          <w:sz w:val="32"/>
          <w:szCs w:val="32"/>
          <w:highlight w:val="none"/>
          <w:lang w:val="en-US" w:eastAsia="zh-CN"/>
        </w:rPr>
        <w:t>15</w:t>
      </w:r>
      <w:r>
        <w:rPr>
          <w:rFonts w:hint="eastAsia" w:ascii="仿宋_GB2312" w:hAnsi="仿宋_GB2312" w:eastAsia="仿宋_GB2312" w:cs="仿宋_GB2312"/>
          <w:sz w:val="32"/>
          <w:szCs w:val="32"/>
          <w:highlight w:val="none"/>
          <w:lang w:eastAsia="zh-CN"/>
        </w:rPr>
        <w:t>个月后可按要求向区工业和信息化局申请补贴，补贴</w:t>
      </w:r>
      <w:r>
        <w:rPr>
          <w:rFonts w:hint="eastAsia" w:ascii="仿宋_GB2312" w:hAnsi="仿宋_GB2312" w:eastAsia="仿宋_GB2312" w:cs="仿宋_GB2312"/>
          <w:sz w:val="32"/>
          <w:szCs w:val="32"/>
          <w:highlight w:val="none"/>
          <w:lang w:val="en-US" w:eastAsia="zh-CN"/>
        </w:rPr>
        <w:t>起算时间在完全搬离原址3个月后且不含免租期</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shd w:val="clea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按新租赁自用面积（不含宿舍等附属和配套用房以及区政策性产业用房）给予每月每平方米5元的租金补贴，单个企业补贴面积上限不超过原自用面积（不含宿舍等附属和配套用房以及区政策性产业用房），每月补贴总金额不超过8万元，最多不超过24个月。</w:t>
      </w:r>
    </w:p>
    <w:p>
      <w:pPr>
        <w:keepNext w:val="0"/>
        <w:keepLines w:val="0"/>
        <w:pageBreakBefore w:val="0"/>
        <w:widowControl w:val="0"/>
        <w:shd w:val="clea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lang w:eastAsia="zh-CN"/>
        </w:rPr>
        <w:t>）审核方式：核准制。城市更新、土地整备</w:t>
      </w:r>
      <w:r>
        <w:rPr>
          <w:rFonts w:hint="eastAsia" w:ascii="仿宋_GB2312" w:hAnsi="仿宋_GB2312" w:eastAsia="仿宋_GB2312" w:cs="仿宋_GB2312"/>
          <w:sz w:val="32"/>
          <w:szCs w:val="32"/>
          <w:highlight w:val="none"/>
          <w:lang w:val="en-US" w:eastAsia="zh-CN"/>
        </w:rPr>
        <w:t>项目</w:t>
      </w:r>
      <w:r>
        <w:rPr>
          <w:rFonts w:hint="eastAsia" w:ascii="仿宋_GB2312" w:hAnsi="仿宋_GB2312" w:eastAsia="仿宋_GB2312" w:cs="仿宋_GB2312"/>
          <w:sz w:val="32"/>
          <w:szCs w:val="32"/>
          <w:highlight w:val="none"/>
          <w:lang w:eastAsia="zh-CN"/>
        </w:rPr>
        <w:t>以区</w:t>
      </w:r>
      <w:r>
        <w:rPr>
          <w:rFonts w:hint="eastAsia" w:ascii="仿宋_GB2312" w:hAnsi="仿宋_GB2312" w:eastAsia="仿宋_GB2312" w:cs="仿宋_GB2312"/>
          <w:sz w:val="32"/>
          <w:szCs w:val="32"/>
          <w:highlight w:val="none"/>
          <w:lang w:val="en-US" w:eastAsia="zh-CN"/>
        </w:rPr>
        <w:t>更新整备部门</w:t>
      </w:r>
      <w:r>
        <w:rPr>
          <w:rFonts w:hint="eastAsia" w:ascii="仿宋_GB2312" w:hAnsi="仿宋_GB2312" w:eastAsia="仿宋_GB2312" w:cs="仿宋_GB2312"/>
          <w:sz w:val="32"/>
          <w:szCs w:val="32"/>
          <w:highlight w:val="none"/>
          <w:lang w:eastAsia="zh-CN"/>
        </w:rPr>
        <w:t>的信息为准；</w:t>
      </w:r>
      <w:r>
        <w:rPr>
          <w:rFonts w:hint="eastAsia" w:ascii="仿宋_GB2312" w:hAnsi="仿宋_GB2312" w:eastAsia="仿宋_GB2312" w:cs="仿宋_GB2312"/>
          <w:sz w:val="32"/>
          <w:szCs w:val="32"/>
          <w:highlight w:val="none"/>
          <w:lang w:val="en-US" w:eastAsia="zh-CN"/>
        </w:rPr>
        <w:t>新租赁自用面积主要参考租赁合同及缴费凭证等；原自用面积及完全搬离原址时间由相应街道予以确认</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shd w:val="clear"/>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黑体" w:hAnsi="黑体" w:eastAsia="黑体" w:cs="黑体"/>
          <w:sz w:val="32"/>
          <w:szCs w:val="32"/>
          <w:highlight w:val="none"/>
          <w:lang w:val="en-US" w:eastAsia="zh-CN"/>
        </w:rPr>
      </w:pPr>
    </w:p>
    <w:p>
      <w:pPr>
        <w:keepNext w:val="0"/>
        <w:keepLines w:val="0"/>
        <w:pageBreakBefore w:val="0"/>
        <w:widowControl w:val="0"/>
        <w:shd w:val="clear"/>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第三章 申报条件</w:t>
      </w:r>
    </w:p>
    <w:p>
      <w:pPr>
        <w:keepNext w:val="0"/>
        <w:keepLines w:val="0"/>
        <w:pageBreakBefore w:val="0"/>
        <w:widowControl w:val="0"/>
        <w:numPr>
          <w:ilvl w:val="0"/>
          <w:numId w:val="1"/>
        </w:numPr>
        <w:shd w:val="clea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申报条件由基础申报条件和专项申报条件两部分组成。项目单位需符合下列基础条件：</w:t>
      </w:r>
    </w:p>
    <w:p>
      <w:pPr>
        <w:keepNext w:val="0"/>
        <w:keepLines w:val="0"/>
        <w:pageBreakBefore w:val="0"/>
        <w:widowControl w:val="0"/>
        <w:shd w:val="clea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（一）项目单位是经区工业和信息化局认定在龙岗区实际从事经营活动的企业。</w:t>
      </w:r>
    </w:p>
    <w:p>
      <w:pPr>
        <w:keepNext w:val="0"/>
        <w:keepLines w:val="0"/>
        <w:pageBreakBefore w:val="0"/>
        <w:widowControl w:val="0"/>
        <w:shd w:val="clea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lang w:val="en-US" w:eastAsia="zh-CN"/>
        </w:rPr>
        <w:t>项目单位</w:t>
      </w:r>
      <w:r>
        <w:rPr>
          <w:rFonts w:hint="eastAsia" w:ascii="仿宋_GB2312" w:hAnsi="仿宋_GB2312" w:eastAsia="仿宋_GB2312" w:cs="仿宋_GB2312"/>
          <w:sz w:val="32"/>
          <w:szCs w:val="32"/>
          <w:highlight w:val="none"/>
          <w:lang w:eastAsia="zh-CN"/>
        </w:rPr>
        <w:t>未被依法依规纳入严重失信主体名单且在有效期内。</w:t>
      </w:r>
    </w:p>
    <w:p>
      <w:pPr>
        <w:keepNext w:val="0"/>
        <w:keepLines w:val="0"/>
        <w:pageBreakBefore w:val="0"/>
        <w:widowControl w:val="0"/>
        <w:shd w:val="clea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lang w:val="en-US" w:eastAsia="zh-CN"/>
        </w:rPr>
        <w:t>项目单位</w:t>
      </w:r>
      <w:r>
        <w:rPr>
          <w:rFonts w:hint="eastAsia" w:ascii="仿宋_GB2312" w:hAnsi="仿宋_GB2312" w:eastAsia="仿宋_GB2312" w:cs="仿宋_GB2312"/>
          <w:sz w:val="32"/>
          <w:szCs w:val="32"/>
          <w:highlight w:val="none"/>
          <w:lang w:eastAsia="zh-CN"/>
        </w:rPr>
        <w:t>对申报材料的真实性、合法性和完整性负责，不得弄虚作假、套取、骗取专项资金。</w:t>
      </w:r>
    </w:p>
    <w:p>
      <w:pPr>
        <w:keepNext w:val="0"/>
        <w:keepLines w:val="0"/>
        <w:pageBreakBefore w:val="0"/>
        <w:widowControl w:val="0"/>
        <w:shd w:val="clea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lang w:val="en-US" w:eastAsia="zh-CN"/>
        </w:rPr>
        <w:t>项目单位</w:t>
      </w:r>
      <w:r>
        <w:rPr>
          <w:rFonts w:hint="eastAsia" w:ascii="仿宋_GB2312" w:hAnsi="仿宋_GB2312" w:eastAsia="仿宋_GB2312" w:cs="仿宋_GB2312"/>
          <w:sz w:val="32"/>
          <w:szCs w:val="32"/>
          <w:highlight w:val="none"/>
          <w:lang w:eastAsia="zh-CN"/>
        </w:rPr>
        <w:t>提交的有关生产经营数据须真实可靠。</w:t>
      </w:r>
    </w:p>
    <w:p>
      <w:pPr>
        <w:keepNext w:val="0"/>
        <w:keepLines w:val="0"/>
        <w:pageBreakBefore w:val="0"/>
        <w:widowControl w:val="0"/>
        <w:shd w:val="clea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（五）项目单位不得以同一事项重复申报或者多头申报区级财政专项资金。</w:t>
      </w:r>
    </w:p>
    <w:p>
      <w:pPr>
        <w:keepNext w:val="0"/>
        <w:keepLines w:val="0"/>
        <w:pageBreakBefore w:val="0"/>
        <w:widowControl w:val="0"/>
        <w:shd w:val="clea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（六）法律、法规、规章和上级行政机关规范性文件规定的其他条件。</w:t>
      </w:r>
    </w:p>
    <w:p>
      <w:pPr>
        <w:keepNext w:val="0"/>
        <w:keepLines w:val="0"/>
        <w:pageBreakBefore w:val="0"/>
        <w:widowControl w:val="0"/>
        <w:numPr>
          <w:ilvl w:val="0"/>
          <w:numId w:val="1"/>
        </w:numPr>
        <w:shd w:val="clea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项目单位申报具体项目还应符合区工业和信息化局依据本实施细则制定的专项申报条件，专项申报条件在年度扶持计划项目申报指南（通知）中明确。</w:t>
      </w:r>
    </w:p>
    <w:p>
      <w:pPr>
        <w:keepNext w:val="0"/>
        <w:keepLines w:val="0"/>
        <w:pageBreakBefore w:val="0"/>
        <w:widowControl w:val="0"/>
        <w:shd w:val="clear"/>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p>
    <w:p>
      <w:pPr>
        <w:keepNext w:val="0"/>
        <w:keepLines w:val="0"/>
        <w:pageBreakBefore w:val="0"/>
        <w:widowControl w:val="0"/>
        <w:shd w:val="clear"/>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第四章 项目申报和审核</w:t>
      </w:r>
    </w:p>
    <w:p>
      <w:pPr>
        <w:keepNext w:val="0"/>
        <w:keepLines w:val="0"/>
        <w:pageBreakBefore w:val="0"/>
        <w:widowControl w:val="0"/>
        <w:numPr>
          <w:ilvl w:val="0"/>
          <w:numId w:val="1"/>
        </w:numPr>
        <w:shd w:val="clea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区工业和信息化局根据本实施细则制定年度扶持计划项目申报指南（通知），在龙岗政府在线、区工业和信息化局网站发布，明确受理时间、申报材料要求等内容。</w:t>
      </w:r>
    </w:p>
    <w:p>
      <w:pPr>
        <w:keepNext w:val="0"/>
        <w:keepLines w:val="0"/>
        <w:pageBreakBefore w:val="0"/>
        <w:widowControl w:val="0"/>
        <w:numPr>
          <w:ilvl w:val="0"/>
          <w:numId w:val="1"/>
        </w:numPr>
        <w:shd w:val="clea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项目单位根据申报指南要求，在规定时间内如实填报项目信息，提交相关材料。</w:t>
      </w:r>
    </w:p>
    <w:p>
      <w:pPr>
        <w:keepNext w:val="0"/>
        <w:keepLines w:val="0"/>
        <w:pageBreakBefore w:val="0"/>
        <w:widowControl w:val="0"/>
        <w:numPr>
          <w:ilvl w:val="0"/>
          <w:numId w:val="1"/>
        </w:numPr>
        <w:shd w:val="clea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区工业和信息化局组织街道对申报项目进行审核，并征求各有关单位意见，进行项目重复性核查以及项目单位实际从事经营活动地点、是否被依法依规纳入严重失信主体名单且在有效期内等情况的审查。</w:t>
      </w:r>
    </w:p>
    <w:p>
      <w:pPr>
        <w:keepNext w:val="0"/>
        <w:keepLines w:val="0"/>
        <w:pageBreakBefore w:val="0"/>
        <w:widowControl w:val="0"/>
        <w:numPr>
          <w:ilvl w:val="0"/>
          <w:numId w:val="1"/>
        </w:numPr>
        <w:shd w:val="clea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区工业和信息化局对项目进行材料审核，根据需要可委托第三方专业服务机构组织开展专家评审和专项审计等相关工作，第三方专业服务机构向区工业和信息化局提交专家评审、专项审计报告。</w:t>
      </w:r>
    </w:p>
    <w:p>
      <w:pPr>
        <w:keepNext w:val="0"/>
        <w:keepLines w:val="0"/>
        <w:pageBreakBefore w:val="0"/>
        <w:widowControl w:val="0"/>
        <w:numPr>
          <w:ilvl w:val="0"/>
          <w:numId w:val="1"/>
        </w:numPr>
        <w:shd w:val="clea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区工业和信息化局根据年度资金安排，结合项目专家评审、专项审计结果等情况，编制资金扶持计划，确定拟扶持项目名单和扶持金额。</w:t>
      </w:r>
    </w:p>
    <w:p>
      <w:pPr>
        <w:keepNext w:val="0"/>
        <w:keepLines w:val="0"/>
        <w:pageBreakBefore w:val="0"/>
        <w:widowControl w:val="0"/>
        <w:numPr>
          <w:ilvl w:val="0"/>
          <w:numId w:val="1"/>
        </w:numPr>
        <w:shd w:val="clea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default"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sz w:val="32"/>
          <w:szCs w:val="32"/>
          <w:highlight w:val="none"/>
          <w:lang w:val="en-US" w:eastAsia="zh-CN"/>
        </w:rPr>
        <w:t>审核通过的拟扶持项目按规定在龙岗政府在线和区工业和信息化局网站进行公示，公示时间为5个工作日。对公示内容有异议的，可在公示期内向区工业和信息化局书面提出。对于公示有异议的，由区工业和信息化局进行调查或组织重审，不予扶持的向申报单位反馈理由。</w:t>
      </w:r>
    </w:p>
    <w:p>
      <w:pPr>
        <w:keepNext w:val="0"/>
        <w:keepLines w:val="0"/>
        <w:pageBreakBefore w:val="0"/>
        <w:widowControl w:val="0"/>
        <w:numPr>
          <w:ilvl w:val="0"/>
          <w:numId w:val="1"/>
        </w:numPr>
        <w:shd w:val="clea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default"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项目单位及其相关人员在项目申报、使用、管理等过程中，存在利用不正当手段套取、骗取或协助套取、骗取专项资金，不履行或不正确履行职责等违法违规行为的，由区工业和信息化局会同区财政局收回专项资金，并由区工业和信息化局按照国家、省、市信用信息管理有关规定，将违法违规行为信息归集至公共信用信息平台，并按照有关法律、法规、规章的规定追究相应责任；涉嫌犯罪的，依法移送司法机关处理。</w:t>
      </w:r>
    </w:p>
    <w:p>
      <w:pPr>
        <w:keepNext w:val="0"/>
        <w:keepLines w:val="0"/>
        <w:pageBreakBefore w:val="0"/>
        <w:widowControl w:val="0"/>
        <w:shd w:val="clear"/>
        <w:kinsoku/>
        <w:wordWrap/>
        <w:overflowPunct/>
        <w:topLinePunct w:val="0"/>
        <w:autoSpaceDE/>
        <w:autoSpaceDN/>
        <w:bidi w:val="0"/>
        <w:adjustRightInd w:val="0"/>
        <w:snapToGrid w:val="0"/>
        <w:spacing w:line="560" w:lineRule="exact"/>
        <w:ind w:right="0" w:rightChars="0"/>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shd w:val="clear"/>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第五章 附则</w:t>
      </w:r>
    </w:p>
    <w:p>
      <w:pPr>
        <w:keepNext w:val="0"/>
        <w:keepLines w:val="0"/>
        <w:pageBreakBefore w:val="0"/>
        <w:widowControl w:val="0"/>
        <w:numPr>
          <w:ilvl w:val="0"/>
          <w:numId w:val="1"/>
        </w:numPr>
        <w:shd w:val="clea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本实施细则由区工业和信息化局负责解释。</w:t>
      </w:r>
    </w:p>
    <w:p>
      <w:pPr>
        <w:keepNext w:val="0"/>
        <w:keepLines w:val="0"/>
        <w:pageBreakBefore w:val="0"/>
        <w:widowControl w:val="0"/>
        <w:numPr>
          <w:ilvl w:val="0"/>
          <w:numId w:val="1"/>
        </w:numPr>
        <w:shd w:val="clea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本实施细则的资助额，一律向下取整到元。</w:t>
      </w:r>
    </w:p>
    <w:p>
      <w:pPr>
        <w:keepNext w:val="0"/>
        <w:keepLines w:val="0"/>
        <w:pageBreakBefore w:val="0"/>
        <w:widowControl w:val="0"/>
        <w:numPr>
          <w:ilvl w:val="0"/>
          <w:numId w:val="1"/>
        </w:numPr>
        <w:shd w:val="clea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本实施细则中的日期、比例及金额等，除特别注明外均包括本数。本实施细则中的年度均指自然年度。</w:t>
      </w:r>
    </w:p>
    <w:p>
      <w:pPr>
        <w:keepNext w:val="0"/>
        <w:keepLines w:val="0"/>
        <w:pageBreakBefore w:val="0"/>
        <w:widowControl w:val="0"/>
        <w:numPr>
          <w:ilvl w:val="0"/>
          <w:numId w:val="1"/>
        </w:numPr>
        <w:shd w:val="clear"/>
        <w:kinsoku/>
        <w:wordWrap/>
        <w:overflowPunct/>
        <w:topLinePunct w:val="0"/>
        <w:autoSpaceDE/>
        <w:autoSpaceDN/>
        <w:bidi w:val="0"/>
        <w:adjustRightInd w:val="0"/>
        <w:snapToGrid w:val="0"/>
        <w:spacing w:line="560" w:lineRule="exact"/>
        <w:ind w:right="0" w:rightChars="0" w:firstLine="640" w:firstLineChars="200"/>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本实施细则自2023年9月5日起施行，有效期3年。在有效期内，</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若法律、法规、规章或者有关规定发生重大变化，区工</w:t>
      </w:r>
      <w:r>
        <w:rPr>
          <w:rFonts w:hint="eastAsia" w:ascii="仿宋_GB2312" w:hAnsi="仿宋_GB2312" w:eastAsia="仿宋_GB2312" w:cs="仿宋_GB2312"/>
          <w:sz w:val="32"/>
          <w:szCs w:val="32"/>
          <w:highlight w:val="none"/>
          <w:lang w:val="en-US" w:eastAsia="zh-CN"/>
        </w:rPr>
        <w:t>业和信息化局可根据实际情况，对本实施细则进行整体性的修订、调整、发布和实施。</w:t>
      </w:r>
    </w:p>
    <w:sectPr>
      <w:footerReference r:id="rId3" w:type="default"/>
      <w:pgSz w:w="11906" w:h="16838"/>
      <w:pgMar w:top="1701" w:right="1474" w:bottom="1701"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A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&#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AKVIPQyAgAAYQQAAA4AAAAAAAAAAQAgAAAA&#10;NQEAAGRycy9lMm9Eb2MueG1sUEsFBgAAAAAGAAYAWQEAANk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FFE5A2"/>
    <w:multiLevelType w:val="singleLevel"/>
    <w:tmpl w:val="2FFFE5A2"/>
    <w:lvl w:ilvl="0" w:tentative="0">
      <w:start w:val="1"/>
      <w:numFmt w:val="chineseCounting"/>
      <w:suff w:val="space"/>
      <w:lvlText w:val="第%1条"/>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5ZDE0OTg4M2YxMGY5YzhmNTBhZmQ2YWYwMzhlYmIifQ=="/>
  </w:docVars>
  <w:rsids>
    <w:rsidRoot w:val="00204CCB"/>
    <w:rsid w:val="0005315E"/>
    <w:rsid w:val="000B5934"/>
    <w:rsid w:val="000C11AB"/>
    <w:rsid w:val="00130351"/>
    <w:rsid w:val="00167574"/>
    <w:rsid w:val="00204CCB"/>
    <w:rsid w:val="005433C2"/>
    <w:rsid w:val="00703572"/>
    <w:rsid w:val="00821060"/>
    <w:rsid w:val="008559F0"/>
    <w:rsid w:val="008F5D7B"/>
    <w:rsid w:val="00957C2C"/>
    <w:rsid w:val="00987551"/>
    <w:rsid w:val="00B709A5"/>
    <w:rsid w:val="00C545E8"/>
    <w:rsid w:val="00C944A5"/>
    <w:rsid w:val="00D8603F"/>
    <w:rsid w:val="00E36AE5"/>
    <w:rsid w:val="00EB5ACA"/>
    <w:rsid w:val="00F45F4D"/>
    <w:rsid w:val="00FE73C0"/>
    <w:rsid w:val="01002FD8"/>
    <w:rsid w:val="013011C6"/>
    <w:rsid w:val="01326E0C"/>
    <w:rsid w:val="024A437F"/>
    <w:rsid w:val="02B40E4A"/>
    <w:rsid w:val="031E5362"/>
    <w:rsid w:val="033776FF"/>
    <w:rsid w:val="03FF46F8"/>
    <w:rsid w:val="04524112"/>
    <w:rsid w:val="04691833"/>
    <w:rsid w:val="04766296"/>
    <w:rsid w:val="04A34447"/>
    <w:rsid w:val="04E2638C"/>
    <w:rsid w:val="050D5A14"/>
    <w:rsid w:val="05263697"/>
    <w:rsid w:val="059373CC"/>
    <w:rsid w:val="0748067A"/>
    <w:rsid w:val="07600E3E"/>
    <w:rsid w:val="07666C57"/>
    <w:rsid w:val="07930562"/>
    <w:rsid w:val="07F90866"/>
    <w:rsid w:val="084A5E78"/>
    <w:rsid w:val="08575C49"/>
    <w:rsid w:val="08690CDA"/>
    <w:rsid w:val="08E81FAB"/>
    <w:rsid w:val="097C3930"/>
    <w:rsid w:val="09A362A0"/>
    <w:rsid w:val="09CA2E82"/>
    <w:rsid w:val="09EF4848"/>
    <w:rsid w:val="09F76831"/>
    <w:rsid w:val="0A381B3D"/>
    <w:rsid w:val="0B666116"/>
    <w:rsid w:val="0BA50182"/>
    <w:rsid w:val="0C1F574D"/>
    <w:rsid w:val="0C893A13"/>
    <w:rsid w:val="0D034F27"/>
    <w:rsid w:val="0D464334"/>
    <w:rsid w:val="0E957FAA"/>
    <w:rsid w:val="0EAD6400"/>
    <w:rsid w:val="0EB2449C"/>
    <w:rsid w:val="0F1315C8"/>
    <w:rsid w:val="0F770FEF"/>
    <w:rsid w:val="0F943B78"/>
    <w:rsid w:val="0FDD1E87"/>
    <w:rsid w:val="103A3E3B"/>
    <w:rsid w:val="1043221B"/>
    <w:rsid w:val="110A615F"/>
    <w:rsid w:val="11D41B38"/>
    <w:rsid w:val="120078F2"/>
    <w:rsid w:val="124A3A58"/>
    <w:rsid w:val="1265615D"/>
    <w:rsid w:val="126A3AA1"/>
    <w:rsid w:val="127D2168"/>
    <w:rsid w:val="12B0152A"/>
    <w:rsid w:val="130C7378"/>
    <w:rsid w:val="132441C3"/>
    <w:rsid w:val="138C0D9F"/>
    <w:rsid w:val="138D497A"/>
    <w:rsid w:val="13F200E6"/>
    <w:rsid w:val="14520601"/>
    <w:rsid w:val="149F45DA"/>
    <w:rsid w:val="152701C3"/>
    <w:rsid w:val="1596114D"/>
    <w:rsid w:val="16516B5E"/>
    <w:rsid w:val="165322AC"/>
    <w:rsid w:val="16E161D8"/>
    <w:rsid w:val="181103F6"/>
    <w:rsid w:val="18507F9B"/>
    <w:rsid w:val="187FA68E"/>
    <w:rsid w:val="18C63FBD"/>
    <w:rsid w:val="18E03F26"/>
    <w:rsid w:val="19085866"/>
    <w:rsid w:val="19492FB0"/>
    <w:rsid w:val="19916199"/>
    <w:rsid w:val="19AD013C"/>
    <w:rsid w:val="19B41A39"/>
    <w:rsid w:val="19DDB590"/>
    <w:rsid w:val="1A9E74FF"/>
    <w:rsid w:val="1AB51529"/>
    <w:rsid w:val="1B891EAE"/>
    <w:rsid w:val="1C1B53BC"/>
    <w:rsid w:val="1C3E1AE8"/>
    <w:rsid w:val="1C630A15"/>
    <w:rsid w:val="1CDC469C"/>
    <w:rsid w:val="1CDE5B72"/>
    <w:rsid w:val="1CF81B78"/>
    <w:rsid w:val="1DC13B3D"/>
    <w:rsid w:val="1DDE37B5"/>
    <w:rsid w:val="1DE43916"/>
    <w:rsid w:val="1DFFDFB7"/>
    <w:rsid w:val="1E2F42CA"/>
    <w:rsid w:val="1E5F9AF3"/>
    <w:rsid w:val="1E7A36EF"/>
    <w:rsid w:val="1ED9486A"/>
    <w:rsid w:val="1FC129A2"/>
    <w:rsid w:val="20864F7A"/>
    <w:rsid w:val="20C4453B"/>
    <w:rsid w:val="21394DCD"/>
    <w:rsid w:val="213E3B59"/>
    <w:rsid w:val="21DE3BAA"/>
    <w:rsid w:val="21E52C02"/>
    <w:rsid w:val="2200368C"/>
    <w:rsid w:val="22E04F79"/>
    <w:rsid w:val="22EF7A4A"/>
    <w:rsid w:val="22F26F2C"/>
    <w:rsid w:val="235B7F81"/>
    <w:rsid w:val="23672DCF"/>
    <w:rsid w:val="236A39AD"/>
    <w:rsid w:val="238E4A53"/>
    <w:rsid w:val="23D642E6"/>
    <w:rsid w:val="240C060C"/>
    <w:rsid w:val="24983984"/>
    <w:rsid w:val="24B41C6D"/>
    <w:rsid w:val="251C0FB5"/>
    <w:rsid w:val="252277EA"/>
    <w:rsid w:val="26277CC9"/>
    <w:rsid w:val="2649431C"/>
    <w:rsid w:val="26AE2B78"/>
    <w:rsid w:val="26BB16A5"/>
    <w:rsid w:val="27781AB8"/>
    <w:rsid w:val="27BD2D45"/>
    <w:rsid w:val="27DDC881"/>
    <w:rsid w:val="28D75078"/>
    <w:rsid w:val="297726B9"/>
    <w:rsid w:val="29907687"/>
    <w:rsid w:val="2A0929B1"/>
    <w:rsid w:val="2A5C3B32"/>
    <w:rsid w:val="2A892FBF"/>
    <w:rsid w:val="2A9C61A8"/>
    <w:rsid w:val="2AEC5608"/>
    <w:rsid w:val="2B106D85"/>
    <w:rsid w:val="2B427D37"/>
    <w:rsid w:val="2B58122F"/>
    <w:rsid w:val="2C2C1EA8"/>
    <w:rsid w:val="2C4611CE"/>
    <w:rsid w:val="2C682F29"/>
    <w:rsid w:val="2CDD7176"/>
    <w:rsid w:val="2CDF686E"/>
    <w:rsid w:val="2DBB12D7"/>
    <w:rsid w:val="2E9B7C13"/>
    <w:rsid w:val="2ED84264"/>
    <w:rsid w:val="2EF505CB"/>
    <w:rsid w:val="2FCE0BBC"/>
    <w:rsid w:val="303258A0"/>
    <w:rsid w:val="30475E28"/>
    <w:rsid w:val="30D9345D"/>
    <w:rsid w:val="31005B78"/>
    <w:rsid w:val="315D63C7"/>
    <w:rsid w:val="31690E07"/>
    <w:rsid w:val="31EE04A7"/>
    <w:rsid w:val="31FA2DCA"/>
    <w:rsid w:val="32320A4D"/>
    <w:rsid w:val="32687D93"/>
    <w:rsid w:val="32F719D6"/>
    <w:rsid w:val="331F38ED"/>
    <w:rsid w:val="33511554"/>
    <w:rsid w:val="3376C320"/>
    <w:rsid w:val="33DBFF60"/>
    <w:rsid w:val="34680688"/>
    <w:rsid w:val="34B025BC"/>
    <w:rsid w:val="34BC3202"/>
    <w:rsid w:val="35830BC5"/>
    <w:rsid w:val="363A340C"/>
    <w:rsid w:val="367503F9"/>
    <w:rsid w:val="36EA63DD"/>
    <w:rsid w:val="36F718B6"/>
    <w:rsid w:val="375271AA"/>
    <w:rsid w:val="37860AFD"/>
    <w:rsid w:val="379337A5"/>
    <w:rsid w:val="383B20BE"/>
    <w:rsid w:val="38A27597"/>
    <w:rsid w:val="38F6577C"/>
    <w:rsid w:val="39301C60"/>
    <w:rsid w:val="39790186"/>
    <w:rsid w:val="3A1E738C"/>
    <w:rsid w:val="3A4001A9"/>
    <w:rsid w:val="3B2E3C4C"/>
    <w:rsid w:val="3BB05085"/>
    <w:rsid w:val="3C3415EE"/>
    <w:rsid w:val="3C4B646C"/>
    <w:rsid w:val="3CF613E7"/>
    <w:rsid w:val="3D241A85"/>
    <w:rsid w:val="3D320EF8"/>
    <w:rsid w:val="3DB04328"/>
    <w:rsid w:val="3E525B99"/>
    <w:rsid w:val="3E7AD746"/>
    <w:rsid w:val="3E8340BF"/>
    <w:rsid w:val="3E9F342E"/>
    <w:rsid w:val="3EB65A4D"/>
    <w:rsid w:val="3ECC1BEF"/>
    <w:rsid w:val="3F3D12E0"/>
    <w:rsid w:val="3F6F3691"/>
    <w:rsid w:val="3FDC7835"/>
    <w:rsid w:val="3FFB72BF"/>
    <w:rsid w:val="409E700A"/>
    <w:rsid w:val="410C2F31"/>
    <w:rsid w:val="41526320"/>
    <w:rsid w:val="41991EC2"/>
    <w:rsid w:val="41BA3DAE"/>
    <w:rsid w:val="41F96F13"/>
    <w:rsid w:val="42212022"/>
    <w:rsid w:val="42292FDD"/>
    <w:rsid w:val="426D7469"/>
    <w:rsid w:val="42745392"/>
    <w:rsid w:val="42B55B8B"/>
    <w:rsid w:val="430064ED"/>
    <w:rsid w:val="4319142D"/>
    <w:rsid w:val="432D3120"/>
    <w:rsid w:val="44170545"/>
    <w:rsid w:val="44201001"/>
    <w:rsid w:val="44245B31"/>
    <w:rsid w:val="44392681"/>
    <w:rsid w:val="44CC174A"/>
    <w:rsid w:val="44F046AC"/>
    <w:rsid w:val="45101678"/>
    <w:rsid w:val="45745EBF"/>
    <w:rsid w:val="465C5E6D"/>
    <w:rsid w:val="46945EF3"/>
    <w:rsid w:val="46983386"/>
    <w:rsid w:val="469F3C45"/>
    <w:rsid w:val="46E9643C"/>
    <w:rsid w:val="4707354E"/>
    <w:rsid w:val="47101B0F"/>
    <w:rsid w:val="47366452"/>
    <w:rsid w:val="47A87FDA"/>
    <w:rsid w:val="47B2674B"/>
    <w:rsid w:val="48770B6A"/>
    <w:rsid w:val="48CE0A24"/>
    <w:rsid w:val="48E16B2A"/>
    <w:rsid w:val="48F737ED"/>
    <w:rsid w:val="49131387"/>
    <w:rsid w:val="493432D7"/>
    <w:rsid w:val="49363552"/>
    <w:rsid w:val="49B35060"/>
    <w:rsid w:val="49BB34C6"/>
    <w:rsid w:val="49C40A0D"/>
    <w:rsid w:val="49F30B7B"/>
    <w:rsid w:val="4A1D2278"/>
    <w:rsid w:val="4A374A7F"/>
    <w:rsid w:val="4A3D22F0"/>
    <w:rsid w:val="4AEE184F"/>
    <w:rsid w:val="4B0164CA"/>
    <w:rsid w:val="4B61513B"/>
    <w:rsid w:val="4BE5434E"/>
    <w:rsid w:val="4C972ECF"/>
    <w:rsid w:val="4C9F5CA1"/>
    <w:rsid w:val="4CAA7790"/>
    <w:rsid w:val="4CDE222B"/>
    <w:rsid w:val="4D8F5834"/>
    <w:rsid w:val="4E6840E0"/>
    <w:rsid w:val="4FBB0B95"/>
    <w:rsid w:val="50B84F22"/>
    <w:rsid w:val="514606A0"/>
    <w:rsid w:val="51FB1810"/>
    <w:rsid w:val="52664AE4"/>
    <w:rsid w:val="528602B6"/>
    <w:rsid w:val="52926EE2"/>
    <w:rsid w:val="533E189D"/>
    <w:rsid w:val="53BA2E03"/>
    <w:rsid w:val="53DB7EB4"/>
    <w:rsid w:val="53F903C9"/>
    <w:rsid w:val="5482653F"/>
    <w:rsid w:val="54913067"/>
    <w:rsid w:val="5526473D"/>
    <w:rsid w:val="554603AB"/>
    <w:rsid w:val="555D0DAC"/>
    <w:rsid w:val="55812162"/>
    <w:rsid w:val="56076E5E"/>
    <w:rsid w:val="5621773D"/>
    <w:rsid w:val="56BA190D"/>
    <w:rsid w:val="56E565CC"/>
    <w:rsid w:val="57602F8D"/>
    <w:rsid w:val="57EB9916"/>
    <w:rsid w:val="57F11C8A"/>
    <w:rsid w:val="58080DF0"/>
    <w:rsid w:val="58356845"/>
    <w:rsid w:val="58A03367"/>
    <w:rsid w:val="595C192C"/>
    <w:rsid w:val="59C4157C"/>
    <w:rsid w:val="5A0F4B8B"/>
    <w:rsid w:val="5A2669E9"/>
    <w:rsid w:val="5A2B3DE9"/>
    <w:rsid w:val="5A3A5396"/>
    <w:rsid w:val="5A7C3BBA"/>
    <w:rsid w:val="5A8E527F"/>
    <w:rsid w:val="5B084FCA"/>
    <w:rsid w:val="5B0A4682"/>
    <w:rsid w:val="5BB6541C"/>
    <w:rsid w:val="5BDBE595"/>
    <w:rsid w:val="5BF10E97"/>
    <w:rsid w:val="5C431596"/>
    <w:rsid w:val="5C662681"/>
    <w:rsid w:val="5CDC56F7"/>
    <w:rsid w:val="5CDE64D2"/>
    <w:rsid w:val="5CE04FFD"/>
    <w:rsid w:val="5D102630"/>
    <w:rsid w:val="5D181A53"/>
    <w:rsid w:val="5D286BDB"/>
    <w:rsid w:val="5D3403A1"/>
    <w:rsid w:val="5D7F53DE"/>
    <w:rsid w:val="5DA85D0D"/>
    <w:rsid w:val="5DF56085"/>
    <w:rsid w:val="5E822AB2"/>
    <w:rsid w:val="5E964E7C"/>
    <w:rsid w:val="5F332334"/>
    <w:rsid w:val="5F69523C"/>
    <w:rsid w:val="5F6A721A"/>
    <w:rsid w:val="5F8E201D"/>
    <w:rsid w:val="5F950A0C"/>
    <w:rsid w:val="5FB942F1"/>
    <w:rsid w:val="5FF71487"/>
    <w:rsid w:val="60042BF2"/>
    <w:rsid w:val="603A0DB0"/>
    <w:rsid w:val="60815026"/>
    <w:rsid w:val="609814D8"/>
    <w:rsid w:val="60A91ADA"/>
    <w:rsid w:val="60BB5F36"/>
    <w:rsid w:val="61A166F0"/>
    <w:rsid w:val="624014E5"/>
    <w:rsid w:val="63C4292A"/>
    <w:rsid w:val="63D17651"/>
    <w:rsid w:val="63D41485"/>
    <w:rsid w:val="640360D1"/>
    <w:rsid w:val="650C2334"/>
    <w:rsid w:val="65815925"/>
    <w:rsid w:val="65FF0238"/>
    <w:rsid w:val="66DD55B6"/>
    <w:rsid w:val="67733E48"/>
    <w:rsid w:val="684554EC"/>
    <w:rsid w:val="68666064"/>
    <w:rsid w:val="68AE15A9"/>
    <w:rsid w:val="68C7363B"/>
    <w:rsid w:val="69CE632C"/>
    <w:rsid w:val="6B4C6580"/>
    <w:rsid w:val="6B905B84"/>
    <w:rsid w:val="6BE523C2"/>
    <w:rsid w:val="6C14426F"/>
    <w:rsid w:val="6C45297F"/>
    <w:rsid w:val="6C6031CB"/>
    <w:rsid w:val="6E0719F6"/>
    <w:rsid w:val="6E5F69EF"/>
    <w:rsid w:val="6EDA0B03"/>
    <w:rsid w:val="6EDD7381"/>
    <w:rsid w:val="6F563BA2"/>
    <w:rsid w:val="6F77FD31"/>
    <w:rsid w:val="6FAA6CC6"/>
    <w:rsid w:val="6FFB5F03"/>
    <w:rsid w:val="707D2514"/>
    <w:rsid w:val="70B81184"/>
    <w:rsid w:val="7119381A"/>
    <w:rsid w:val="71372A63"/>
    <w:rsid w:val="71682D82"/>
    <w:rsid w:val="717A5F4F"/>
    <w:rsid w:val="71922502"/>
    <w:rsid w:val="71A73FC4"/>
    <w:rsid w:val="71A90ADD"/>
    <w:rsid w:val="71F723E7"/>
    <w:rsid w:val="72E4087C"/>
    <w:rsid w:val="72F91338"/>
    <w:rsid w:val="73FF4877"/>
    <w:rsid w:val="744910E4"/>
    <w:rsid w:val="74A73E93"/>
    <w:rsid w:val="750E78FA"/>
    <w:rsid w:val="75695D6A"/>
    <w:rsid w:val="75A065A4"/>
    <w:rsid w:val="75B98F41"/>
    <w:rsid w:val="76243F03"/>
    <w:rsid w:val="768D5A51"/>
    <w:rsid w:val="76F334C2"/>
    <w:rsid w:val="784D76B1"/>
    <w:rsid w:val="787F7033"/>
    <w:rsid w:val="79031A24"/>
    <w:rsid w:val="79044B3F"/>
    <w:rsid w:val="795E62A0"/>
    <w:rsid w:val="79B706C6"/>
    <w:rsid w:val="7AAF2C95"/>
    <w:rsid w:val="7B4B7E45"/>
    <w:rsid w:val="7B9C5D5E"/>
    <w:rsid w:val="7C545858"/>
    <w:rsid w:val="7CA51D99"/>
    <w:rsid w:val="7CFF09B3"/>
    <w:rsid w:val="7DEA1791"/>
    <w:rsid w:val="7DFE6506"/>
    <w:rsid w:val="7E26517F"/>
    <w:rsid w:val="7E41741C"/>
    <w:rsid w:val="7E874CCC"/>
    <w:rsid w:val="7F1376DE"/>
    <w:rsid w:val="7F2B66B6"/>
    <w:rsid w:val="7F312F3D"/>
    <w:rsid w:val="7F3659AA"/>
    <w:rsid w:val="7F7E066E"/>
    <w:rsid w:val="7F7FB07B"/>
    <w:rsid w:val="7FB1555E"/>
    <w:rsid w:val="7FDEC98C"/>
    <w:rsid w:val="7FFF6DF3"/>
    <w:rsid w:val="8EFF90F8"/>
    <w:rsid w:val="93F7BF25"/>
    <w:rsid w:val="AF5F7E68"/>
    <w:rsid w:val="B2D7C617"/>
    <w:rsid w:val="B73D1464"/>
    <w:rsid w:val="BAFFC7ED"/>
    <w:rsid w:val="BB323974"/>
    <w:rsid w:val="BF7FB3DB"/>
    <w:rsid w:val="BF9D0310"/>
    <w:rsid w:val="BFFF8F24"/>
    <w:rsid w:val="C32B2441"/>
    <w:rsid w:val="CBFD67B3"/>
    <w:rsid w:val="CFFF9786"/>
    <w:rsid w:val="DE390451"/>
    <w:rsid w:val="DFEFFEA5"/>
    <w:rsid w:val="EFF387D0"/>
    <w:rsid w:val="F3BB177D"/>
    <w:rsid w:val="F7FFE49F"/>
    <w:rsid w:val="F8EAC35B"/>
    <w:rsid w:val="FA7BD233"/>
    <w:rsid w:val="FBBFE17E"/>
    <w:rsid w:val="FBCDD76A"/>
    <w:rsid w:val="FBFFD900"/>
    <w:rsid w:val="FD89F235"/>
    <w:rsid w:val="FDE74D50"/>
    <w:rsid w:val="FEFB8475"/>
    <w:rsid w:val="FF3D0849"/>
    <w:rsid w:val="FF71CFFF"/>
    <w:rsid w:val="FFB61C95"/>
    <w:rsid w:val="FFDC7C66"/>
    <w:rsid w:val="FFEE45E6"/>
    <w:rsid w:val="FFFB2E85"/>
    <w:rsid w:val="FFFC4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link w:val="11"/>
    <w:unhideWhenUsed/>
    <w:qFormat/>
    <w:uiPriority w:val="99"/>
    <w:rPr>
      <w:rFonts w:ascii="Calibri" w:hAnsi="Calibri" w:eastAsia="宋体" w:cs="Times New Roman"/>
      <w:szCs w:val="21"/>
    </w:rPr>
  </w:style>
  <w:style w:type="paragraph" w:styleId="3">
    <w:name w:val="Date"/>
    <w:basedOn w:val="1"/>
    <w:next w:val="1"/>
    <w:link w:val="13"/>
    <w:unhideWhenUsed/>
    <w:qFormat/>
    <w:uiPriority w:val="99"/>
    <w:pPr>
      <w:ind w:left="100" w:leftChars="2500"/>
    </w:p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paragraph" w:customStyle="1" w:styleId="10">
    <w:name w:val="List Paragraph"/>
    <w:basedOn w:val="1"/>
    <w:qFormat/>
    <w:uiPriority w:val="34"/>
    <w:pPr>
      <w:ind w:firstLine="420" w:firstLineChars="200"/>
    </w:pPr>
  </w:style>
  <w:style w:type="character" w:customStyle="1" w:styleId="11">
    <w:name w:val="正文文本 Char"/>
    <w:basedOn w:val="7"/>
    <w:link w:val="2"/>
    <w:qFormat/>
    <w:uiPriority w:val="99"/>
    <w:rPr>
      <w:rFonts w:ascii="Calibri" w:hAnsi="Calibri" w:eastAsia="宋体" w:cs="Times New Roman"/>
      <w:szCs w:val="21"/>
    </w:rPr>
  </w:style>
  <w:style w:type="character" w:customStyle="1" w:styleId="12">
    <w:name w:val="15"/>
    <w:basedOn w:val="7"/>
    <w:qFormat/>
    <w:uiPriority w:val="0"/>
    <w:rPr>
      <w:rFonts w:hint="eastAsia" w:ascii="黑体" w:hAnsi="宋体" w:eastAsia="黑体"/>
      <w:b/>
      <w:bCs/>
      <w:color w:val="FF0000"/>
      <w:sz w:val="40"/>
      <w:szCs w:val="40"/>
    </w:rPr>
  </w:style>
  <w:style w:type="character" w:customStyle="1" w:styleId="13">
    <w:name w:val="日期 Char"/>
    <w:basedOn w:val="7"/>
    <w:link w:val="3"/>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1771</Words>
  <Characters>1785</Characters>
  <Lines>13</Lines>
  <Paragraphs>3</Paragraphs>
  <TotalTime>415</TotalTime>
  <ScaleCrop>false</ScaleCrop>
  <LinksUpToDate>false</LinksUpToDate>
  <CharactersWithSpaces>1790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2021-08-06T07:25:00Z</dcterms:created>
  <dc:creator>杨琳</dc:creator>
  <cp:lastModifiedBy>办公室核稿</cp:lastModifiedBy>
  <cp:lastPrinted>2023-08-19T22:01:00Z</cp:lastPrinted>
  <dcterms:modified xsi:type="dcterms:W3CDTF">2023-08-25T15:46:56Z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B907A2128E4145FA94B81ACE2E4D5A00</vt:lpwstr>
  </property>
</Properties>
</file>