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p>
    <w:p>
      <w:pPr>
        <w:spacing w:line="560" w:lineRule="exact"/>
        <w:jc w:val="left"/>
        <w:rPr>
          <w:rFonts w:ascii="仿宋_GB2312" w:hAnsi="黑体"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val="en-US" w:eastAsia="zh-CN"/>
        </w:rPr>
        <w:t>2022年度</w:t>
      </w:r>
      <w:r>
        <w:rPr>
          <w:rFonts w:hint="eastAsia" w:ascii="方正小标宋简体" w:hAnsi="方正小标宋简体" w:eastAsia="方正小标宋简体" w:cs="方正小标宋简体"/>
          <w:sz w:val="44"/>
          <w:szCs w:val="44"/>
          <w:highlight w:val="none"/>
          <w:lang w:eastAsia="zh-CN"/>
        </w:rPr>
        <w:t>区政务服务数据管理局</w:t>
      </w:r>
      <w:r>
        <w:rPr>
          <w:rFonts w:hint="eastAsia" w:ascii="方正小标宋简体" w:hAnsi="方正小标宋简体" w:eastAsia="方正小标宋简体" w:cs="方正小标宋简体"/>
          <w:sz w:val="44"/>
          <w:szCs w:val="44"/>
          <w:highlight w:val="none"/>
        </w:rPr>
        <w:t>专项债券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项目资金绩效评价报告</w:t>
      </w:r>
    </w:p>
    <w:p>
      <w:pPr>
        <w:pStyle w:val="2"/>
        <w:spacing w:line="560" w:lineRule="exact"/>
      </w:pPr>
    </w:p>
    <w:p>
      <w:pPr>
        <w:keepNext w:val="0"/>
        <w:keepLines w:val="0"/>
        <w:pageBreakBefore w:val="0"/>
        <w:widowControl w:val="0"/>
        <w:kinsoku/>
        <w:wordWrap/>
        <w:overflowPunct/>
        <w:topLinePunct w:val="0"/>
        <w:bidi w:val="0"/>
        <w:adjustRightInd/>
        <w:snapToGrid/>
        <w:spacing w:line="560" w:lineRule="exact"/>
        <w:ind w:firstLine="640" w:firstLineChars="200"/>
        <w:jc w:val="both"/>
        <w:rPr>
          <w:rFonts w:ascii="黑体" w:hAnsi="黑体" w:eastAsia="黑体" w:cs="Times New Roman"/>
          <w:sz w:val="32"/>
          <w:szCs w:val="32"/>
          <w:highlight w:val="none"/>
        </w:rPr>
      </w:pPr>
      <w:r>
        <w:rPr>
          <w:rFonts w:hint="eastAsia" w:ascii="黑体" w:hAnsi="黑体" w:eastAsia="黑体" w:cs="黑体"/>
          <w:sz w:val="32"/>
          <w:szCs w:val="32"/>
          <w:highlight w:val="none"/>
        </w:rPr>
        <w:t>一、基本情况</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outlineLvl w:val="1"/>
        <w:rPr>
          <w:rFonts w:hint="eastAsia" w:ascii="楷体_GB2312" w:hAnsi="楷体_GB2312" w:eastAsia="楷体_GB2312" w:cs="楷体_GB2312"/>
          <w:b w:val="0"/>
          <w:bCs w:val="0"/>
          <w:color w:val="000000"/>
          <w:kern w:val="2"/>
          <w:sz w:val="32"/>
          <w:szCs w:val="32"/>
          <w:lang w:val="en-US"/>
        </w:rPr>
      </w:pPr>
      <w:bookmarkStart w:id="0" w:name="_Toc23832"/>
      <w:bookmarkStart w:id="1" w:name="_Toc25750"/>
      <w:r>
        <w:rPr>
          <w:rFonts w:hint="eastAsia" w:ascii="楷体_GB2312" w:hAnsi="楷体_GB2312" w:eastAsia="楷体_GB2312" w:cs="楷体_GB2312"/>
          <w:b w:val="0"/>
          <w:bCs w:val="0"/>
          <w:color w:val="000000"/>
          <w:kern w:val="2"/>
          <w:sz w:val="32"/>
          <w:szCs w:val="32"/>
          <w:lang w:val="en-US"/>
        </w:rPr>
        <w:t>（一）项目背景</w:t>
      </w:r>
      <w:bookmarkEnd w:id="0"/>
      <w:bookmarkEnd w:id="1"/>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rPr>
          <w:rFonts w:hint="eastAsia" w:ascii="仿宋_GB2312" w:hAnsi="仿宋_GB2312" w:eastAsia="仿宋_GB2312" w:cs="仿宋_GB2312"/>
          <w:color w:val="000000"/>
          <w:kern w:val="2"/>
          <w:sz w:val="32"/>
          <w:szCs w:val="32"/>
          <w:lang w:val="en-US"/>
        </w:rPr>
      </w:pPr>
      <w:r>
        <w:rPr>
          <w:rFonts w:hint="eastAsia" w:ascii="仿宋_GB2312" w:hAnsi="仿宋_GB2312" w:eastAsia="仿宋_GB2312" w:cs="仿宋_GB2312"/>
          <w:color w:val="000000"/>
          <w:kern w:val="2"/>
          <w:sz w:val="32"/>
          <w:szCs w:val="32"/>
          <w:lang w:val="en-US"/>
        </w:rPr>
        <w:t>202</w:t>
      </w:r>
      <w:r>
        <w:rPr>
          <w:rFonts w:hint="eastAsia" w:ascii="仿宋_GB2312" w:hAnsi="仿宋_GB2312" w:eastAsia="仿宋_GB2312" w:cs="仿宋_GB2312"/>
          <w:color w:val="000000"/>
          <w:kern w:val="2"/>
          <w:sz w:val="32"/>
          <w:szCs w:val="32"/>
          <w:lang w:val="en-US" w:eastAsia="zh-CN"/>
        </w:rPr>
        <w:t>2</w:t>
      </w:r>
      <w:r>
        <w:rPr>
          <w:rFonts w:hint="eastAsia" w:ascii="仿宋_GB2312" w:hAnsi="仿宋_GB2312" w:eastAsia="仿宋_GB2312" w:cs="仿宋_GB2312"/>
          <w:color w:val="000000"/>
          <w:kern w:val="2"/>
          <w:sz w:val="32"/>
          <w:szCs w:val="32"/>
          <w:lang w:val="en-US"/>
        </w:rPr>
        <w:t>年</w:t>
      </w:r>
      <w:r>
        <w:rPr>
          <w:rFonts w:hint="eastAsia" w:ascii="仿宋_GB2312" w:hAnsi="仿宋_GB2312" w:eastAsia="仿宋_GB2312" w:cs="仿宋_GB2312"/>
          <w:color w:val="000000"/>
          <w:kern w:val="2"/>
          <w:sz w:val="32"/>
          <w:szCs w:val="32"/>
          <w:lang w:val="en-US" w:eastAsia="zh-CN"/>
        </w:rPr>
        <w:t>5</w:t>
      </w:r>
      <w:r>
        <w:rPr>
          <w:rFonts w:hint="eastAsia" w:ascii="仿宋_GB2312" w:hAnsi="仿宋_GB2312" w:eastAsia="仿宋_GB2312" w:cs="仿宋_GB2312"/>
          <w:color w:val="000000"/>
          <w:kern w:val="2"/>
          <w:sz w:val="32"/>
          <w:szCs w:val="32"/>
          <w:lang w:val="en-US"/>
        </w:rPr>
        <w:t>月，深圳市财政局发行了2022年深圳市政府专项债券（十五期至三十七期），其中，涉及我局</w:t>
      </w:r>
      <w:r>
        <w:rPr>
          <w:rFonts w:hint="eastAsia" w:ascii="仿宋_GB2312" w:hAnsi="仿宋_GB2312" w:eastAsia="仿宋_GB2312" w:cs="仿宋_GB2312"/>
          <w:color w:val="000000"/>
          <w:kern w:val="2"/>
          <w:sz w:val="32"/>
          <w:szCs w:val="32"/>
          <w:lang w:val="en-US" w:eastAsia="zh-CN"/>
        </w:rPr>
        <w:t>的是</w:t>
      </w:r>
      <w:r>
        <w:rPr>
          <w:rFonts w:hint="eastAsia" w:ascii="仿宋_GB2312" w:hAnsi="仿宋_GB2312" w:eastAsia="仿宋_GB2312" w:cs="仿宋_GB2312"/>
          <w:color w:val="000000"/>
          <w:kern w:val="2"/>
          <w:sz w:val="32"/>
          <w:szCs w:val="32"/>
          <w:lang w:val="en-US"/>
        </w:rPr>
        <w:t>2022 年深圳市政府专项债券（三十七期）—龙岗区产业园区基础设施项目，发行额度 2.78 亿元，主管部门为区政务服务数据管理局，项目单位为区水务局、卫生健康局、大数据中心。</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rPr>
          <w:rFonts w:hint="eastAsia" w:ascii="仿宋_GB2312" w:hAnsi="仿宋_GB2312" w:eastAsia="仿宋_GB2312" w:cs="仿宋_GB2312"/>
          <w:color w:val="000000"/>
          <w:kern w:val="2"/>
          <w:sz w:val="32"/>
          <w:szCs w:val="32"/>
          <w:lang w:val="en-US"/>
        </w:rPr>
      </w:pPr>
      <w:r>
        <w:rPr>
          <w:rFonts w:hint="eastAsia" w:ascii="仿宋_GB2312" w:hAnsi="仿宋_GB2312" w:eastAsia="仿宋_GB2312" w:cs="仿宋_GB2312"/>
          <w:color w:val="000000"/>
          <w:kern w:val="2"/>
          <w:sz w:val="32"/>
          <w:szCs w:val="32"/>
          <w:lang w:val="en-US"/>
        </w:rPr>
        <w:t>《中华人民共和国国民经济和社会发展第十四个五年规划和2035年远景目标纲要》提出，要统筹推进传统基础设施和新型基础设施建设，打造系统完备、高效实用、智能绿色、安全可靠的现代化基础设施体系。要围绕强化数字转型、智能升级、融合创新支撑，布局建设信息基础设施、融合基础设施、创新基础设施等新型基础设施。具体包括加快交通、能源、市政等传统基础设施数字化改造，加强泛在感知、终端联网、智能调度体系建设。发挥市场主导作用，打通多元化投资渠道，构建新型基础设施标准体系。</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rPr>
          <w:rFonts w:hint="eastAsia" w:ascii="仿宋_GB2312" w:hAnsi="仿宋_GB2312" w:eastAsia="仿宋_GB2312" w:cs="仿宋_GB2312"/>
          <w:color w:val="000000"/>
          <w:kern w:val="2"/>
          <w:sz w:val="32"/>
          <w:szCs w:val="32"/>
          <w:lang w:val="en-US"/>
        </w:rPr>
      </w:pPr>
      <w:r>
        <w:rPr>
          <w:rFonts w:hint="eastAsia" w:ascii="仿宋_GB2312" w:hAnsi="仿宋_GB2312" w:eastAsia="仿宋_GB2312" w:cs="仿宋_GB2312"/>
          <w:color w:val="000000"/>
          <w:kern w:val="2"/>
          <w:sz w:val="32"/>
          <w:szCs w:val="32"/>
          <w:lang w:val="en-US"/>
        </w:rPr>
        <w:t>《中共深圳市委关于制定深圳市国民经济和社会发展第十四个五年规划和二〇三五年远景目标的建议》提出，为顺应时代发展潮流，抢抓技术产业变革机遇，要加快建设数字政府、智慧城市、数字社会，促进数字化转型；要系统谋划数字化、智能化城市规划建设，科学布局支撑数字化发展的基础网络体系，构建覆盖“5G＋千兆光网＋智慧专网＋卫星网＋物联网”的通信网络基础设施体系；要实施“数字＋”行动，推进城市基础设施数字化改造，适应数字技术全面融入社会生活，形成全民畅享的数字新生活，从而推动城市运转更聪明更智慧。</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rPr>
          <w:rFonts w:hint="eastAsia" w:ascii="仿宋_GB2312" w:hAnsi="仿宋_GB2312" w:eastAsia="仿宋_GB2312" w:cs="仿宋_GB2312"/>
          <w:color w:val="000000"/>
          <w:kern w:val="2"/>
          <w:sz w:val="32"/>
          <w:szCs w:val="32"/>
          <w:lang w:val="en-US"/>
        </w:rPr>
      </w:pPr>
      <w:r>
        <w:rPr>
          <w:rFonts w:hint="eastAsia" w:ascii="仿宋_GB2312" w:hAnsi="仿宋_GB2312" w:eastAsia="仿宋_GB2312" w:cs="仿宋_GB2312"/>
          <w:color w:val="000000"/>
          <w:kern w:val="2"/>
          <w:sz w:val="32"/>
          <w:szCs w:val="32"/>
          <w:lang w:val="en-US"/>
        </w:rPr>
        <w:t>龙岗区将着力在新型基础设施建设、推动新兴产业集聚化规模化发展。围绕5G、人工智能、工业互联网、数据中心等新型基础设施建设领域，加快培育和储备一批具有引领性、带动性的重大项目，推动数字赋能、高端引领发展。突出创新驱动的作用，加强产学研用的协同创新，健全产业链生态体系，构建新产业发展格局，培育壮大新动能，把实体经济做实、做强、做优，促使实体经济发展焕发更强劲的生命力和竞争力。</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rPr>
          <w:rFonts w:hint="eastAsia" w:ascii="仿宋_GB2312" w:hAnsi="仿宋_GB2312" w:eastAsia="仿宋_GB2312" w:cs="仿宋_GB2312"/>
          <w:color w:val="000000"/>
          <w:kern w:val="2"/>
          <w:sz w:val="32"/>
          <w:szCs w:val="32"/>
          <w:lang w:val="en-US"/>
        </w:rPr>
      </w:pPr>
      <w:r>
        <w:rPr>
          <w:rFonts w:hint="eastAsia" w:ascii="仿宋_GB2312" w:hAnsi="仿宋_GB2312" w:eastAsia="仿宋_GB2312" w:cs="仿宋_GB2312"/>
          <w:color w:val="000000"/>
          <w:kern w:val="2"/>
          <w:sz w:val="32"/>
          <w:szCs w:val="32"/>
          <w:lang w:val="en-US"/>
        </w:rPr>
        <w:t>结合上述分析，本项目是国家、省市城市规划中明确提出要加快建设的项目，是龙岗区转型升级，实现发展目标定位的重要组成部分。本项目的建设是落实深圳市和龙岗区发展规划的必要举措。</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outlineLvl w:val="1"/>
        <w:rPr>
          <w:rFonts w:hint="eastAsia" w:ascii="楷体_GB2312" w:hAnsi="楷体_GB2312" w:eastAsia="楷体_GB2312" w:cs="楷体_GB2312"/>
          <w:b w:val="0"/>
          <w:bCs w:val="0"/>
          <w:color w:val="000000"/>
          <w:kern w:val="2"/>
          <w:sz w:val="32"/>
          <w:szCs w:val="32"/>
          <w:lang w:val="en-US"/>
        </w:rPr>
      </w:pPr>
      <w:bookmarkStart w:id="2" w:name="_Toc20568"/>
      <w:bookmarkStart w:id="3" w:name="_Toc19285"/>
      <w:r>
        <w:rPr>
          <w:rFonts w:hint="eastAsia" w:ascii="楷体_GB2312" w:hAnsi="楷体_GB2312" w:eastAsia="楷体_GB2312" w:cs="楷体_GB2312"/>
          <w:b w:val="0"/>
          <w:bCs w:val="0"/>
          <w:color w:val="000000"/>
          <w:kern w:val="2"/>
          <w:sz w:val="32"/>
          <w:szCs w:val="32"/>
          <w:lang w:val="en-US"/>
        </w:rPr>
        <w:t>（二）区域经济状况</w:t>
      </w:r>
      <w:bookmarkEnd w:id="2"/>
      <w:bookmarkEnd w:id="3"/>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rPr>
          <w:rFonts w:hint="eastAsia" w:ascii="仿宋_GB2312" w:hAnsi="仿宋_GB2312" w:eastAsia="仿宋_GB2312" w:cs="仿宋_GB2312"/>
          <w:color w:val="000000"/>
          <w:kern w:val="2"/>
          <w:sz w:val="32"/>
          <w:szCs w:val="32"/>
          <w:lang w:val="en-US"/>
        </w:rPr>
      </w:pPr>
      <w:r>
        <w:rPr>
          <w:rFonts w:hint="eastAsia" w:ascii="仿宋_GB2312" w:hAnsi="仿宋_GB2312" w:eastAsia="仿宋_GB2312" w:cs="仿宋_GB2312"/>
          <w:color w:val="000000"/>
          <w:kern w:val="2"/>
          <w:sz w:val="32"/>
          <w:szCs w:val="32"/>
          <w:lang w:val="en-US"/>
        </w:rPr>
        <w:t>龙岗区位于深圳市东北部，东邻坪山区，南连罗湖区、盐田区，西接龙华区，北靠惠州市、东莞市。辖区总面积388.21平方公里，下辖平湖、坂田、布吉、南湾、横岗、龙城、龙岗、坪地、吉华、园山、宝龙11个街道，111个社区。龙岗距香港30公里，距广州150公里，位于深莞惠城市圈几何中心，是深圳辐射粤东粤北地区的“桥头堡”。如今的龙岗，已从昔日深圳的边缘地区华丽蝶变为全市的城市副中心，成为一个经济发达、社会和谐、宜居宜业、活力迸发的崭新城区，作为落实深圳市东进战略的核心区和主战场，发挥粤港澳大湾区深圳引领作用的重要支撑点。</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outlineLvl w:val="1"/>
        <w:rPr>
          <w:rFonts w:hint="eastAsia" w:ascii="楷体_GB2312" w:hAnsi="楷体_GB2312" w:eastAsia="楷体_GB2312" w:cs="楷体_GB2312"/>
          <w:b w:val="0"/>
          <w:bCs w:val="0"/>
          <w:color w:val="000000"/>
          <w:kern w:val="2"/>
          <w:sz w:val="32"/>
          <w:szCs w:val="32"/>
          <w:lang w:val="en-US"/>
        </w:rPr>
      </w:pPr>
      <w:bookmarkStart w:id="4" w:name="_Toc7007"/>
      <w:r>
        <w:rPr>
          <w:rFonts w:hint="eastAsia" w:ascii="楷体_GB2312" w:hAnsi="楷体_GB2312" w:eastAsia="楷体_GB2312" w:cs="楷体_GB2312"/>
          <w:b w:val="0"/>
          <w:bCs w:val="0"/>
          <w:color w:val="000000"/>
          <w:kern w:val="2"/>
          <w:sz w:val="32"/>
          <w:szCs w:val="32"/>
          <w:lang w:val="en-US"/>
        </w:rPr>
        <w:t>（三）社会效益</w:t>
      </w:r>
      <w:bookmarkEnd w:id="4"/>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rPr>
          <w:rFonts w:hint="eastAsia" w:ascii="仿宋_GB2312" w:hAnsi="仿宋_GB2312" w:eastAsia="仿宋_GB2312" w:cs="仿宋_GB2312"/>
          <w:color w:val="000000"/>
          <w:kern w:val="2"/>
          <w:sz w:val="32"/>
          <w:szCs w:val="32"/>
          <w:lang w:val="en-US"/>
        </w:rPr>
      </w:pPr>
      <w:r>
        <w:rPr>
          <w:rFonts w:hint="eastAsia" w:ascii="仿宋_GB2312" w:hAnsi="仿宋_GB2312" w:eastAsia="仿宋_GB2312" w:cs="仿宋_GB2312"/>
          <w:color w:val="000000"/>
          <w:kern w:val="2"/>
          <w:sz w:val="32"/>
          <w:szCs w:val="32"/>
          <w:lang w:val="en-US"/>
        </w:rPr>
        <w:t>产业园区是中国经济高质量发展的重要组成部分和支撑。伴随信息技术、大数据、5G和区块链技术的快速发展，数字产业和数字经济成为新经济的增长点。国家“第十四个五年规划和2035年远景目标纲要”中指出，加快数字化发展，建设数字中国，加快关键数字技术创新应用，是有效推动数字产业化发展和产业数字化转型，营造良好数字生态的先决条件。</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rPr>
          <w:rFonts w:hint="eastAsia" w:ascii="仿宋_GB2312" w:hAnsi="仿宋_GB2312" w:eastAsia="仿宋_GB2312" w:cs="仿宋_GB2312"/>
          <w:color w:val="000000"/>
          <w:kern w:val="2"/>
          <w:sz w:val="32"/>
          <w:szCs w:val="32"/>
          <w:lang w:val="en-US"/>
        </w:rPr>
      </w:pPr>
      <w:r>
        <w:rPr>
          <w:rFonts w:hint="eastAsia" w:ascii="仿宋_GB2312" w:hAnsi="仿宋_GB2312" w:eastAsia="仿宋_GB2312" w:cs="仿宋_GB2312"/>
          <w:color w:val="000000"/>
          <w:kern w:val="2"/>
          <w:sz w:val="32"/>
          <w:szCs w:val="32"/>
          <w:lang w:val="en-US"/>
        </w:rPr>
        <w:t>综上所述，积极推动开展新型产业园区数字化升级，营造良好数字生态，全面推进打造系统完备、高效实用、智能绿色、安全可靠的现代化基础设施体系，成为信息化时代发展的趋势，各级政府均充分认识到数字化改造的重要意义。</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outlineLvl w:val="1"/>
        <w:rPr>
          <w:rFonts w:hint="eastAsia" w:ascii="楷体_GB2312" w:hAnsi="楷体_GB2312" w:eastAsia="楷体_GB2312" w:cs="楷体_GB2312"/>
          <w:b w:val="0"/>
          <w:bCs w:val="0"/>
          <w:color w:val="000000"/>
          <w:kern w:val="2"/>
          <w:sz w:val="32"/>
          <w:szCs w:val="32"/>
          <w:lang w:val="en-US"/>
        </w:rPr>
      </w:pPr>
      <w:bookmarkStart w:id="5" w:name="_Toc26578"/>
      <w:bookmarkStart w:id="6" w:name="_Toc6869"/>
      <w:r>
        <w:rPr>
          <w:rFonts w:hint="eastAsia" w:ascii="楷体_GB2312" w:hAnsi="楷体_GB2312" w:eastAsia="楷体_GB2312" w:cs="楷体_GB2312"/>
          <w:b w:val="0"/>
          <w:bCs w:val="0"/>
          <w:color w:val="000000"/>
          <w:kern w:val="2"/>
          <w:sz w:val="32"/>
          <w:szCs w:val="32"/>
          <w:lang w:val="en-US"/>
        </w:rPr>
        <w:t>（四）项目相关情况</w:t>
      </w:r>
      <w:bookmarkEnd w:id="5"/>
      <w:bookmarkEnd w:id="6"/>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rPr>
          <w:rFonts w:hint="default" w:ascii="仿宋_GB2312" w:hAnsi="仿宋_GB2312" w:eastAsia="仿宋_GB2312" w:cs="仿宋_GB2312"/>
          <w:color w:val="000000"/>
          <w:kern w:val="2"/>
          <w:sz w:val="32"/>
          <w:szCs w:val="32"/>
          <w:lang w:val="en-US" w:eastAsia="zh-CN"/>
        </w:rPr>
      </w:pPr>
      <w:r>
        <w:rPr>
          <w:rFonts w:hint="eastAsia" w:ascii="仿宋_GB2312" w:hAnsi="仿宋_GB2312" w:eastAsia="仿宋_GB2312" w:cs="仿宋_GB2312"/>
          <w:color w:val="000000"/>
          <w:kern w:val="2"/>
          <w:sz w:val="32"/>
          <w:szCs w:val="32"/>
          <w:lang w:val="en-US"/>
        </w:rPr>
        <w:t>本项目包含智慧龙岗2.0项目、龙岗区智慧水务建设工程一期、龙岗区区域医院信息系统及区域卫生信息平台升级建设工程、区级三甲复审（评审）配套信息化项目</w:t>
      </w:r>
      <w:r>
        <w:rPr>
          <w:rFonts w:hint="eastAsia" w:ascii="仿宋_GB2312" w:hAnsi="仿宋_GB2312" w:eastAsia="仿宋_GB2312" w:cs="仿宋_GB2312"/>
          <w:color w:val="000000"/>
          <w:kern w:val="2"/>
          <w:sz w:val="32"/>
          <w:szCs w:val="32"/>
          <w:lang w:val="en-US" w:eastAsia="zh-CN"/>
        </w:rPr>
        <w:t>，共计</w:t>
      </w:r>
      <w:r>
        <w:rPr>
          <w:rFonts w:hint="eastAsia" w:ascii="仿宋_GB2312" w:hAnsi="仿宋_GB2312" w:eastAsia="仿宋_GB2312" w:cs="仿宋_GB2312"/>
          <w:color w:val="000000"/>
          <w:kern w:val="2"/>
          <w:sz w:val="32"/>
          <w:szCs w:val="32"/>
          <w:lang w:val="en-US"/>
        </w:rPr>
        <w:t>4个子项目</w:t>
      </w:r>
      <w:r>
        <w:rPr>
          <w:rFonts w:hint="eastAsia" w:ascii="仿宋_GB2312" w:hAnsi="仿宋_GB2312" w:eastAsia="仿宋_GB2312" w:cs="仿宋_GB2312"/>
          <w:color w:val="000000"/>
          <w:kern w:val="2"/>
          <w:sz w:val="32"/>
          <w:szCs w:val="32"/>
          <w:lang w:val="en-US" w:eastAsia="zh-CN"/>
        </w:rPr>
        <w:t>。</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outlineLvl w:val="1"/>
        <w:rPr>
          <w:rFonts w:hint="eastAsia" w:ascii="楷体_GB2312" w:hAnsi="楷体_GB2312" w:eastAsia="楷体_GB2312" w:cs="楷体_GB2312"/>
          <w:b w:val="0"/>
          <w:bCs w:val="0"/>
          <w:color w:val="000000"/>
          <w:kern w:val="2"/>
          <w:sz w:val="32"/>
          <w:szCs w:val="32"/>
          <w:lang w:val="en-US"/>
        </w:rPr>
      </w:pPr>
      <w:bookmarkStart w:id="7" w:name="_Toc23833"/>
      <w:bookmarkStart w:id="8" w:name="_Toc6274"/>
      <w:r>
        <w:rPr>
          <w:rFonts w:hint="eastAsia" w:ascii="楷体_GB2312" w:hAnsi="楷体_GB2312" w:eastAsia="楷体_GB2312" w:cs="楷体_GB2312"/>
          <w:b w:val="0"/>
          <w:bCs w:val="0"/>
          <w:color w:val="000000"/>
          <w:kern w:val="2"/>
          <w:sz w:val="32"/>
          <w:szCs w:val="32"/>
          <w:lang w:val="en-US"/>
        </w:rPr>
        <w:t>（五）实施单位和主管部门</w:t>
      </w:r>
      <w:bookmarkEnd w:id="7"/>
      <w:bookmarkEnd w:id="8"/>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rPr>
          <w:rFonts w:hint="eastAsia" w:ascii="仿宋_GB2312" w:hAnsi="仿宋_GB2312" w:eastAsia="仿宋_GB2312" w:cs="仿宋_GB2312"/>
          <w:color w:val="000000"/>
          <w:kern w:val="2"/>
          <w:sz w:val="32"/>
          <w:szCs w:val="32"/>
          <w:lang w:val="en-US"/>
        </w:rPr>
      </w:pPr>
      <w:r>
        <w:rPr>
          <w:rFonts w:hint="eastAsia" w:ascii="仿宋_GB2312" w:hAnsi="仿宋_GB2312" w:eastAsia="仿宋_GB2312" w:cs="仿宋_GB2312"/>
          <w:color w:val="000000"/>
          <w:kern w:val="2"/>
          <w:sz w:val="32"/>
          <w:szCs w:val="32"/>
          <w:lang w:val="en-US"/>
        </w:rPr>
        <w:t>1</w:t>
      </w:r>
      <w:r>
        <w:rPr>
          <w:rFonts w:hint="eastAsia" w:ascii="仿宋_GB2312" w:hAnsi="仿宋_GB2312" w:eastAsia="仿宋_GB2312" w:cs="仿宋_GB2312"/>
          <w:color w:val="000000"/>
          <w:kern w:val="2"/>
          <w:sz w:val="32"/>
          <w:szCs w:val="32"/>
          <w:lang w:val="en-US" w:eastAsia="zh-CN"/>
        </w:rPr>
        <w:t>.</w:t>
      </w:r>
      <w:r>
        <w:rPr>
          <w:rFonts w:hint="eastAsia" w:ascii="仿宋_GB2312" w:hAnsi="仿宋_GB2312" w:eastAsia="仿宋_GB2312" w:cs="仿宋_GB2312"/>
          <w:color w:val="000000"/>
          <w:kern w:val="2"/>
          <w:sz w:val="32"/>
          <w:szCs w:val="32"/>
          <w:lang w:val="en-US"/>
        </w:rPr>
        <w:t>2022 年深圳市政府专项债券（三十七期）—龙岗区产业园区基础设施项目</w:t>
      </w:r>
      <w:r>
        <w:rPr>
          <w:rFonts w:hint="eastAsia" w:ascii="仿宋_GB2312" w:hAnsi="仿宋_GB2312" w:eastAsia="仿宋_GB2312" w:cs="仿宋_GB2312"/>
          <w:color w:val="000000"/>
          <w:kern w:val="2"/>
          <w:sz w:val="32"/>
          <w:szCs w:val="32"/>
          <w:lang w:val="en-US" w:eastAsia="zh-CN"/>
        </w:rPr>
        <w:t>，主管为</w:t>
      </w:r>
      <w:r>
        <w:rPr>
          <w:rFonts w:hint="eastAsia" w:ascii="仿宋_GB2312" w:hAnsi="仿宋_GB2312" w:eastAsia="仿宋_GB2312" w:cs="仿宋_GB2312"/>
          <w:color w:val="000000"/>
          <w:kern w:val="2"/>
          <w:sz w:val="32"/>
          <w:szCs w:val="32"/>
          <w:lang w:val="en-US"/>
        </w:rPr>
        <w:t>龙岗区政务服务数据管理局。</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rPr>
          <w:rFonts w:hint="eastAsia" w:ascii="仿宋_GB2312" w:hAnsi="仿宋_GB2312" w:eastAsia="仿宋_GB2312" w:cs="仿宋_GB2312"/>
          <w:color w:val="000000"/>
          <w:kern w:val="2"/>
          <w:sz w:val="32"/>
          <w:szCs w:val="32"/>
          <w:lang w:val="en-US"/>
        </w:rPr>
      </w:pPr>
      <w:r>
        <w:rPr>
          <w:rFonts w:hint="eastAsia" w:ascii="仿宋_GB2312" w:hAnsi="仿宋_GB2312" w:eastAsia="仿宋_GB2312" w:cs="仿宋_GB2312"/>
          <w:color w:val="000000"/>
          <w:kern w:val="2"/>
          <w:sz w:val="32"/>
          <w:szCs w:val="32"/>
          <w:lang w:val="en-US"/>
        </w:rPr>
        <w:t>2</w:t>
      </w:r>
      <w:r>
        <w:rPr>
          <w:rFonts w:hint="eastAsia" w:ascii="仿宋_GB2312" w:hAnsi="仿宋_GB2312" w:eastAsia="仿宋_GB2312" w:cs="仿宋_GB2312"/>
          <w:color w:val="000000"/>
          <w:kern w:val="2"/>
          <w:sz w:val="32"/>
          <w:szCs w:val="32"/>
          <w:lang w:val="en-US" w:eastAsia="zh-CN"/>
        </w:rPr>
        <w:t>.</w:t>
      </w:r>
      <w:r>
        <w:rPr>
          <w:rFonts w:hint="eastAsia" w:ascii="仿宋_GB2312" w:hAnsi="仿宋_GB2312" w:eastAsia="仿宋_GB2312" w:cs="仿宋_GB2312"/>
          <w:color w:val="000000"/>
          <w:kern w:val="2"/>
          <w:sz w:val="32"/>
          <w:szCs w:val="32"/>
          <w:lang w:val="en-US"/>
        </w:rPr>
        <w:t>2022 年深圳市政府专项债券（三十七期）—龙岗区产业园区基础设施项目，实施单位为区水务局、卫生健康局、大数据中心。</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outlineLvl w:val="1"/>
        <w:rPr>
          <w:rFonts w:hint="eastAsia" w:ascii="楷体_GB2312" w:hAnsi="楷体_GB2312" w:eastAsia="楷体_GB2312" w:cs="楷体_GB2312"/>
          <w:b w:val="0"/>
          <w:bCs w:val="0"/>
          <w:color w:val="000000"/>
          <w:kern w:val="2"/>
          <w:sz w:val="32"/>
          <w:szCs w:val="32"/>
          <w:lang w:val="en-US"/>
        </w:rPr>
      </w:pPr>
      <w:r>
        <w:rPr>
          <w:rFonts w:hint="eastAsia" w:ascii="楷体_GB2312" w:hAnsi="楷体_GB2312" w:eastAsia="楷体_GB2312" w:cs="楷体_GB2312"/>
          <w:b w:val="0"/>
          <w:bCs w:val="0"/>
          <w:color w:val="000000"/>
          <w:kern w:val="2"/>
          <w:sz w:val="32"/>
          <w:szCs w:val="32"/>
          <w:lang w:val="en-US"/>
        </w:rPr>
        <w:t>（</w:t>
      </w:r>
      <w:r>
        <w:rPr>
          <w:rFonts w:hint="eastAsia" w:ascii="楷体_GB2312" w:hAnsi="楷体_GB2312" w:eastAsia="楷体_GB2312" w:cs="楷体_GB2312"/>
          <w:b w:val="0"/>
          <w:bCs w:val="0"/>
          <w:color w:val="000000"/>
          <w:kern w:val="2"/>
          <w:sz w:val="32"/>
          <w:szCs w:val="32"/>
          <w:lang w:val="en-US" w:eastAsia="zh-CN"/>
        </w:rPr>
        <w:t>六</w:t>
      </w:r>
      <w:r>
        <w:rPr>
          <w:rFonts w:hint="eastAsia" w:ascii="楷体_GB2312" w:hAnsi="楷体_GB2312" w:eastAsia="楷体_GB2312" w:cs="楷体_GB2312"/>
          <w:b w:val="0"/>
          <w:bCs w:val="0"/>
          <w:color w:val="000000"/>
          <w:kern w:val="2"/>
          <w:sz w:val="32"/>
          <w:szCs w:val="32"/>
          <w:lang w:val="en-US"/>
        </w:rPr>
        <w:t>）项目绩效目标</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rPr>
          <w:rFonts w:hint="eastAsia" w:ascii="仿宋_GB2312" w:hAnsi="仿宋_GB2312" w:eastAsia="仿宋_GB2312" w:cs="仿宋_GB2312"/>
          <w:color w:val="000000"/>
          <w:kern w:val="2"/>
          <w:sz w:val="32"/>
          <w:szCs w:val="32"/>
          <w:lang w:val="en-US"/>
        </w:rPr>
      </w:pPr>
      <w:r>
        <w:rPr>
          <w:rFonts w:hint="eastAsia" w:ascii="仿宋_GB2312" w:hAnsi="仿宋_GB2312" w:eastAsia="仿宋_GB2312" w:cs="仿宋_GB2312"/>
          <w:color w:val="000000"/>
          <w:kern w:val="2"/>
          <w:sz w:val="32"/>
          <w:szCs w:val="32"/>
          <w:lang w:val="en-US" w:eastAsia="zh-CN"/>
        </w:rPr>
        <w:t>1.</w:t>
      </w:r>
      <w:r>
        <w:rPr>
          <w:rFonts w:hint="eastAsia" w:ascii="仿宋_GB2312" w:hAnsi="仿宋_GB2312" w:eastAsia="仿宋_GB2312" w:cs="仿宋_GB2312"/>
          <w:color w:val="000000"/>
          <w:kern w:val="2"/>
          <w:sz w:val="32"/>
          <w:szCs w:val="32"/>
          <w:lang w:val="en-US"/>
        </w:rPr>
        <w:t>项目总体绩效目标</w:t>
      </w:r>
      <w:r>
        <w:rPr>
          <w:rFonts w:hint="eastAsia" w:ascii="仿宋_GB2312" w:hAnsi="仿宋_GB2312" w:eastAsia="仿宋_GB2312" w:cs="仿宋_GB2312"/>
          <w:color w:val="000000"/>
          <w:kern w:val="2"/>
          <w:sz w:val="32"/>
          <w:szCs w:val="32"/>
          <w:lang w:val="en-US" w:eastAsia="zh-CN"/>
        </w:rPr>
        <w:t>：</w:t>
      </w:r>
      <w:r>
        <w:rPr>
          <w:rFonts w:hint="eastAsia" w:ascii="仿宋_GB2312" w:hAnsi="仿宋_GB2312" w:eastAsia="仿宋_GB2312" w:cs="仿宋_GB2312"/>
          <w:color w:val="000000"/>
          <w:kern w:val="2"/>
          <w:sz w:val="32"/>
          <w:szCs w:val="32"/>
          <w:lang w:val="en-US"/>
        </w:rPr>
        <w:t>通过新型基础设施建设，强化龙岗区基础底座建设，支撑智慧龙岗各类应用建设，助力龙岗区数字化转型。</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rPr>
          <w:rFonts w:hint="eastAsia" w:ascii="仿宋_GB2312" w:hAnsi="仿宋_GB2312" w:eastAsia="仿宋_GB2312" w:cs="仿宋_GB2312"/>
          <w:color w:val="000000"/>
          <w:kern w:val="2"/>
          <w:sz w:val="32"/>
          <w:szCs w:val="32"/>
          <w:lang w:val="en-US"/>
        </w:rPr>
      </w:pPr>
      <w:r>
        <w:rPr>
          <w:rFonts w:hint="eastAsia" w:ascii="仿宋_GB2312" w:hAnsi="仿宋_GB2312" w:eastAsia="仿宋_GB2312" w:cs="仿宋_GB2312"/>
          <w:color w:val="000000"/>
          <w:kern w:val="2"/>
          <w:sz w:val="32"/>
          <w:szCs w:val="32"/>
          <w:lang w:val="en-US" w:eastAsia="zh-CN"/>
        </w:rPr>
        <w:t>2.</w:t>
      </w:r>
      <w:r>
        <w:rPr>
          <w:rFonts w:hint="eastAsia" w:ascii="仿宋_GB2312" w:hAnsi="仿宋_GB2312" w:eastAsia="仿宋_GB2312" w:cs="仿宋_GB2312"/>
          <w:color w:val="000000"/>
          <w:kern w:val="2"/>
          <w:sz w:val="32"/>
          <w:szCs w:val="32"/>
          <w:lang w:val="en-US"/>
        </w:rPr>
        <w:t>年度绩效目标</w:t>
      </w:r>
      <w:r>
        <w:rPr>
          <w:rFonts w:hint="eastAsia" w:ascii="仿宋_GB2312" w:hAnsi="仿宋_GB2312" w:eastAsia="仿宋_GB2312" w:cs="仿宋_GB2312"/>
          <w:color w:val="000000"/>
          <w:kern w:val="2"/>
          <w:sz w:val="32"/>
          <w:szCs w:val="32"/>
          <w:lang w:val="en-US" w:eastAsia="zh-CN"/>
        </w:rPr>
        <w:t>：</w:t>
      </w:r>
      <w:r>
        <w:rPr>
          <w:rFonts w:hint="eastAsia" w:ascii="仿宋_GB2312" w:hAnsi="仿宋_GB2312" w:eastAsia="仿宋_GB2312" w:cs="仿宋_GB2312"/>
          <w:color w:val="000000"/>
          <w:kern w:val="2"/>
          <w:sz w:val="32"/>
          <w:szCs w:val="32"/>
          <w:lang w:val="en-US"/>
        </w:rPr>
        <w:t>加快推进新型基础设施建设项目，按计划完成任务。</w:t>
      </w:r>
    </w:p>
    <w:p>
      <w:pPr>
        <w:keepNext w:val="0"/>
        <w:keepLines w:val="0"/>
        <w:pageBreakBefore w:val="0"/>
        <w:widowControl w:val="0"/>
        <w:kinsoku/>
        <w:wordWrap/>
        <w:overflowPunct/>
        <w:topLinePunct w:val="0"/>
        <w:bidi w:val="0"/>
        <w:adjustRightInd/>
        <w:snapToGrid/>
        <w:spacing w:line="560" w:lineRule="exact"/>
        <w:ind w:firstLine="640" w:firstLineChars="200"/>
        <w:jc w:val="both"/>
        <w:rPr>
          <w:rFonts w:ascii="黑体" w:hAnsi="黑体" w:eastAsia="黑体" w:cs="Times New Roman"/>
          <w:sz w:val="32"/>
          <w:szCs w:val="32"/>
          <w:highlight w:val="none"/>
        </w:rPr>
      </w:pPr>
      <w:r>
        <w:rPr>
          <w:rFonts w:hint="eastAsia" w:ascii="黑体" w:hAnsi="黑体" w:eastAsia="黑体" w:cs="黑体"/>
          <w:sz w:val="32"/>
          <w:szCs w:val="32"/>
          <w:highlight w:val="none"/>
        </w:rPr>
        <w:t>二、绩效评价工作开展情况</w:t>
      </w:r>
    </w:p>
    <w:p>
      <w:pPr>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楷体_GB2312" w:eastAsia="楷体_GB2312" w:cs="楷体_GB2312"/>
          <w:sz w:val="32"/>
          <w:szCs w:val="32"/>
          <w:highlight w:val="none"/>
        </w:rPr>
      </w:pPr>
      <w:r>
        <w:rPr>
          <w:rFonts w:hint="eastAsia" w:ascii="楷体_GB2312" w:eastAsia="楷体_GB2312" w:cs="楷体_GB2312"/>
          <w:sz w:val="32"/>
          <w:szCs w:val="32"/>
          <w:highlight w:val="none"/>
        </w:rPr>
        <w:t>（一）绩效评价目的和对象</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1.绩效评价目的：</w:t>
      </w:r>
      <w:r>
        <w:rPr>
          <w:rFonts w:hint="default" w:ascii="仿宋_GB2312" w:hAnsi="仿宋_GB2312" w:eastAsia="仿宋_GB2312" w:cs="仿宋_GB2312"/>
          <w:sz w:val="32"/>
          <w:szCs w:val="32"/>
        </w:rPr>
        <w:t>确保专项债券资金规范、高效使用。</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2.绩效评价对象：</w:t>
      </w:r>
      <w:r>
        <w:rPr>
          <w:rFonts w:hint="eastAsia" w:ascii="仿宋_GB2312" w:hAnsi="仿宋_GB2312" w:eastAsia="仿宋_GB2312" w:cs="仿宋_GB2312"/>
          <w:sz w:val="32"/>
          <w:szCs w:val="32"/>
          <w:lang w:eastAsia="zh-CN"/>
        </w:rPr>
        <w:t>2022年深圳市政府专项债券（三十七期）—龙岗区产业园区基础设施项目</w:t>
      </w:r>
    </w:p>
    <w:p>
      <w:pPr>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楷体_GB2312" w:eastAsia="楷体_GB2312" w:cs="楷体_GB2312"/>
          <w:sz w:val="32"/>
          <w:szCs w:val="32"/>
          <w:highlight w:val="none"/>
        </w:rPr>
      </w:pPr>
      <w:r>
        <w:rPr>
          <w:rFonts w:hint="eastAsia" w:ascii="楷体_GB2312" w:eastAsia="楷体_GB2312" w:cs="楷体_GB2312"/>
          <w:sz w:val="32"/>
          <w:szCs w:val="32"/>
          <w:highlight w:val="none"/>
        </w:rPr>
        <w:t>（二）绩效评价指标体系（附表说明）、评价标准、评价方法等</w:t>
      </w:r>
    </w:p>
    <w:tbl>
      <w:tblPr>
        <w:tblStyle w:val="8"/>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384"/>
        <w:gridCol w:w="2093"/>
        <w:gridCol w:w="744"/>
        <w:gridCol w:w="1557"/>
        <w:gridCol w:w="382"/>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949" w:type="dxa"/>
            <w:gridSpan w:val="2"/>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p>
        </w:tc>
        <w:tc>
          <w:tcPr>
            <w:tcW w:w="2837" w:type="dxa"/>
            <w:gridSpan w:val="2"/>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2022年龙岗区产业园区基础设施项目</w:t>
            </w:r>
          </w:p>
        </w:tc>
        <w:tc>
          <w:tcPr>
            <w:tcW w:w="1557" w:type="dxa"/>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投向领域</w:t>
            </w:r>
          </w:p>
        </w:tc>
        <w:tc>
          <w:tcPr>
            <w:tcW w:w="2746" w:type="dxa"/>
            <w:gridSpan w:val="2"/>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产业园区基础设施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949" w:type="dxa"/>
            <w:gridSpan w:val="2"/>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项目行业主管部门</w:t>
            </w:r>
          </w:p>
        </w:tc>
        <w:tc>
          <w:tcPr>
            <w:tcW w:w="2837" w:type="dxa"/>
            <w:gridSpan w:val="2"/>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龙岗区</w:t>
            </w:r>
            <w:r>
              <w:rPr>
                <w:rFonts w:hint="eastAsia" w:ascii="仿宋_GB2312" w:hAnsi="仿宋_GB2312" w:eastAsia="仿宋_GB2312" w:cs="仿宋_GB2312"/>
                <w:sz w:val="32"/>
                <w:szCs w:val="32"/>
                <w:lang w:eastAsia="zh-CN"/>
              </w:rPr>
              <w:t>政务服务数据管理</w:t>
            </w:r>
            <w:r>
              <w:rPr>
                <w:rFonts w:hint="eastAsia" w:ascii="仿宋_GB2312" w:hAnsi="仿宋_GB2312" w:eastAsia="仿宋_GB2312" w:cs="仿宋_GB2312"/>
                <w:sz w:val="32"/>
                <w:szCs w:val="32"/>
              </w:rPr>
              <w:t>局</w:t>
            </w:r>
          </w:p>
        </w:tc>
        <w:tc>
          <w:tcPr>
            <w:tcW w:w="1557" w:type="dxa"/>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项目单位</w:t>
            </w:r>
          </w:p>
        </w:tc>
        <w:tc>
          <w:tcPr>
            <w:tcW w:w="2746" w:type="dxa"/>
            <w:gridSpan w:val="2"/>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龙岗区</w:t>
            </w:r>
            <w:r>
              <w:rPr>
                <w:rFonts w:hint="eastAsia" w:ascii="仿宋_GB2312" w:hAnsi="仿宋_GB2312" w:eastAsia="仿宋_GB2312" w:cs="仿宋_GB2312"/>
                <w:sz w:val="32"/>
                <w:szCs w:val="32"/>
                <w:lang w:eastAsia="zh-CN"/>
              </w:rPr>
              <w:t>大数据中心</w:t>
            </w:r>
            <w:r>
              <w:rPr>
                <w:rFonts w:hint="eastAsia" w:ascii="仿宋_GB2312" w:hAnsi="仿宋_GB2312" w:eastAsia="仿宋_GB2312" w:cs="仿宋_GB2312"/>
                <w:sz w:val="32"/>
                <w:szCs w:val="32"/>
              </w:rPr>
              <w:t>、龙岗区水务局、龙岗区卫生健康局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49" w:type="dxa"/>
            <w:gridSpan w:val="2"/>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政策依据</w:t>
            </w:r>
          </w:p>
        </w:tc>
        <w:tc>
          <w:tcPr>
            <w:tcW w:w="7140" w:type="dxa"/>
            <w:gridSpan w:val="5"/>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深龙发改〔2019〕812号及各子项目批复文件等。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949" w:type="dxa"/>
            <w:gridSpan w:val="2"/>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计划开工时间</w:t>
            </w:r>
          </w:p>
        </w:tc>
        <w:tc>
          <w:tcPr>
            <w:tcW w:w="2837" w:type="dxa"/>
            <w:gridSpan w:val="2"/>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p>
        </w:tc>
        <w:tc>
          <w:tcPr>
            <w:tcW w:w="1557" w:type="dxa"/>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计划竣工时间</w:t>
            </w:r>
          </w:p>
        </w:tc>
        <w:tc>
          <w:tcPr>
            <w:tcW w:w="2746" w:type="dxa"/>
            <w:gridSpan w:val="2"/>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jc w:val="center"/>
        </w:trPr>
        <w:tc>
          <w:tcPr>
            <w:tcW w:w="1949" w:type="dxa"/>
            <w:gridSpan w:val="2"/>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w:t>
            </w:r>
          </w:p>
        </w:tc>
        <w:tc>
          <w:tcPr>
            <w:tcW w:w="7140" w:type="dxa"/>
            <w:gridSpan w:val="5"/>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本项目包含智慧龙岗2.0项目、龙岗区智慧水务建设工程一期、龙岗区区域医院信息系统及区域卫生信息平台升级建设工程、区级三甲复审（评审）配套信息化项目，共计4个子项目。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949" w:type="dxa"/>
            <w:gridSpan w:val="2"/>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总体资金</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需求</w:t>
            </w:r>
          </w:p>
        </w:tc>
        <w:tc>
          <w:tcPr>
            <w:tcW w:w="2837" w:type="dxa"/>
            <w:gridSpan w:val="2"/>
            <w:shd w:val="clear" w:color="auto" w:fill="auto"/>
            <w:vAlign w:val="center"/>
          </w:tcPr>
          <w:p>
            <w:pPr>
              <w:keepNext w:val="0"/>
              <w:keepLines w:val="0"/>
              <w:pageBreakBefore w:val="0"/>
              <w:widowControl w:val="0"/>
              <w:kinsoku/>
              <w:wordWrap/>
              <w:overflowPunct/>
              <w:topLinePunct w:val="0"/>
              <w:bidi w:val="0"/>
              <w:adjustRightInd/>
              <w:snapToGrid/>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债券资金需求：27,800万元；其他资金：65,979万元</w:t>
            </w:r>
          </w:p>
        </w:tc>
        <w:tc>
          <w:tcPr>
            <w:tcW w:w="1557" w:type="dxa"/>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年度资金需求</w:t>
            </w:r>
          </w:p>
        </w:tc>
        <w:tc>
          <w:tcPr>
            <w:tcW w:w="2746" w:type="dxa"/>
            <w:gridSpan w:val="2"/>
            <w:shd w:val="clear" w:color="auto" w:fill="auto"/>
            <w:vAlign w:val="center"/>
          </w:tcPr>
          <w:p>
            <w:pPr>
              <w:keepNext w:val="0"/>
              <w:keepLines w:val="0"/>
              <w:pageBreakBefore w:val="0"/>
              <w:widowControl w:val="0"/>
              <w:kinsoku/>
              <w:wordWrap/>
              <w:overflowPunct/>
              <w:topLinePunct w:val="0"/>
              <w:bidi w:val="0"/>
              <w:adjustRightInd/>
              <w:snapToGrid/>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债券资金需求：27,800万元；其他资金：1,159万元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9" w:type="dxa"/>
            <w:gridSpan w:val="2"/>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拟发债期限内项目净收益</w:t>
            </w:r>
          </w:p>
        </w:tc>
        <w:tc>
          <w:tcPr>
            <w:tcW w:w="7140" w:type="dxa"/>
            <w:gridSpan w:val="5"/>
            <w:vAlign w:val="center"/>
          </w:tcPr>
          <w:p>
            <w:pPr>
              <w:keepNext w:val="0"/>
              <w:keepLines w:val="0"/>
              <w:pageBreakBefore w:val="0"/>
              <w:widowControl w:val="0"/>
              <w:kinsoku/>
              <w:wordWrap/>
              <w:overflowPunct/>
              <w:topLinePunct w:val="0"/>
              <w:bidi w:val="0"/>
              <w:adjustRightInd/>
              <w:snapToGrid/>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本项目收入来源为保障房收入。自2022年起每年平均收入预计2,648万元，拟发债期限内项目收入合计55,599万元。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949" w:type="dxa"/>
            <w:gridSpan w:val="2"/>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总体绩效</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w:t>
            </w:r>
          </w:p>
        </w:tc>
        <w:tc>
          <w:tcPr>
            <w:tcW w:w="7140" w:type="dxa"/>
            <w:gridSpan w:val="5"/>
            <w:vAlign w:val="center"/>
          </w:tcPr>
          <w:p>
            <w:pPr>
              <w:keepNext w:val="0"/>
              <w:keepLines w:val="0"/>
              <w:pageBreakBefore w:val="0"/>
              <w:widowControl w:val="0"/>
              <w:kinsoku/>
              <w:wordWrap/>
              <w:overflowPunct/>
              <w:topLinePunct w:val="0"/>
              <w:bidi w:val="0"/>
              <w:adjustRightInd/>
              <w:snapToGrid/>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个新型基础设施建设，强化龙岗区基础底座建设，支撑智慧龙岗各类应用建设，助力龙岗区数字化转型。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9" w:type="dxa"/>
            <w:gridSpan w:val="2"/>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年度绩效</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w:t>
            </w:r>
          </w:p>
        </w:tc>
        <w:tc>
          <w:tcPr>
            <w:tcW w:w="7140" w:type="dxa"/>
            <w:gridSpan w:val="5"/>
            <w:vAlign w:val="center"/>
          </w:tcPr>
          <w:p>
            <w:pPr>
              <w:keepNext w:val="0"/>
              <w:keepLines w:val="0"/>
              <w:pageBreakBefore w:val="0"/>
              <w:widowControl w:val="0"/>
              <w:kinsoku/>
              <w:wordWrap/>
              <w:overflowPunct/>
              <w:topLinePunct w:val="0"/>
              <w:bidi w:val="0"/>
              <w:adjustRightInd/>
              <w:snapToGrid/>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加快推进</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个新型基础设施建设项目，按计划完成任务。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65" w:type="dxa"/>
            <w:vMerge w:val="restart"/>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当年绩效指标</w:t>
            </w:r>
          </w:p>
        </w:tc>
        <w:tc>
          <w:tcPr>
            <w:tcW w:w="1384" w:type="dxa"/>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指标</w:t>
            </w:r>
          </w:p>
        </w:tc>
        <w:tc>
          <w:tcPr>
            <w:tcW w:w="2093" w:type="dxa"/>
            <w:noWrap/>
            <w:vAlign w:val="center"/>
          </w:tcPr>
          <w:p>
            <w:pPr>
              <w:keepNext w:val="0"/>
              <w:keepLines w:val="0"/>
              <w:pageBreakBefore w:val="0"/>
              <w:widowControl w:val="0"/>
              <w:kinsoku/>
              <w:wordWrap/>
              <w:overflowPunct/>
              <w:topLinePunct w:val="0"/>
              <w:bidi w:val="0"/>
              <w:adjustRightInd/>
              <w:snapToGrid/>
              <w:spacing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二级指标</w:t>
            </w:r>
          </w:p>
        </w:tc>
        <w:tc>
          <w:tcPr>
            <w:tcW w:w="2683" w:type="dxa"/>
            <w:gridSpan w:val="3"/>
            <w:noWrap/>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三级指标</w:t>
            </w:r>
          </w:p>
        </w:tc>
        <w:tc>
          <w:tcPr>
            <w:tcW w:w="2364" w:type="dxa"/>
            <w:noWrap/>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65"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1384" w:type="dxa"/>
            <w:vMerge w:val="restart"/>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产出</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指标</w:t>
            </w:r>
          </w:p>
        </w:tc>
        <w:tc>
          <w:tcPr>
            <w:tcW w:w="2093" w:type="dxa"/>
            <w:noWrap/>
            <w:vAlign w:val="center"/>
          </w:tcPr>
          <w:p>
            <w:pPr>
              <w:keepNext w:val="0"/>
              <w:keepLines w:val="0"/>
              <w:pageBreakBefore w:val="0"/>
              <w:widowControl w:val="0"/>
              <w:kinsoku/>
              <w:wordWrap/>
              <w:overflowPunct/>
              <w:topLinePunct w:val="0"/>
              <w:bidi w:val="0"/>
              <w:adjustRightInd/>
              <w:snapToGrid/>
              <w:spacing w:line="560" w:lineRule="exact"/>
              <w:ind w:firstLine="320" w:firstLineChars="1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数量指标</w:t>
            </w:r>
          </w:p>
        </w:tc>
        <w:tc>
          <w:tcPr>
            <w:tcW w:w="2683" w:type="dxa"/>
            <w:gridSpan w:val="3"/>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信息系统项目</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数量</w:t>
            </w:r>
          </w:p>
        </w:tc>
        <w:tc>
          <w:tcPr>
            <w:tcW w:w="2364" w:type="dxa"/>
            <w:noWrap/>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65"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1384"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2093" w:type="dxa"/>
            <w:noWrap/>
            <w:vAlign w:val="center"/>
          </w:tcPr>
          <w:p>
            <w:pPr>
              <w:keepNext w:val="0"/>
              <w:keepLines w:val="0"/>
              <w:pageBreakBefore w:val="0"/>
              <w:widowControl w:val="0"/>
              <w:kinsoku/>
              <w:wordWrap/>
              <w:overflowPunct/>
              <w:topLinePunct w:val="0"/>
              <w:bidi w:val="0"/>
              <w:adjustRightInd/>
              <w:snapToGrid/>
              <w:spacing w:line="560" w:lineRule="exact"/>
              <w:ind w:firstLine="320" w:firstLineChars="1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质量指标</w:t>
            </w:r>
          </w:p>
        </w:tc>
        <w:tc>
          <w:tcPr>
            <w:tcW w:w="2683" w:type="dxa"/>
            <w:gridSpan w:val="3"/>
            <w:noWrap/>
            <w:vAlign w:val="center"/>
          </w:tcPr>
          <w:p>
            <w:pPr>
              <w:keepNext w:val="0"/>
              <w:keepLines w:val="0"/>
              <w:pageBreakBefore w:val="0"/>
              <w:widowControl w:val="0"/>
              <w:kinsoku/>
              <w:wordWrap/>
              <w:overflowPunct/>
              <w:topLinePunct w:val="0"/>
              <w:bidi w:val="0"/>
              <w:adjustRightInd/>
              <w:snapToGrid/>
              <w:spacing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平台升级达标率</w:t>
            </w:r>
          </w:p>
        </w:tc>
        <w:tc>
          <w:tcPr>
            <w:tcW w:w="236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65"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1384"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2093" w:type="dxa"/>
            <w:vMerge w:val="restart"/>
            <w:noWrap/>
            <w:vAlign w:val="center"/>
          </w:tcPr>
          <w:p>
            <w:pPr>
              <w:keepNext w:val="0"/>
              <w:keepLines w:val="0"/>
              <w:pageBreakBefore w:val="0"/>
              <w:widowControl w:val="0"/>
              <w:kinsoku/>
              <w:wordWrap/>
              <w:overflowPunct/>
              <w:topLinePunct w:val="0"/>
              <w:bidi w:val="0"/>
              <w:adjustRightInd/>
              <w:snapToGrid/>
              <w:spacing w:line="560" w:lineRule="exact"/>
              <w:ind w:firstLine="320" w:firstLineChars="1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时效指标</w:t>
            </w:r>
          </w:p>
        </w:tc>
        <w:tc>
          <w:tcPr>
            <w:tcW w:w="2683" w:type="dxa"/>
            <w:gridSpan w:val="3"/>
            <w:noWrap/>
            <w:vAlign w:val="center"/>
          </w:tcPr>
          <w:p>
            <w:pPr>
              <w:pStyle w:val="10"/>
              <w:keepNext w:val="0"/>
              <w:keepLines w:val="0"/>
              <w:pageBreakBefore w:val="0"/>
              <w:widowControl w:val="0"/>
              <w:kinsoku/>
              <w:wordWrap/>
              <w:overflowPunct/>
              <w:topLinePunct w:val="0"/>
              <w:bidi w:val="0"/>
              <w:adjustRightInd/>
              <w:snapToGrid/>
              <w:spacing w:line="560" w:lineRule="exact"/>
              <w:ind w:firstLine="314" w:firstLineChars="100"/>
              <w:jc w:val="both"/>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项目开工时间</w:t>
            </w:r>
          </w:p>
        </w:tc>
        <w:tc>
          <w:tcPr>
            <w:tcW w:w="2364" w:type="dxa"/>
            <w:noWrap/>
            <w:vAlign w:val="center"/>
          </w:tcPr>
          <w:p>
            <w:pPr>
              <w:pStyle w:val="10"/>
              <w:keepNext w:val="0"/>
              <w:keepLines w:val="0"/>
              <w:pageBreakBefore w:val="0"/>
              <w:widowControl w:val="0"/>
              <w:kinsoku/>
              <w:wordWrap/>
              <w:overflowPunct/>
              <w:topLinePunct w:val="0"/>
              <w:bidi w:val="0"/>
              <w:adjustRightInd/>
              <w:snapToGrid/>
              <w:spacing w:line="560" w:lineRule="exact"/>
              <w:ind w:firstLine="628" w:firstLineChars="200"/>
              <w:jc w:val="center"/>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65"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1384"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2093" w:type="dxa"/>
            <w:vMerge w:val="continue"/>
            <w:noWrap/>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color w:val="000000"/>
                <w:sz w:val="32"/>
                <w:szCs w:val="32"/>
              </w:rPr>
            </w:pPr>
          </w:p>
        </w:tc>
        <w:tc>
          <w:tcPr>
            <w:tcW w:w="2683" w:type="dxa"/>
            <w:gridSpan w:val="3"/>
            <w:noWrap/>
            <w:vAlign w:val="center"/>
          </w:tcPr>
          <w:p>
            <w:pPr>
              <w:pStyle w:val="10"/>
              <w:keepNext w:val="0"/>
              <w:keepLines w:val="0"/>
              <w:pageBreakBefore w:val="0"/>
              <w:widowControl w:val="0"/>
              <w:kinsoku/>
              <w:wordWrap/>
              <w:overflowPunct/>
              <w:topLinePunct w:val="0"/>
              <w:bidi w:val="0"/>
              <w:adjustRightInd/>
              <w:snapToGrid/>
              <w:spacing w:line="560" w:lineRule="exact"/>
              <w:jc w:val="both"/>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项目按计划开工率（%）</w:t>
            </w:r>
          </w:p>
        </w:tc>
        <w:tc>
          <w:tcPr>
            <w:tcW w:w="2364" w:type="dxa"/>
            <w:noWrap/>
            <w:vAlign w:val="center"/>
          </w:tcPr>
          <w:p>
            <w:pPr>
              <w:pStyle w:val="10"/>
              <w:keepNext w:val="0"/>
              <w:keepLines w:val="0"/>
              <w:pageBreakBefore w:val="0"/>
              <w:widowControl w:val="0"/>
              <w:kinsoku/>
              <w:wordWrap/>
              <w:overflowPunct/>
              <w:topLinePunct w:val="0"/>
              <w:bidi w:val="0"/>
              <w:adjustRightInd/>
              <w:snapToGrid/>
              <w:spacing w:line="560" w:lineRule="exact"/>
              <w:ind w:firstLine="628" w:firstLineChars="200"/>
              <w:jc w:val="center"/>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65"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1384"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2093" w:type="dxa"/>
            <w:vMerge w:val="restart"/>
            <w:noWrap/>
            <w:vAlign w:val="center"/>
          </w:tcPr>
          <w:p>
            <w:pPr>
              <w:keepNext w:val="0"/>
              <w:keepLines w:val="0"/>
              <w:pageBreakBefore w:val="0"/>
              <w:widowControl w:val="0"/>
              <w:kinsoku/>
              <w:wordWrap/>
              <w:overflowPunct/>
              <w:topLinePunct w:val="0"/>
              <w:bidi w:val="0"/>
              <w:adjustRightInd/>
              <w:snapToGrid/>
              <w:spacing w:line="560" w:lineRule="exact"/>
              <w:ind w:firstLine="320" w:firstLineChars="1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成本指标</w:t>
            </w:r>
          </w:p>
        </w:tc>
        <w:tc>
          <w:tcPr>
            <w:tcW w:w="2683" w:type="dxa"/>
            <w:gridSpan w:val="3"/>
            <w:noWrap/>
            <w:vAlign w:val="center"/>
          </w:tcPr>
          <w:p>
            <w:pPr>
              <w:pStyle w:val="10"/>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项目投资金额</w:t>
            </w:r>
          </w:p>
          <w:p>
            <w:pPr>
              <w:pStyle w:val="10"/>
              <w:keepNext w:val="0"/>
              <w:keepLines w:val="0"/>
              <w:pageBreakBefore w:val="0"/>
              <w:widowControl w:val="0"/>
              <w:kinsoku/>
              <w:wordWrap/>
              <w:overflowPunct/>
              <w:topLinePunct w:val="0"/>
              <w:bidi w:val="0"/>
              <w:adjustRightInd/>
              <w:snapToGrid/>
              <w:spacing w:line="560" w:lineRule="exact"/>
              <w:ind w:firstLine="314" w:firstLineChars="100"/>
              <w:jc w:val="center"/>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（万元）</w:t>
            </w:r>
          </w:p>
        </w:tc>
        <w:tc>
          <w:tcPr>
            <w:tcW w:w="2364" w:type="dxa"/>
            <w:noWrap/>
            <w:vAlign w:val="center"/>
          </w:tcPr>
          <w:p>
            <w:pPr>
              <w:pStyle w:val="10"/>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pacing w:val="-3"/>
                <w:sz w:val="32"/>
                <w:szCs w:val="32"/>
              </w:rPr>
            </w:pPr>
            <w:r>
              <w:rPr>
                <w:rFonts w:hint="eastAsia" w:ascii="仿宋_GB2312" w:hAnsi="仿宋_GB2312" w:eastAsia="仿宋_GB2312" w:cs="仿宋_GB2312"/>
                <w:color w:val="000000"/>
                <w:sz w:val="32"/>
                <w:szCs w:val="32"/>
              </w:rPr>
              <w:t>27,800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65"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1384"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2093" w:type="dxa"/>
            <w:vMerge w:val="continue"/>
            <w:noWrap/>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color w:val="000000"/>
                <w:sz w:val="32"/>
                <w:szCs w:val="32"/>
              </w:rPr>
            </w:pPr>
          </w:p>
        </w:tc>
        <w:tc>
          <w:tcPr>
            <w:tcW w:w="2683" w:type="dxa"/>
            <w:gridSpan w:val="3"/>
            <w:noWrap/>
            <w:vAlign w:val="center"/>
          </w:tcPr>
          <w:p>
            <w:pPr>
              <w:pStyle w:val="10"/>
              <w:keepNext w:val="0"/>
              <w:keepLines w:val="0"/>
              <w:pageBreakBefore w:val="0"/>
              <w:widowControl w:val="0"/>
              <w:kinsoku/>
              <w:wordWrap/>
              <w:overflowPunct/>
              <w:topLinePunct w:val="0"/>
              <w:bidi w:val="0"/>
              <w:adjustRightInd/>
              <w:snapToGrid/>
              <w:spacing w:line="560" w:lineRule="exact"/>
              <w:ind w:firstLine="628" w:firstLineChars="200"/>
              <w:jc w:val="center"/>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融资成本</w:t>
            </w:r>
          </w:p>
        </w:tc>
        <w:tc>
          <w:tcPr>
            <w:tcW w:w="2364" w:type="dxa"/>
            <w:noWrap/>
            <w:vAlign w:val="center"/>
          </w:tcPr>
          <w:p>
            <w:pPr>
              <w:pStyle w:val="10"/>
              <w:keepNext w:val="0"/>
              <w:keepLines w:val="0"/>
              <w:pageBreakBefore w:val="0"/>
              <w:widowControl w:val="0"/>
              <w:kinsoku/>
              <w:wordWrap/>
              <w:overflowPunct/>
              <w:topLinePunct w:val="0"/>
              <w:bidi w:val="0"/>
              <w:adjustRightInd/>
              <w:snapToGrid/>
              <w:spacing w:line="560" w:lineRule="exact"/>
              <w:ind w:firstLine="628" w:firstLineChars="200"/>
              <w:jc w:val="center"/>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65"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1384" w:type="dxa"/>
            <w:vMerge w:val="restart"/>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效益指标</w:t>
            </w:r>
          </w:p>
        </w:tc>
        <w:tc>
          <w:tcPr>
            <w:tcW w:w="2093"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经济效益</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指标</w:t>
            </w:r>
          </w:p>
        </w:tc>
        <w:tc>
          <w:tcPr>
            <w:tcW w:w="2683" w:type="dxa"/>
            <w:gridSpan w:val="3"/>
            <w:noWrap/>
            <w:vAlign w:val="center"/>
          </w:tcPr>
          <w:p>
            <w:pPr>
              <w:pStyle w:val="10"/>
              <w:keepNext w:val="0"/>
              <w:keepLines w:val="0"/>
              <w:pageBreakBefore w:val="0"/>
              <w:widowControl w:val="0"/>
              <w:kinsoku/>
              <w:wordWrap/>
              <w:overflowPunct/>
              <w:topLinePunct w:val="0"/>
              <w:bidi w:val="0"/>
              <w:adjustRightInd/>
              <w:snapToGrid/>
              <w:spacing w:line="560" w:lineRule="exact"/>
              <w:ind w:firstLine="628" w:firstLineChars="200"/>
              <w:jc w:val="center"/>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不适用</w:t>
            </w:r>
          </w:p>
        </w:tc>
        <w:tc>
          <w:tcPr>
            <w:tcW w:w="2364" w:type="dxa"/>
            <w:noWrap/>
            <w:vAlign w:val="center"/>
          </w:tcPr>
          <w:p>
            <w:pPr>
              <w:pStyle w:val="10"/>
              <w:keepNext w:val="0"/>
              <w:keepLines w:val="0"/>
              <w:pageBreakBefore w:val="0"/>
              <w:widowControl w:val="0"/>
              <w:kinsoku/>
              <w:wordWrap/>
              <w:overflowPunct/>
              <w:topLinePunct w:val="0"/>
              <w:bidi w:val="0"/>
              <w:adjustRightInd/>
              <w:snapToGrid/>
              <w:spacing w:line="560" w:lineRule="exact"/>
              <w:ind w:firstLine="628" w:firstLineChars="200"/>
              <w:jc w:val="center"/>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65"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1384"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2093"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社会效益指标</w:t>
            </w:r>
          </w:p>
        </w:tc>
        <w:tc>
          <w:tcPr>
            <w:tcW w:w="2683" w:type="dxa"/>
            <w:gridSpan w:val="3"/>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居民对系统</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改造认可</w:t>
            </w:r>
          </w:p>
        </w:tc>
        <w:tc>
          <w:tcPr>
            <w:tcW w:w="2364" w:type="dxa"/>
            <w:noWrap/>
            <w:vAlign w:val="center"/>
          </w:tcPr>
          <w:p>
            <w:pPr>
              <w:keepNext w:val="0"/>
              <w:keepLines w:val="0"/>
              <w:pageBreakBefore w:val="0"/>
              <w:widowControl w:val="0"/>
              <w:kinsoku/>
              <w:wordWrap/>
              <w:overflowPunct/>
              <w:topLinePunct w:val="0"/>
              <w:bidi w:val="0"/>
              <w:adjustRightInd/>
              <w:snapToGrid/>
              <w:spacing w:line="560" w:lineRule="exact"/>
              <w:ind w:firstLine="628" w:firstLineChars="2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pacing w:val="-3"/>
                <w:sz w:val="32"/>
                <w:szCs w:val="32"/>
              </w:rPr>
              <w:t>有效改善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65"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1384"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2093"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生态效益</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指标</w:t>
            </w:r>
          </w:p>
        </w:tc>
        <w:tc>
          <w:tcPr>
            <w:tcW w:w="2683" w:type="dxa"/>
            <w:gridSpan w:val="3"/>
            <w:noWrap/>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不适用</w:t>
            </w:r>
          </w:p>
        </w:tc>
        <w:tc>
          <w:tcPr>
            <w:tcW w:w="2364" w:type="dxa"/>
            <w:noWrap/>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65"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1384"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2093"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可持续影响指标</w:t>
            </w:r>
          </w:p>
        </w:tc>
        <w:tc>
          <w:tcPr>
            <w:tcW w:w="2683" w:type="dxa"/>
            <w:gridSpan w:val="3"/>
            <w:noWrap/>
            <w:vAlign w:val="center"/>
          </w:tcPr>
          <w:p>
            <w:pPr>
              <w:pStyle w:val="10"/>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系统指标改善率</w:t>
            </w:r>
          </w:p>
        </w:tc>
        <w:tc>
          <w:tcPr>
            <w:tcW w:w="2364" w:type="dxa"/>
            <w:noWrap/>
            <w:vAlign w:val="center"/>
          </w:tcPr>
          <w:p>
            <w:pPr>
              <w:pStyle w:val="10"/>
              <w:keepNext w:val="0"/>
              <w:keepLines w:val="0"/>
              <w:pageBreakBefore w:val="0"/>
              <w:widowControl w:val="0"/>
              <w:kinsoku/>
              <w:wordWrap/>
              <w:overflowPunct/>
              <w:topLinePunct w:val="0"/>
              <w:bidi w:val="0"/>
              <w:adjustRightInd/>
              <w:snapToGrid/>
              <w:spacing w:line="560" w:lineRule="exact"/>
              <w:ind w:firstLine="628" w:firstLineChars="200"/>
              <w:jc w:val="center"/>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65"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1384"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2093" w:type="dxa"/>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服务对象满意度指标</w:t>
            </w:r>
          </w:p>
        </w:tc>
        <w:tc>
          <w:tcPr>
            <w:tcW w:w="2683" w:type="dxa"/>
            <w:gridSpan w:val="3"/>
            <w:noWrap/>
            <w:vAlign w:val="center"/>
          </w:tcPr>
          <w:p>
            <w:pPr>
              <w:pStyle w:val="10"/>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服务对象满意度</w:t>
            </w:r>
          </w:p>
        </w:tc>
        <w:tc>
          <w:tcPr>
            <w:tcW w:w="2364" w:type="dxa"/>
            <w:noWrap/>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1384" w:type="dxa"/>
            <w:vMerge w:val="restart"/>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偿债风险指标</w:t>
            </w:r>
          </w:p>
        </w:tc>
        <w:tc>
          <w:tcPr>
            <w:tcW w:w="2093" w:type="dxa"/>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融资与收益平衡指标</w:t>
            </w:r>
          </w:p>
        </w:tc>
        <w:tc>
          <w:tcPr>
            <w:tcW w:w="2683" w:type="dxa"/>
            <w:gridSpan w:val="3"/>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年末息前税后净现金流/当年还本付息金额</w:t>
            </w:r>
          </w:p>
        </w:tc>
        <w:tc>
          <w:tcPr>
            <w:tcW w:w="2364" w:type="dxa"/>
            <w:noWrap/>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1384"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2093" w:type="dxa"/>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还本付息</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指标</w:t>
            </w:r>
          </w:p>
        </w:tc>
        <w:tc>
          <w:tcPr>
            <w:tcW w:w="2683" w:type="dxa"/>
            <w:gridSpan w:val="3"/>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还本付息及时率=当年实际还本付息金额/当年应还本付息金额（%）</w:t>
            </w:r>
          </w:p>
        </w:tc>
        <w:tc>
          <w:tcPr>
            <w:tcW w:w="2364" w:type="dxa"/>
            <w:noWrap/>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1384" w:type="dxa"/>
            <w:vMerge w:val="restart"/>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资金管理指标</w:t>
            </w:r>
          </w:p>
        </w:tc>
        <w:tc>
          <w:tcPr>
            <w:tcW w:w="2093" w:type="dxa"/>
            <w:vMerge w:val="restart"/>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债券资金拨付和支出进度指标</w:t>
            </w:r>
          </w:p>
        </w:tc>
        <w:tc>
          <w:tcPr>
            <w:tcW w:w="2683" w:type="dxa"/>
            <w:gridSpan w:val="3"/>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债券资金拨付进度=债券资金当年拨付金额/项目当年计划发债金额（%）</w:t>
            </w:r>
          </w:p>
        </w:tc>
        <w:tc>
          <w:tcPr>
            <w:tcW w:w="2364" w:type="dxa"/>
            <w:noWrap/>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1384"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rPr>
            </w:pPr>
          </w:p>
        </w:tc>
        <w:tc>
          <w:tcPr>
            <w:tcW w:w="2093" w:type="dxa"/>
            <w:vMerge w:val="continue"/>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color w:val="000000"/>
                <w:sz w:val="32"/>
                <w:szCs w:val="32"/>
              </w:rPr>
            </w:pPr>
          </w:p>
        </w:tc>
        <w:tc>
          <w:tcPr>
            <w:tcW w:w="2683" w:type="dxa"/>
            <w:gridSpan w:val="3"/>
            <w:noWrap/>
            <w:vAlign w:val="center"/>
          </w:tcPr>
          <w:p>
            <w:pPr>
              <w:keepNext w:val="0"/>
              <w:keepLines w:val="0"/>
              <w:pageBreakBefore w:val="0"/>
              <w:widowControl w:val="0"/>
              <w:kinsoku/>
              <w:wordWrap/>
              <w:overflowPunct/>
              <w:topLinePunct w:val="0"/>
              <w:bidi w:val="0"/>
              <w:adjustRightInd/>
              <w:snapToGrid/>
              <w:spacing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债券资金实际使用进度=债券资金当年实际使用金额/</w:t>
            </w:r>
            <w:r>
              <w:rPr>
                <w:rFonts w:hint="eastAsia" w:ascii="仿宋_GB2312" w:hAnsi="仿宋_GB2312" w:eastAsia="仿宋_GB2312" w:cs="仿宋_GB2312"/>
                <w:sz w:val="32"/>
                <w:szCs w:val="32"/>
              </w:rPr>
              <w:t>债券资金当年拨付金额</w:t>
            </w:r>
            <w:r>
              <w:rPr>
                <w:rFonts w:hint="eastAsia" w:ascii="仿宋_GB2312" w:hAnsi="仿宋_GB2312" w:eastAsia="仿宋_GB2312" w:cs="仿宋_GB2312"/>
                <w:color w:val="000000"/>
                <w:sz w:val="32"/>
                <w:szCs w:val="32"/>
              </w:rPr>
              <w:t>（%）</w:t>
            </w:r>
          </w:p>
        </w:tc>
        <w:tc>
          <w:tcPr>
            <w:tcW w:w="2364" w:type="dxa"/>
            <w:noWrap/>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100%</w:t>
            </w:r>
          </w:p>
        </w:tc>
      </w:tr>
    </w:tbl>
    <w:p>
      <w:pPr>
        <w:keepNext w:val="0"/>
        <w:keepLines w:val="0"/>
        <w:pageBreakBefore w:val="0"/>
        <w:widowControl w:val="0"/>
        <w:kinsoku/>
        <w:wordWrap/>
        <w:overflowPunct/>
        <w:topLinePunct w:val="0"/>
        <w:bidi w:val="0"/>
        <w:adjustRightInd/>
        <w:snapToGrid/>
        <w:spacing w:line="560" w:lineRule="exact"/>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绩效评价工作过程</w:t>
      </w:r>
    </w:p>
    <w:tbl>
      <w:tblPr>
        <w:tblStyle w:val="8"/>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192"/>
        <w:gridCol w:w="1134"/>
        <w:gridCol w:w="1702"/>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blHeader/>
          <w:jc w:val="center"/>
        </w:trPr>
        <w:tc>
          <w:tcPr>
            <w:tcW w:w="659"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bookmarkStart w:id="9" w:name="_Hlk59640099"/>
            <w:r>
              <w:rPr>
                <w:rFonts w:hint="eastAsia" w:ascii="仿宋_GB2312" w:hAnsi="仿宋_GB2312" w:eastAsia="仿宋_GB2312" w:cs="仿宋_GB2312"/>
                <w:color w:val="000000"/>
                <w:sz w:val="32"/>
                <w:szCs w:val="32"/>
              </w:rPr>
              <w:t>一级指标</w:t>
            </w:r>
          </w:p>
        </w:tc>
        <w:tc>
          <w:tcPr>
            <w:tcW w:w="1192"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二级指标</w:t>
            </w: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三级指标</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指标解释</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jc w:val="center"/>
        </w:trPr>
        <w:tc>
          <w:tcPr>
            <w:tcW w:w="659" w:type="dxa"/>
            <w:vMerge w:val="restart"/>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决策</w:t>
            </w:r>
          </w:p>
        </w:tc>
        <w:tc>
          <w:tcPr>
            <w:tcW w:w="1192" w:type="dxa"/>
            <w:vMerge w:val="restart"/>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项目立项</w:t>
            </w: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项目立项依据的充分性</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反映项目立项批复等情况。</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项目立项批复完成情况</w:t>
            </w:r>
            <w:r>
              <w:rPr>
                <w:rFonts w:hint="eastAsia" w:ascii="仿宋_GB2312" w:hAnsi="仿宋_GB2312" w:eastAsia="仿宋_GB2312" w:cs="仿宋_GB2312"/>
                <w:color w:val="00000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92"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项目立项程序的规范性</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反映项目申请、设立过程是否规范，各环节手续是否齐备。</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①项目是否按照规定程序申请设立；</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②事前是否经过必要的可行性研究、专家论证和集体决策等程序。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92" w:type="dxa"/>
            <w:vMerge w:val="restart"/>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项目储备</w:t>
            </w: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项目开工</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反映项目开工情况。</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①项目</w:t>
            </w:r>
            <w:r>
              <w:rPr>
                <w:rFonts w:hint="eastAsia" w:ascii="仿宋_GB2312" w:hAnsi="仿宋_GB2312" w:eastAsia="仿宋_GB2312" w:cs="仿宋_GB2312"/>
                <w:color w:val="000000"/>
                <w:sz w:val="32"/>
                <w:szCs w:val="32"/>
                <w:lang w:eastAsia="zh-CN"/>
              </w:rPr>
              <w:t>是否</w:t>
            </w:r>
            <w:r>
              <w:rPr>
                <w:rFonts w:hint="eastAsia" w:ascii="仿宋_GB2312" w:hAnsi="仿宋_GB2312" w:eastAsia="仿宋_GB2312" w:cs="仿宋_GB2312"/>
                <w:color w:val="000000"/>
                <w:sz w:val="32"/>
                <w:szCs w:val="32"/>
              </w:rPr>
              <w:t>完成勘察、设计、用地、环评、开工许可等前期工作，达到开工建设条件等情况</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②年内是否可支出使用完毕,年内是否可形成实物工作量</w:t>
            </w:r>
            <w:r>
              <w:rPr>
                <w:rFonts w:hint="eastAsia" w:ascii="仿宋_GB2312" w:hAnsi="仿宋_GB2312" w:eastAsia="仿宋_GB2312" w:cs="仿宋_GB2312"/>
                <w:color w:val="00000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92"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投向</w:t>
            </w:r>
            <w:r>
              <w:rPr>
                <w:rFonts w:hint="eastAsia" w:ascii="仿宋_GB2312" w:hAnsi="仿宋_GB2312" w:eastAsia="仿宋_GB2312" w:cs="仿宋_GB2312"/>
                <w:color w:val="000000"/>
                <w:sz w:val="32"/>
                <w:szCs w:val="32"/>
                <w:lang w:eastAsia="zh-CN"/>
              </w:rPr>
              <w:t>方向</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反映项目是否符合专项债券投向领域</w:t>
            </w:r>
            <w:r>
              <w:rPr>
                <w:rFonts w:hint="eastAsia" w:ascii="仿宋_GB2312" w:hAnsi="仿宋_GB2312" w:eastAsia="仿宋_GB2312" w:cs="仿宋_GB2312"/>
                <w:color w:val="000000"/>
                <w:sz w:val="32"/>
                <w:szCs w:val="32"/>
                <w:lang w:eastAsia="zh-CN"/>
              </w:rPr>
              <w:t>和方向等情况</w:t>
            </w:r>
            <w:r>
              <w:rPr>
                <w:rFonts w:hint="eastAsia" w:ascii="仿宋_GB2312" w:hAnsi="仿宋_GB2312" w:eastAsia="仿宋_GB2312" w:cs="仿宋_GB2312"/>
                <w:color w:val="000000"/>
                <w:sz w:val="32"/>
                <w:szCs w:val="32"/>
              </w:rPr>
              <w:t>。</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①</w:t>
            </w:r>
            <w:r>
              <w:rPr>
                <w:rFonts w:hint="eastAsia" w:ascii="仿宋_GB2312" w:hAnsi="仿宋_GB2312" w:eastAsia="仿宋_GB2312" w:cs="仿宋_GB2312"/>
                <w:color w:val="000000"/>
                <w:sz w:val="32"/>
                <w:szCs w:val="32"/>
                <w:lang w:eastAsia="zh-CN"/>
              </w:rPr>
              <w:t>项目是否属于公益性项目；</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②项目是否符合专项债券支持领域和方向</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③</w:t>
            </w:r>
            <w:r>
              <w:rPr>
                <w:rFonts w:hint="eastAsia" w:ascii="仿宋_GB2312" w:hAnsi="仿宋_GB2312" w:eastAsia="仿宋_GB2312" w:cs="仿宋_GB2312"/>
                <w:color w:val="000000"/>
                <w:sz w:val="32"/>
                <w:szCs w:val="32"/>
                <w:lang w:val="en-US" w:eastAsia="zh-CN"/>
              </w:rPr>
              <w:t>项目专项债券资金建设内容是否符合专项债券使用管理要求。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92" w:type="dxa"/>
            <w:vMerge w:val="restart"/>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绩效目标</w:t>
            </w: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绩效目标合理性</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反映绩效目标设置的合理性，是否反映客观实际。</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绩效目标是否与项目属性特点、资金支出内容相关，同时合乎客观实际。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92"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绩效目标明确性</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反映项目是否设有清晰、可衡量的绩效目标。</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①绩效目标是否细化分解为具体的绩效指标，考虑了产出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效益</w:t>
            </w:r>
            <w:r>
              <w:rPr>
                <w:rFonts w:hint="eastAsia" w:ascii="仿宋_GB2312" w:hAnsi="仿宋_GB2312" w:eastAsia="仿宋_GB2312" w:cs="仿宋_GB2312"/>
                <w:color w:val="000000"/>
                <w:sz w:val="32"/>
                <w:szCs w:val="32"/>
                <w:lang w:eastAsia="zh-CN"/>
              </w:rPr>
              <w:t>、偿债风险</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②是否通过可衡量的指标值予以体现</w:t>
            </w:r>
            <w:r>
              <w:rPr>
                <w:rFonts w:hint="eastAsia" w:ascii="仿宋_GB2312" w:hAnsi="仿宋_GB2312" w:eastAsia="仿宋_GB2312" w:cs="仿宋_GB2312"/>
                <w:color w:val="00000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92"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资金</w:t>
            </w:r>
            <w:r>
              <w:rPr>
                <w:rFonts w:hint="eastAsia" w:ascii="仿宋_GB2312" w:hAnsi="仿宋_GB2312" w:eastAsia="仿宋_GB2312" w:cs="仿宋_GB2312"/>
                <w:color w:val="000000"/>
                <w:sz w:val="32"/>
                <w:szCs w:val="32"/>
                <w:lang w:eastAsia="zh-CN"/>
              </w:rPr>
              <w:t>需求</w:t>
            </w: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资金需求合理性</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反映项目专项债券</w:t>
            </w:r>
            <w:r>
              <w:rPr>
                <w:rFonts w:hint="eastAsia" w:ascii="仿宋_GB2312" w:hAnsi="仿宋_GB2312" w:eastAsia="仿宋_GB2312" w:cs="仿宋_GB2312"/>
                <w:color w:val="000000"/>
                <w:sz w:val="32"/>
                <w:szCs w:val="32"/>
                <w:lang w:eastAsia="zh-CN"/>
              </w:rPr>
              <w:t>资金需求申报</w:t>
            </w:r>
            <w:r>
              <w:rPr>
                <w:rFonts w:hint="eastAsia" w:ascii="仿宋_GB2312" w:hAnsi="仿宋_GB2312" w:eastAsia="仿宋_GB2312" w:cs="仿宋_GB2312"/>
                <w:color w:val="000000"/>
                <w:sz w:val="32"/>
                <w:szCs w:val="32"/>
              </w:rPr>
              <w:t>的合理性。</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①项目收入、成本及预期收益测算是否科学合理</w:t>
            </w:r>
            <w:r>
              <w:rPr>
                <w:rFonts w:hint="eastAsia" w:ascii="仿宋_GB2312" w:hAnsi="仿宋_GB2312" w:eastAsia="仿宋_GB2312" w:cs="仿宋_GB2312"/>
                <w:color w:val="000000"/>
                <w:sz w:val="32"/>
                <w:szCs w:val="32"/>
                <w:lang w:eastAsia="zh-CN"/>
              </w:rPr>
              <w:t>等；</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w:t>
            </w:r>
            <w:r>
              <w:rPr>
                <w:rFonts w:hint="eastAsia" w:ascii="仿宋_GB2312" w:hAnsi="仿宋_GB2312" w:eastAsia="仿宋_GB2312" w:cs="仿宋_GB2312"/>
                <w:color w:val="000000"/>
                <w:sz w:val="32"/>
                <w:szCs w:val="32"/>
                <w:lang w:eastAsia="zh-CN"/>
              </w:rPr>
              <w:t>项目申请专项债券额度与实际需求匹配情况。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jc w:val="center"/>
        </w:trPr>
        <w:tc>
          <w:tcPr>
            <w:tcW w:w="659" w:type="dxa"/>
            <w:vMerge w:val="restart"/>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管理</w:t>
            </w:r>
          </w:p>
        </w:tc>
        <w:tc>
          <w:tcPr>
            <w:tcW w:w="1192" w:type="dxa"/>
            <w:vMerge w:val="restart"/>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资金管理</w:t>
            </w: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预算管理规范性</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反映项目预算管理情况是否规范。</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专项债券收支、还本付息</w:t>
            </w:r>
            <w:r>
              <w:rPr>
                <w:rFonts w:hint="eastAsia" w:ascii="仿宋_GB2312" w:hAnsi="仿宋_GB2312" w:eastAsia="仿宋_GB2312" w:cs="仿宋_GB2312"/>
                <w:color w:val="000000"/>
                <w:sz w:val="32"/>
                <w:szCs w:val="32"/>
                <w:lang w:eastAsia="zh-CN"/>
              </w:rPr>
              <w:t>及专项收入是否</w:t>
            </w:r>
            <w:r>
              <w:rPr>
                <w:rFonts w:hint="eastAsia" w:ascii="仿宋_GB2312" w:hAnsi="仿宋_GB2312" w:eastAsia="仿宋_GB2312" w:cs="仿宋_GB2312"/>
                <w:color w:val="000000"/>
                <w:sz w:val="32"/>
                <w:szCs w:val="32"/>
              </w:rPr>
              <w:t>纳入</w:t>
            </w:r>
            <w:r>
              <w:rPr>
                <w:rFonts w:hint="eastAsia" w:ascii="仿宋_GB2312" w:hAnsi="仿宋_GB2312" w:eastAsia="仿宋_GB2312" w:cs="仿宋_GB2312"/>
                <w:color w:val="000000"/>
                <w:sz w:val="32"/>
                <w:szCs w:val="32"/>
                <w:lang w:eastAsia="zh-CN"/>
              </w:rPr>
              <w:t>当年</w:t>
            </w:r>
            <w:r>
              <w:rPr>
                <w:rFonts w:hint="eastAsia" w:ascii="仿宋_GB2312" w:hAnsi="仿宋_GB2312" w:eastAsia="仿宋_GB2312" w:cs="仿宋_GB2312"/>
                <w:color w:val="000000"/>
                <w:sz w:val="32"/>
                <w:szCs w:val="32"/>
              </w:rPr>
              <w:t>政府性基金预算管理。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92"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资金使用合规性</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反映项目债券资金用途是否合规。</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①专项债券资金按规定用途使用情况，是否实行“专款专用”</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②债券资金使用是否符合专项债券资金管理要求</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③涉及债券资金用途调整的是否按规定履行调整报批手续。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92"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资金使用进度</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反映债券资金</w:t>
            </w:r>
            <w:r>
              <w:rPr>
                <w:rFonts w:hint="eastAsia" w:ascii="仿宋_GB2312" w:hAnsi="仿宋_GB2312" w:eastAsia="仿宋_GB2312" w:cs="仿宋_GB2312"/>
                <w:color w:val="000000"/>
                <w:sz w:val="32"/>
                <w:szCs w:val="32"/>
                <w:lang w:eastAsia="zh-CN"/>
              </w:rPr>
              <w:t>支出</w:t>
            </w:r>
            <w:r>
              <w:rPr>
                <w:rFonts w:hint="eastAsia" w:ascii="仿宋_GB2312" w:hAnsi="仿宋_GB2312" w:eastAsia="仿宋_GB2312" w:cs="仿宋_GB2312"/>
                <w:color w:val="000000"/>
                <w:sz w:val="32"/>
                <w:szCs w:val="32"/>
              </w:rPr>
              <w:t>使用进度</w:t>
            </w:r>
            <w:r>
              <w:rPr>
                <w:rFonts w:hint="eastAsia" w:ascii="仿宋_GB2312" w:hAnsi="仿宋_GB2312" w:eastAsia="仿宋_GB2312" w:cs="仿宋_GB2312"/>
                <w:color w:val="000000"/>
                <w:sz w:val="32"/>
                <w:szCs w:val="32"/>
                <w:lang w:eastAsia="zh-CN"/>
              </w:rPr>
              <w:t>情况</w:t>
            </w:r>
            <w:r>
              <w:rPr>
                <w:rFonts w:hint="eastAsia" w:ascii="仿宋_GB2312" w:hAnsi="仿宋_GB2312" w:eastAsia="仿宋_GB2312" w:cs="仿宋_GB2312"/>
                <w:color w:val="000000"/>
                <w:sz w:val="32"/>
                <w:szCs w:val="32"/>
              </w:rPr>
              <w:t>。</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根据债券资金</w:t>
            </w:r>
            <w:r>
              <w:rPr>
                <w:rFonts w:hint="eastAsia" w:ascii="仿宋_GB2312" w:hAnsi="仿宋_GB2312" w:eastAsia="仿宋_GB2312" w:cs="仿宋_GB2312"/>
                <w:color w:val="000000"/>
                <w:sz w:val="32"/>
                <w:szCs w:val="32"/>
                <w:lang w:eastAsia="zh-CN"/>
              </w:rPr>
              <w:t>总体支出</w:t>
            </w:r>
            <w:r>
              <w:rPr>
                <w:rFonts w:hint="eastAsia" w:ascii="仿宋_GB2312" w:hAnsi="仿宋_GB2312" w:eastAsia="仿宋_GB2312" w:cs="仿宋_GB2312"/>
                <w:color w:val="000000"/>
                <w:sz w:val="32"/>
                <w:szCs w:val="32"/>
              </w:rPr>
              <w:t>进度=（当年实际</w:t>
            </w:r>
            <w:r>
              <w:rPr>
                <w:rFonts w:hint="eastAsia" w:ascii="仿宋_GB2312" w:hAnsi="仿宋_GB2312" w:eastAsia="仿宋_GB2312" w:cs="仿宋_GB2312"/>
                <w:color w:val="000000"/>
                <w:sz w:val="32"/>
                <w:szCs w:val="32"/>
                <w:lang w:eastAsia="zh-CN"/>
              </w:rPr>
              <w:t>支出</w:t>
            </w:r>
            <w:r>
              <w:rPr>
                <w:rFonts w:hint="eastAsia" w:ascii="仿宋_GB2312" w:hAnsi="仿宋_GB2312" w:eastAsia="仿宋_GB2312" w:cs="仿宋_GB2312"/>
                <w:color w:val="000000"/>
                <w:sz w:val="32"/>
                <w:szCs w:val="32"/>
              </w:rPr>
              <w:t>金额/项目当年</w:t>
            </w:r>
            <w:r>
              <w:rPr>
                <w:rFonts w:hint="eastAsia" w:ascii="仿宋_GB2312" w:hAnsi="仿宋_GB2312" w:eastAsia="仿宋_GB2312" w:cs="仿宋_GB2312"/>
                <w:color w:val="000000"/>
                <w:sz w:val="32"/>
                <w:szCs w:val="32"/>
                <w:lang w:eastAsia="zh-CN"/>
              </w:rPr>
              <w:t>下达额度</w:t>
            </w:r>
            <w:r>
              <w:rPr>
                <w:rFonts w:hint="eastAsia" w:ascii="仿宋_GB2312" w:hAnsi="仿宋_GB2312" w:eastAsia="仿宋_GB2312" w:cs="仿宋_GB2312"/>
                <w:color w:val="000000"/>
                <w:sz w:val="32"/>
                <w:szCs w:val="32"/>
              </w:rPr>
              <w:t>）×100%，评价项目债券资金</w:t>
            </w:r>
            <w:r>
              <w:rPr>
                <w:rFonts w:hint="eastAsia" w:ascii="仿宋_GB2312" w:hAnsi="仿宋_GB2312" w:eastAsia="仿宋_GB2312" w:cs="仿宋_GB2312"/>
                <w:color w:val="000000"/>
                <w:sz w:val="32"/>
                <w:szCs w:val="32"/>
                <w:lang w:eastAsia="zh-CN"/>
              </w:rPr>
              <w:t>支出</w:t>
            </w:r>
            <w:r>
              <w:rPr>
                <w:rFonts w:hint="eastAsia" w:ascii="仿宋_GB2312" w:hAnsi="仿宋_GB2312" w:eastAsia="仿宋_GB2312" w:cs="仿宋_GB2312"/>
                <w:color w:val="000000"/>
                <w:sz w:val="32"/>
                <w:szCs w:val="32"/>
              </w:rPr>
              <w:t>使用进度，同时综合考虑影响</w:t>
            </w:r>
            <w:r>
              <w:rPr>
                <w:rFonts w:hint="eastAsia" w:ascii="仿宋_GB2312" w:hAnsi="仿宋_GB2312" w:eastAsia="仿宋_GB2312" w:cs="仿宋_GB2312"/>
                <w:color w:val="000000"/>
                <w:sz w:val="32"/>
                <w:szCs w:val="32"/>
                <w:lang w:eastAsia="zh-CN"/>
              </w:rPr>
              <w:t>支出</w:t>
            </w:r>
            <w:r>
              <w:rPr>
                <w:rFonts w:hint="eastAsia" w:ascii="仿宋_GB2312" w:hAnsi="仿宋_GB2312" w:eastAsia="仿宋_GB2312" w:cs="仿宋_GB2312"/>
                <w:color w:val="000000"/>
                <w:sz w:val="32"/>
                <w:szCs w:val="32"/>
              </w:rPr>
              <w:t>使用进度的因素。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92"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资金使用匹配度</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反映项目债券资金</w:t>
            </w:r>
            <w:r>
              <w:rPr>
                <w:rFonts w:hint="eastAsia" w:ascii="仿宋_GB2312" w:hAnsi="仿宋_GB2312" w:eastAsia="仿宋_GB2312" w:cs="仿宋_GB2312"/>
                <w:color w:val="000000"/>
                <w:sz w:val="32"/>
                <w:szCs w:val="32"/>
                <w:lang w:eastAsia="zh-CN"/>
              </w:rPr>
              <w:t>拨付和支出进度</w:t>
            </w:r>
            <w:r>
              <w:rPr>
                <w:rFonts w:hint="eastAsia" w:ascii="仿宋_GB2312" w:hAnsi="仿宋_GB2312" w:eastAsia="仿宋_GB2312" w:cs="仿宋_GB2312"/>
                <w:color w:val="000000"/>
                <w:sz w:val="32"/>
                <w:szCs w:val="32"/>
              </w:rPr>
              <w:t>与项目建设进度的匹配情况。</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项目债券资金</w:t>
            </w:r>
            <w:r>
              <w:rPr>
                <w:rFonts w:hint="eastAsia" w:ascii="仿宋_GB2312" w:hAnsi="仿宋_GB2312" w:eastAsia="仿宋_GB2312" w:cs="仿宋_GB2312"/>
                <w:color w:val="000000"/>
                <w:sz w:val="32"/>
                <w:szCs w:val="32"/>
                <w:lang w:eastAsia="zh-CN"/>
              </w:rPr>
              <w:t>拨付和支出进度是否</w:t>
            </w:r>
            <w:r>
              <w:rPr>
                <w:rFonts w:hint="eastAsia" w:ascii="仿宋_GB2312" w:hAnsi="仿宋_GB2312" w:eastAsia="仿宋_GB2312" w:cs="仿宋_GB2312"/>
                <w:color w:val="000000"/>
                <w:sz w:val="32"/>
                <w:szCs w:val="32"/>
              </w:rPr>
              <w:t>与项目建设进度匹配。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92"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资产管理</w:t>
            </w: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资产管理规范性</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反映项目竣工后资产管理是否规范。</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项目竣工后资产备案和产权登记</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92" w:type="dxa"/>
            <w:vMerge w:val="restart"/>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偿债风险</w:t>
            </w:r>
            <w:r>
              <w:rPr>
                <w:rFonts w:hint="eastAsia" w:ascii="仿宋_GB2312" w:hAnsi="仿宋_GB2312" w:eastAsia="仿宋_GB2312" w:cs="仿宋_GB2312"/>
                <w:color w:val="000000"/>
                <w:sz w:val="32"/>
                <w:szCs w:val="32"/>
                <w:lang w:eastAsia="zh-CN"/>
              </w:rPr>
              <w:t>防控</w:t>
            </w: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还本付息</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反映专项债券本息偿还情况。</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w:t>
            </w:r>
            <w:r>
              <w:rPr>
                <w:rFonts w:hint="eastAsia" w:ascii="仿宋_GB2312" w:hAnsi="仿宋_GB2312" w:eastAsia="仿宋_GB2312" w:cs="仿宋_GB2312"/>
                <w:color w:val="000000"/>
                <w:sz w:val="32"/>
                <w:szCs w:val="32"/>
                <w:lang w:eastAsia="zh-CN"/>
              </w:rPr>
              <w:t>是否制定专项债券本息偿还</w:t>
            </w:r>
            <w:r>
              <w:rPr>
                <w:rFonts w:hint="eastAsia" w:ascii="仿宋_GB2312" w:hAnsi="仿宋_GB2312" w:eastAsia="仿宋_GB2312" w:cs="仿宋_GB2312"/>
                <w:color w:val="000000"/>
                <w:sz w:val="32"/>
                <w:szCs w:val="32"/>
              </w:rPr>
              <w:t>计划；</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②专项债券本息按偿还计划执行是否及时、是否足额偿还</w:t>
            </w:r>
            <w:r>
              <w:rPr>
                <w:rFonts w:hint="eastAsia" w:ascii="仿宋_GB2312" w:hAnsi="仿宋_GB2312" w:eastAsia="仿宋_GB2312" w:cs="仿宋_GB2312"/>
                <w:color w:val="000000"/>
                <w:sz w:val="32"/>
                <w:szCs w:val="32"/>
                <w:lang w:eastAsia="zh-CN"/>
              </w:rPr>
              <w:t>（未按偿还要求及时、足额偿还本息的不得分）。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92" w:type="dxa"/>
            <w:vMerge w:val="continue"/>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测算合理性</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反映项目成本、收益测算的合理性。</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项目收入、成本及预期收益依据是否充分、测算是否合理。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sz w:val="32"/>
                <w:szCs w:val="32"/>
                <w:highlight w:val="none"/>
                <w:lang w:val="zh-CN"/>
              </w:rPr>
            </w:pPr>
          </w:p>
        </w:tc>
        <w:tc>
          <w:tcPr>
            <w:tcW w:w="1192" w:type="dxa"/>
            <w:vMerge w:val="continue"/>
            <w:noWrap/>
            <w:vAlign w:val="center"/>
          </w:tcPr>
          <w:p>
            <w:pPr>
              <w:pStyle w:val="11"/>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color w:val="auto"/>
                <w:kern w:val="2"/>
                <w:sz w:val="32"/>
                <w:szCs w:val="32"/>
                <w:highlight w:val="none"/>
              </w:rPr>
            </w:pP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融资与收益平衡</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反映项目</w:t>
            </w:r>
            <w:r>
              <w:rPr>
                <w:rFonts w:hint="eastAsia" w:ascii="仿宋_GB2312" w:hAnsi="仿宋_GB2312" w:eastAsia="仿宋_GB2312" w:cs="仿宋_GB2312"/>
                <w:color w:val="000000"/>
                <w:sz w:val="32"/>
                <w:szCs w:val="32"/>
                <w:lang w:eastAsia="zh-CN"/>
              </w:rPr>
              <w:t>年度收支、全生命周期</w:t>
            </w:r>
            <w:r>
              <w:rPr>
                <w:rFonts w:hint="eastAsia" w:ascii="仿宋_GB2312" w:hAnsi="仿宋_GB2312" w:eastAsia="仿宋_GB2312" w:cs="仿宋_GB2312"/>
                <w:color w:val="000000"/>
                <w:sz w:val="32"/>
                <w:szCs w:val="32"/>
              </w:rPr>
              <w:t>融资与收益是否能达到平衡。</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①</w:t>
            </w:r>
            <w:r>
              <w:rPr>
                <w:rFonts w:hint="eastAsia" w:ascii="仿宋_GB2312" w:hAnsi="仿宋_GB2312" w:eastAsia="仿宋_GB2312" w:cs="仿宋_GB2312"/>
                <w:color w:val="000000"/>
                <w:sz w:val="32"/>
                <w:szCs w:val="32"/>
                <w:lang w:eastAsia="zh-CN"/>
              </w:rPr>
              <w:t>每年末息前税后净现金流是否能覆盖当年还本付息资金；</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②项目全生命周期预期收益</w:t>
            </w:r>
            <w:r>
              <w:rPr>
                <w:rFonts w:hint="eastAsia" w:ascii="仿宋_GB2312" w:hAnsi="仿宋_GB2312" w:eastAsia="仿宋_GB2312" w:cs="仿宋_GB2312"/>
                <w:color w:val="000000"/>
                <w:sz w:val="32"/>
                <w:szCs w:val="32"/>
                <w:lang w:eastAsia="zh-CN"/>
              </w:rPr>
              <w:t>是否能覆盖融资还本付息</w:t>
            </w:r>
            <w:r>
              <w:rPr>
                <w:rFonts w:hint="eastAsia" w:ascii="仿宋_GB2312" w:hAnsi="仿宋_GB2312" w:eastAsia="仿宋_GB2312" w:cs="仿宋_GB2312"/>
                <w:color w:val="000000"/>
                <w:sz w:val="32"/>
                <w:szCs w:val="32"/>
              </w:rPr>
              <w:t>规模（融资收益覆盖倍数越高</w:t>
            </w:r>
            <w:r>
              <w:rPr>
                <w:rFonts w:hint="eastAsia" w:ascii="仿宋_GB2312" w:hAnsi="仿宋_GB2312" w:eastAsia="仿宋_GB2312" w:cs="仿宋_GB2312"/>
                <w:color w:val="000000"/>
                <w:sz w:val="32"/>
                <w:szCs w:val="32"/>
                <w:lang w:eastAsia="zh-CN"/>
              </w:rPr>
              <w:t>则</w:t>
            </w:r>
            <w:r>
              <w:rPr>
                <w:rFonts w:hint="eastAsia" w:ascii="仿宋_GB2312" w:hAnsi="仿宋_GB2312" w:eastAsia="仿宋_GB2312" w:cs="仿宋_GB2312"/>
                <w:color w:val="000000"/>
                <w:sz w:val="32"/>
                <w:szCs w:val="32"/>
              </w:rPr>
              <w:t>分值越高,项目全生命周期预期收益不能完全覆盖融资还本付息规模的不得分）</w:t>
            </w:r>
            <w:r>
              <w:rPr>
                <w:rFonts w:hint="eastAsia" w:ascii="仿宋_GB2312" w:hAnsi="仿宋_GB2312" w:eastAsia="仿宋_GB2312" w:cs="仿宋_GB2312"/>
                <w:color w:val="00000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sz w:val="32"/>
                <w:szCs w:val="32"/>
                <w:highlight w:val="none"/>
                <w:lang w:val="zh-CN"/>
              </w:rPr>
            </w:pPr>
          </w:p>
        </w:tc>
        <w:tc>
          <w:tcPr>
            <w:tcW w:w="1192" w:type="dxa"/>
            <w:vMerge w:val="continue"/>
            <w:noWrap/>
            <w:vAlign w:val="center"/>
          </w:tcPr>
          <w:p>
            <w:pPr>
              <w:pStyle w:val="11"/>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color w:val="auto"/>
                <w:kern w:val="2"/>
                <w:sz w:val="32"/>
                <w:szCs w:val="32"/>
                <w:highlight w:val="none"/>
              </w:rPr>
            </w:pP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期限匹配</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反映专项债券期限与项目</w:t>
            </w:r>
            <w:r>
              <w:rPr>
                <w:rFonts w:hint="eastAsia" w:ascii="仿宋_GB2312" w:hAnsi="仿宋_GB2312" w:eastAsia="仿宋_GB2312" w:cs="仿宋_GB2312"/>
                <w:color w:val="000000"/>
                <w:sz w:val="32"/>
                <w:szCs w:val="32"/>
                <w:lang w:eastAsia="zh-CN"/>
              </w:rPr>
              <w:t>建设运营</w:t>
            </w:r>
            <w:r>
              <w:rPr>
                <w:rFonts w:hint="eastAsia" w:ascii="仿宋_GB2312" w:hAnsi="仿宋_GB2312" w:eastAsia="仿宋_GB2312" w:cs="仿宋_GB2312"/>
                <w:color w:val="000000"/>
                <w:sz w:val="32"/>
                <w:szCs w:val="32"/>
              </w:rPr>
              <w:t>期限的匹配情况。</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①专项债券期限是否与项目建设</w:t>
            </w:r>
            <w:r>
              <w:rPr>
                <w:rFonts w:hint="eastAsia" w:ascii="仿宋_GB2312" w:hAnsi="仿宋_GB2312" w:eastAsia="仿宋_GB2312" w:cs="仿宋_GB2312"/>
                <w:color w:val="000000"/>
                <w:sz w:val="32"/>
                <w:szCs w:val="32"/>
                <w:lang w:eastAsia="zh-CN"/>
              </w:rPr>
              <w:t>运营</w:t>
            </w:r>
            <w:r>
              <w:rPr>
                <w:rFonts w:hint="eastAsia" w:ascii="仿宋_GB2312" w:hAnsi="仿宋_GB2312" w:eastAsia="仿宋_GB2312" w:cs="仿宋_GB2312"/>
                <w:color w:val="000000"/>
                <w:sz w:val="32"/>
                <w:szCs w:val="32"/>
              </w:rPr>
              <w:t>年度相匹配；</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②项目预期收益是否与项目建设</w:t>
            </w:r>
            <w:r>
              <w:rPr>
                <w:rFonts w:hint="eastAsia" w:ascii="仿宋_GB2312" w:hAnsi="仿宋_GB2312" w:eastAsia="仿宋_GB2312" w:cs="仿宋_GB2312"/>
                <w:color w:val="000000"/>
                <w:sz w:val="32"/>
                <w:szCs w:val="32"/>
                <w:lang w:eastAsia="zh-CN"/>
              </w:rPr>
              <w:t>运营</w:t>
            </w:r>
            <w:r>
              <w:rPr>
                <w:rFonts w:hint="eastAsia" w:ascii="仿宋_GB2312" w:hAnsi="仿宋_GB2312" w:eastAsia="仿宋_GB2312" w:cs="仿宋_GB2312"/>
                <w:color w:val="000000"/>
                <w:sz w:val="32"/>
                <w:szCs w:val="32"/>
              </w:rPr>
              <w:t>年度相匹配。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sz w:val="32"/>
                <w:szCs w:val="32"/>
                <w:highlight w:val="none"/>
                <w:lang w:val="zh-CN"/>
              </w:rPr>
            </w:pPr>
          </w:p>
        </w:tc>
        <w:tc>
          <w:tcPr>
            <w:tcW w:w="1192" w:type="dxa"/>
            <w:vMerge w:val="continue"/>
            <w:noWrap/>
            <w:vAlign w:val="center"/>
          </w:tcPr>
          <w:p>
            <w:pPr>
              <w:pStyle w:val="11"/>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color w:val="auto"/>
                <w:kern w:val="2"/>
                <w:sz w:val="32"/>
                <w:szCs w:val="32"/>
                <w:highlight w:val="none"/>
              </w:rPr>
            </w:pP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风险防范</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反映债务风险预警、处置等机制是否健全。</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①</w:t>
            </w:r>
            <w:r>
              <w:rPr>
                <w:rFonts w:hint="eastAsia" w:ascii="仿宋_GB2312" w:hAnsi="仿宋_GB2312" w:eastAsia="仿宋_GB2312" w:cs="仿宋_GB2312"/>
                <w:color w:val="000000"/>
                <w:sz w:val="32"/>
                <w:szCs w:val="32"/>
                <w:lang w:val="en-US" w:eastAsia="zh-CN"/>
              </w:rPr>
              <w:t>是否制定风险</w:t>
            </w:r>
            <w:r>
              <w:rPr>
                <w:rFonts w:hint="eastAsia" w:ascii="仿宋_GB2312" w:hAnsi="仿宋_GB2312" w:eastAsia="仿宋_GB2312" w:cs="仿宋_GB2312"/>
                <w:color w:val="000000"/>
                <w:sz w:val="32"/>
                <w:szCs w:val="32"/>
              </w:rPr>
              <w:t>防范</w:t>
            </w:r>
            <w:r>
              <w:rPr>
                <w:rFonts w:hint="eastAsia" w:ascii="仿宋_GB2312" w:hAnsi="仿宋_GB2312" w:eastAsia="仿宋_GB2312" w:cs="仿宋_GB2312"/>
                <w:color w:val="000000"/>
                <w:sz w:val="32"/>
                <w:szCs w:val="32"/>
                <w:lang w:val="en-US" w:eastAsia="zh-CN"/>
              </w:rPr>
              <w:t>预案、</w:t>
            </w:r>
            <w:r>
              <w:rPr>
                <w:rFonts w:hint="eastAsia" w:ascii="仿宋_GB2312" w:hAnsi="仿宋_GB2312" w:eastAsia="仿宋_GB2312" w:cs="仿宋_GB2312"/>
                <w:color w:val="000000"/>
                <w:sz w:val="32"/>
                <w:szCs w:val="32"/>
              </w:rPr>
              <w:t>应急处置机制</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②</w:t>
            </w:r>
            <w:r>
              <w:rPr>
                <w:rFonts w:hint="eastAsia" w:ascii="仿宋_GB2312" w:hAnsi="仿宋_GB2312" w:eastAsia="仿宋_GB2312" w:cs="仿宋_GB2312"/>
                <w:color w:val="000000"/>
                <w:sz w:val="32"/>
                <w:szCs w:val="32"/>
                <w:lang w:val="en-US" w:eastAsia="zh-CN"/>
              </w:rPr>
              <w:t>风险防</w:t>
            </w:r>
            <w:r>
              <w:rPr>
                <w:rFonts w:hint="eastAsia" w:ascii="仿宋_GB2312" w:hAnsi="仿宋_GB2312" w:eastAsia="仿宋_GB2312" w:cs="仿宋_GB2312"/>
                <w:color w:val="000000"/>
                <w:sz w:val="32"/>
                <w:szCs w:val="32"/>
              </w:rPr>
              <w:t>范</w:t>
            </w:r>
            <w:r>
              <w:rPr>
                <w:rFonts w:hint="eastAsia" w:ascii="仿宋_GB2312" w:hAnsi="仿宋_GB2312" w:eastAsia="仿宋_GB2312" w:cs="仿宋_GB2312"/>
                <w:color w:val="000000"/>
                <w:sz w:val="32"/>
                <w:szCs w:val="32"/>
                <w:lang w:val="en-US" w:eastAsia="zh-CN"/>
              </w:rPr>
              <w:t>预案等是否具体、科学可执行。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sz w:val="32"/>
                <w:szCs w:val="32"/>
                <w:highlight w:val="none"/>
                <w:lang w:val="zh-CN"/>
              </w:rPr>
            </w:pPr>
          </w:p>
        </w:tc>
        <w:tc>
          <w:tcPr>
            <w:tcW w:w="1192" w:type="dxa"/>
            <w:vMerge w:val="restart"/>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事务管理</w:t>
            </w: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信息公开</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反映公开专项债券</w:t>
            </w:r>
            <w:r>
              <w:rPr>
                <w:rFonts w:hint="eastAsia" w:ascii="仿宋_GB2312" w:hAnsi="仿宋_GB2312" w:eastAsia="仿宋_GB2312" w:cs="仿宋_GB2312"/>
                <w:color w:val="000000"/>
                <w:sz w:val="32"/>
                <w:szCs w:val="32"/>
                <w:lang w:eastAsia="zh-CN"/>
              </w:rPr>
              <w:t>项目</w:t>
            </w:r>
            <w:r>
              <w:rPr>
                <w:rFonts w:hint="eastAsia" w:ascii="仿宋_GB2312" w:hAnsi="仿宋_GB2312" w:eastAsia="仿宋_GB2312" w:cs="仿宋_GB2312"/>
                <w:color w:val="000000"/>
                <w:sz w:val="32"/>
                <w:szCs w:val="32"/>
              </w:rPr>
              <w:t>信息的情况。</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①专项债券项目</w:t>
            </w:r>
            <w:r>
              <w:rPr>
                <w:rFonts w:hint="eastAsia" w:ascii="仿宋_GB2312" w:hAnsi="仿宋_GB2312" w:eastAsia="仿宋_GB2312" w:cs="仿宋_GB2312"/>
                <w:color w:val="000000"/>
                <w:sz w:val="32"/>
                <w:szCs w:val="32"/>
                <w:lang w:eastAsia="zh-CN"/>
              </w:rPr>
              <w:t>有关</w:t>
            </w:r>
            <w:r>
              <w:rPr>
                <w:rFonts w:hint="eastAsia" w:ascii="仿宋_GB2312" w:hAnsi="仿宋_GB2312" w:eastAsia="仿宋_GB2312" w:cs="仿宋_GB2312"/>
                <w:color w:val="000000"/>
                <w:sz w:val="32"/>
                <w:szCs w:val="32"/>
              </w:rPr>
              <w:t>信息是否及时公开</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②专项债券项目信息公开</w:t>
            </w:r>
            <w:r>
              <w:rPr>
                <w:rFonts w:hint="eastAsia" w:ascii="仿宋_GB2312" w:hAnsi="仿宋_GB2312" w:eastAsia="仿宋_GB2312" w:cs="仿宋_GB2312"/>
                <w:color w:val="000000"/>
                <w:sz w:val="32"/>
                <w:szCs w:val="32"/>
                <w:lang w:eastAsia="zh-CN"/>
              </w:rPr>
              <w:t>内容是否准确。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sz w:val="32"/>
                <w:szCs w:val="32"/>
                <w:highlight w:val="none"/>
                <w:lang w:val="zh-CN"/>
              </w:rPr>
            </w:pPr>
          </w:p>
        </w:tc>
        <w:tc>
          <w:tcPr>
            <w:tcW w:w="1192"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整改落实</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反映项目发现问题整改落实情况。</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①审计等监督、检查发现问题是否及时整改</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②审计等监督、检查发现问题是否完成整改。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sz w:val="32"/>
                <w:szCs w:val="32"/>
                <w:highlight w:val="none"/>
                <w:lang w:val="zh-CN"/>
              </w:rPr>
            </w:pPr>
          </w:p>
        </w:tc>
        <w:tc>
          <w:tcPr>
            <w:tcW w:w="1192"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信息化管理</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反映使用信息化系统的情况。</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①填</w:t>
            </w:r>
            <w:r>
              <w:rPr>
                <w:rFonts w:hint="eastAsia" w:ascii="仿宋_GB2312" w:hAnsi="仿宋_GB2312" w:eastAsia="仿宋_GB2312" w:cs="仿宋_GB2312"/>
                <w:color w:val="000000"/>
                <w:sz w:val="32"/>
                <w:szCs w:val="32"/>
                <w:lang w:eastAsia="zh-CN"/>
              </w:rPr>
              <w:t>录</w:t>
            </w:r>
            <w:r>
              <w:rPr>
                <w:rFonts w:hint="eastAsia" w:ascii="仿宋_GB2312" w:hAnsi="仿宋_GB2312" w:eastAsia="仿宋_GB2312" w:cs="仿宋_GB2312"/>
                <w:color w:val="000000"/>
                <w:sz w:val="32"/>
                <w:szCs w:val="32"/>
              </w:rPr>
              <w:t xml:space="preserve">信息化系统的及时性； </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②填</w:t>
            </w:r>
            <w:r>
              <w:rPr>
                <w:rFonts w:hint="eastAsia" w:ascii="仿宋_GB2312" w:hAnsi="仿宋_GB2312" w:eastAsia="仿宋_GB2312" w:cs="仿宋_GB2312"/>
                <w:color w:val="000000"/>
                <w:sz w:val="32"/>
                <w:szCs w:val="32"/>
                <w:lang w:eastAsia="zh-CN"/>
              </w:rPr>
              <w:t>录</w:t>
            </w:r>
            <w:r>
              <w:rPr>
                <w:rFonts w:hint="eastAsia" w:ascii="仿宋_GB2312" w:hAnsi="仿宋_GB2312" w:eastAsia="仿宋_GB2312" w:cs="仿宋_GB2312"/>
                <w:color w:val="000000"/>
                <w:sz w:val="32"/>
                <w:szCs w:val="32"/>
              </w:rPr>
              <w:t>信息化系统的准确性；</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③信息化系统</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其他管理使用情况。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sz w:val="32"/>
                <w:szCs w:val="32"/>
                <w:highlight w:val="none"/>
                <w:lang w:val="zh-CN"/>
              </w:rPr>
            </w:pPr>
          </w:p>
        </w:tc>
        <w:tc>
          <w:tcPr>
            <w:tcW w:w="1192"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程序执行</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反映资金使用单位建立</w:t>
            </w:r>
            <w:r>
              <w:rPr>
                <w:rFonts w:hint="eastAsia" w:ascii="仿宋_GB2312" w:hAnsi="仿宋_GB2312" w:eastAsia="仿宋_GB2312" w:cs="仿宋_GB2312"/>
                <w:color w:val="000000"/>
                <w:sz w:val="32"/>
                <w:szCs w:val="32"/>
                <w:lang w:eastAsia="zh-CN"/>
              </w:rPr>
              <w:t>有效资金</w:t>
            </w:r>
            <w:r>
              <w:rPr>
                <w:rFonts w:hint="eastAsia" w:ascii="仿宋_GB2312" w:hAnsi="仿宋_GB2312" w:eastAsia="仿宋_GB2312" w:cs="仿宋_GB2312"/>
                <w:color w:val="000000"/>
                <w:sz w:val="32"/>
                <w:szCs w:val="32"/>
              </w:rPr>
              <w:t>管理</w:t>
            </w:r>
            <w:r>
              <w:rPr>
                <w:rFonts w:hint="eastAsia" w:ascii="仿宋_GB2312" w:hAnsi="仿宋_GB2312" w:eastAsia="仿宋_GB2312" w:cs="仿宋_GB2312"/>
                <w:color w:val="000000"/>
                <w:sz w:val="32"/>
                <w:szCs w:val="32"/>
                <w:lang w:eastAsia="zh-CN"/>
              </w:rPr>
              <w:t>等机制和执行相关制度规定情况</w:t>
            </w:r>
            <w:r>
              <w:rPr>
                <w:rFonts w:hint="eastAsia" w:ascii="仿宋_GB2312" w:hAnsi="仿宋_GB2312" w:eastAsia="仿宋_GB2312" w:cs="仿宋_GB2312"/>
                <w:color w:val="000000"/>
                <w:sz w:val="32"/>
                <w:szCs w:val="32"/>
              </w:rPr>
              <w:t>。</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①资金使用单位</w:t>
            </w:r>
            <w:r>
              <w:rPr>
                <w:rFonts w:hint="eastAsia" w:ascii="仿宋_GB2312" w:hAnsi="仿宋_GB2312" w:eastAsia="仿宋_GB2312" w:cs="仿宋_GB2312"/>
                <w:color w:val="000000"/>
                <w:sz w:val="32"/>
                <w:szCs w:val="32"/>
                <w:lang w:eastAsia="zh-CN"/>
              </w:rPr>
              <w:t>是否</w:t>
            </w:r>
            <w:r>
              <w:rPr>
                <w:rFonts w:hint="eastAsia" w:ascii="仿宋_GB2312" w:hAnsi="仿宋_GB2312" w:eastAsia="仿宋_GB2312" w:cs="仿宋_GB2312"/>
                <w:color w:val="000000"/>
                <w:sz w:val="32"/>
                <w:szCs w:val="32"/>
              </w:rPr>
              <w:t>建立</w:t>
            </w:r>
            <w:r>
              <w:rPr>
                <w:rFonts w:hint="eastAsia" w:ascii="仿宋_GB2312" w:hAnsi="仿宋_GB2312" w:eastAsia="仿宋_GB2312" w:cs="仿宋_GB2312"/>
                <w:color w:val="000000"/>
                <w:sz w:val="32"/>
                <w:szCs w:val="32"/>
                <w:lang w:eastAsia="zh-CN"/>
              </w:rPr>
              <w:t>有效的</w:t>
            </w:r>
            <w:r>
              <w:rPr>
                <w:rFonts w:hint="eastAsia" w:ascii="仿宋_GB2312" w:hAnsi="仿宋_GB2312" w:eastAsia="仿宋_GB2312" w:cs="仿宋_GB2312"/>
                <w:color w:val="000000"/>
                <w:sz w:val="32"/>
                <w:szCs w:val="32"/>
              </w:rPr>
              <w:t>资金管理</w:t>
            </w:r>
            <w:r>
              <w:rPr>
                <w:rFonts w:hint="eastAsia" w:ascii="仿宋_GB2312" w:hAnsi="仿宋_GB2312" w:eastAsia="仿宋_GB2312" w:cs="仿宋_GB2312"/>
                <w:color w:val="000000"/>
                <w:sz w:val="32"/>
                <w:szCs w:val="32"/>
                <w:lang w:eastAsia="zh-CN"/>
              </w:rPr>
              <w:t>等机制</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w:t>
            </w:r>
            <w:r>
              <w:rPr>
                <w:rFonts w:hint="eastAsia" w:ascii="仿宋_GB2312" w:hAnsi="仿宋_GB2312" w:eastAsia="仿宋_GB2312" w:cs="仿宋_GB2312"/>
                <w:color w:val="000000"/>
                <w:sz w:val="32"/>
                <w:szCs w:val="32"/>
                <w:lang w:eastAsia="zh-CN"/>
              </w:rPr>
              <w:t>项目采购、财务管</w:t>
            </w:r>
            <w:r>
              <w:rPr>
                <w:rFonts w:hint="eastAsia" w:ascii="仿宋_GB2312" w:hAnsi="仿宋_GB2312" w:eastAsia="仿宋_GB2312" w:cs="仿宋_GB2312"/>
                <w:color w:val="000000"/>
                <w:sz w:val="32"/>
                <w:szCs w:val="32"/>
              </w:rPr>
              <w:t>理</w:t>
            </w:r>
            <w:r>
              <w:rPr>
                <w:rFonts w:hint="eastAsia" w:ascii="仿宋_GB2312" w:hAnsi="仿宋_GB2312" w:eastAsia="仿宋_GB2312" w:cs="仿宋_GB2312"/>
                <w:color w:val="000000"/>
                <w:sz w:val="32"/>
                <w:szCs w:val="32"/>
                <w:lang w:eastAsia="zh-CN"/>
              </w:rPr>
              <w:t>等是否严格</w:t>
            </w:r>
            <w:r>
              <w:rPr>
                <w:rFonts w:hint="eastAsia" w:ascii="仿宋_GB2312" w:hAnsi="仿宋_GB2312" w:eastAsia="仿宋_GB2312" w:cs="仿宋_GB2312"/>
                <w:color w:val="000000"/>
                <w:sz w:val="32"/>
                <w:szCs w:val="32"/>
              </w:rPr>
              <w:t>执行</w:t>
            </w:r>
            <w:r>
              <w:rPr>
                <w:rFonts w:hint="eastAsia" w:ascii="仿宋_GB2312" w:hAnsi="仿宋_GB2312" w:eastAsia="仿宋_GB2312" w:cs="仿宋_GB2312"/>
                <w:color w:val="000000"/>
                <w:sz w:val="32"/>
                <w:szCs w:val="32"/>
                <w:lang w:eastAsia="zh-CN"/>
              </w:rPr>
              <w:t>相关制度规定</w:t>
            </w:r>
            <w:r>
              <w:rPr>
                <w:rFonts w:hint="eastAsia" w:ascii="仿宋_GB2312" w:hAnsi="仿宋_GB2312" w:eastAsia="仿宋_GB2312" w:cs="仿宋_GB2312"/>
                <w:color w:val="00000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659" w:type="dxa"/>
            <w:vMerge w:val="restart"/>
            <w:noWrap/>
            <w:vAlign w:val="center"/>
          </w:tcPr>
          <w:p>
            <w:pPr>
              <w:pStyle w:val="11"/>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产出</w:t>
            </w:r>
          </w:p>
        </w:tc>
        <w:tc>
          <w:tcPr>
            <w:tcW w:w="1192"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产出数量</w:t>
            </w: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实际完成率</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项目实施的实际产出数与计划产出数的比率，用以反映项目产出数量目标的实现程度</w:t>
            </w:r>
            <w:r>
              <w:rPr>
                <w:rFonts w:hint="eastAsia" w:ascii="仿宋_GB2312" w:hAnsi="仿宋_GB2312" w:eastAsia="仿宋_GB2312" w:cs="仿宋_GB2312"/>
                <w:color w:val="000000"/>
                <w:sz w:val="32"/>
                <w:szCs w:val="32"/>
                <w:lang w:val="zh-CN" w:eastAsia="zh-CN"/>
              </w:rPr>
              <w:t>，包括项目建成后提供公共产品和服务、资产等情况。</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实际完成率=（实际产出数/计划产出数）×100%。</w:t>
            </w:r>
            <w:r>
              <w:rPr>
                <w:rFonts w:hint="eastAsia" w:ascii="仿宋_GB2312" w:hAnsi="仿宋_GB2312" w:eastAsia="仿宋_GB2312" w:cs="仿宋_GB2312"/>
                <w:color w:val="000000"/>
                <w:sz w:val="32"/>
                <w:szCs w:val="32"/>
                <w:lang w:val="zh-CN"/>
              </w:rPr>
              <w:br w:type="textWrapping"/>
            </w:r>
            <w:r>
              <w:rPr>
                <w:rFonts w:hint="eastAsia" w:ascii="仿宋_GB2312" w:hAnsi="仿宋_GB2312" w:eastAsia="仿宋_GB2312" w:cs="仿宋_GB2312"/>
                <w:color w:val="000000"/>
                <w:sz w:val="32"/>
                <w:szCs w:val="32"/>
                <w:lang w:val="zh-CN"/>
              </w:rPr>
              <w:t>实际产出数：一定时期内项目实际产出的产品或提供的服务数量。</w:t>
            </w:r>
            <w:r>
              <w:rPr>
                <w:rFonts w:hint="eastAsia" w:ascii="仿宋_GB2312" w:hAnsi="仿宋_GB2312" w:eastAsia="仿宋_GB2312" w:cs="仿宋_GB2312"/>
                <w:color w:val="000000"/>
                <w:sz w:val="32"/>
                <w:szCs w:val="32"/>
                <w:lang w:val="zh-CN"/>
              </w:rPr>
              <w:br w:type="textWrapping"/>
            </w:r>
            <w:r>
              <w:rPr>
                <w:rFonts w:hint="eastAsia" w:ascii="仿宋_GB2312" w:hAnsi="仿宋_GB2312" w:eastAsia="仿宋_GB2312" w:cs="仿宋_GB2312"/>
                <w:color w:val="000000"/>
                <w:sz w:val="32"/>
                <w:szCs w:val="32"/>
                <w:lang w:val="zh-CN"/>
              </w:rPr>
              <w:t>计划产出数：项目绩效目标确定的在一定时期内计划产出的产品或提供的服务数量。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659" w:type="dxa"/>
            <w:vMerge w:val="continue"/>
            <w:noWrap/>
            <w:vAlign w:val="center"/>
          </w:tcPr>
          <w:p>
            <w:pPr>
              <w:pStyle w:val="11"/>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color w:val="auto"/>
                <w:kern w:val="2"/>
                <w:sz w:val="32"/>
                <w:szCs w:val="32"/>
                <w:highlight w:val="none"/>
              </w:rPr>
            </w:pPr>
          </w:p>
        </w:tc>
        <w:tc>
          <w:tcPr>
            <w:tcW w:w="1192"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产出质量</w:t>
            </w: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质量达标率</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项目完成的质量达标产出数与实际产出数的比率，用以反映项目产出质量目标的实现程度。</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质量达标率=（质量达标产出数/实际产出数）×100%。</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质量达标产出数：一定时期内实际达到既定质量标准的产品或服务数量。既定质量标准是指项目单位设立绩效目标时依据计划标准、行业标准、历史标准或其他标准而设定的绩效指标值。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659" w:type="dxa"/>
            <w:vMerge w:val="continue"/>
            <w:noWrap/>
            <w:vAlign w:val="center"/>
          </w:tcPr>
          <w:p>
            <w:pPr>
              <w:pStyle w:val="11"/>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color w:val="auto"/>
                <w:kern w:val="2"/>
                <w:sz w:val="32"/>
                <w:szCs w:val="32"/>
                <w:highlight w:val="none"/>
              </w:rPr>
            </w:pPr>
          </w:p>
        </w:tc>
        <w:tc>
          <w:tcPr>
            <w:tcW w:w="1192"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产出时效</w:t>
            </w: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完成及时性</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项目建设进度与计划工作进度的比较，用以反映项目产出时效目标的实现程度。</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项目建设进度与计划工作进度比较情况。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659" w:type="dxa"/>
            <w:vMerge w:val="continue"/>
            <w:noWrap/>
            <w:vAlign w:val="center"/>
          </w:tcPr>
          <w:p>
            <w:pPr>
              <w:pStyle w:val="11"/>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color w:val="auto"/>
                <w:kern w:val="2"/>
                <w:sz w:val="32"/>
                <w:szCs w:val="32"/>
                <w:highlight w:val="none"/>
              </w:rPr>
            </w:pPr>
          </w:p>
        </w:tc>
        <w:tc>
          <w:tcPr>
            <w:tcW w:w="1192"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产出成本</w:t>
            </w: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成本控制</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反映项目成本的控制情况。</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rPr>
              <w:t>①项目</w:t>
            </w:r>
            <w:r>
              <w:rPr>
                <w:rFonts w:hint="eastAsia" w:ascii="仿宋_GB2312" w:hAnsi="仿宋_GB2312" w:eastAsia="仿宋_GB2312" w:cs="仿宋_GB2312"/>
                <w:color w:val="000000"/>
                <w:sz w:val="32"/>
                <w:szCs w:val="32"/>
                <w:lang w:val="zh-CN" w:eastAsia="zh-CN"/>
              </w:rPr>
              <w:t>建设</w:t>
            </w:r>
            <w:r>
              <w:rPr>
                <w:rFonts w:hint="eastAsia" w:ascii="仿宋_GB2312" w:hAnsi="仿宋_GB2312" w:eastAsia="仿宋_GB2312" w:cs="仿宋_GB2312"/>
                <w:color w:val="000000"/>
                <w:sz w:val="32"/>
                <w:szCs w:val="32"/>
                <w:lang w:val="zh-CN"/>
              </w:rPr>
              <w:t>成本与同类项目或市场价格相比是否属于合理范围</w:t>
            </w:r>
            <w:r>
              <w:rPr>
                <w:rFonts w:hint="eastAsia" w:ascii="仿宋_GB2312" w:hAnsi="仿宋_GB2312" w:eastAsia="仿宋_GB2312" w:cs="仿宋_GB2312"/>
                <w:color w:val="000000"/>
                <w:sz w:val="32"/>
                <w:szCs w:val="32"/>
                <w:lang w:val="zh-CN" w:eastAsia="zh-CN"/>
              </w:rPr>
              <w:t>；</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rPr>
              <w:t>②</w:t>
            </w:r>
            <w:r>
              <w:rPr>
                <w:rFonts w:hint="eastAsia" w:ascii="仿宋_GB2312" w:hAnsi="仿宋_GB2312" w:eastAsia="仿宋_GB2312" w:cs="仿宋_GB2312"/>
                <w:color w:val="000000"/>
                <w:sz w:val="32"/>
                <w:szCs w:val="32"/>
                <w:lang w:val="zh-CN" w:eastAsia="zh-CN"/>
              </w:rPr>
              <w:t>债券</w:t>
            </w:r>
            <w:r>
              <w:rPr>
                <w:rFonts w:hint="eastAsia" w:ascii="仿宋_GB2312" w:hAnsi="仿宋_GB2312" w:eastAsia="仿宋_GB2312" w:cs="仿宋_GB2312"/>
                <w:color w:val="000000"/>
                <w:sz w:val="32"/>
                <w:szCs w:val="32"/>
                <w:lang w:val="zh-CN"/>
              </w:rPr>
              <w:t>资金闲置期间的利息情况和其他成本</w:t>
            </w:r>
            <w:r>
              <w:rPr>
                <w:rFonts w:hint="eastAsia" w:ascii="仿宋_GB2312" w:hAnsi="仿宋_GB2312" w:eastAsia="仿宋_GB2312" w:cs="仿宋_GB2312"/>
                <w:color w:val="000000"/>
                <w:sz w:val="32"/>
                <w:szCs w:val="32"/>
                <w:lang w:val="zh-CN" w:eastAsia="zh-CN"/>
              </w:rPr>
              <w:t>情况；</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rPr>
              <w:t>③项目运营成本与同类项目或市场价格相比是否属于合理范围</w:t>
            </w:r>
            <w:r>
              <w:rPr>
                <w:rFonts w:hint="eastAsia" w:ascii="仿宋_GB2312" w:hAnsi="仿宋_GB2312" w:eastAsia="仿宋_GB2312" w:cs="仿宋_GB2312"/>
                <w:color w:val="000000"/>
                <w:sz w:val="32"/>
                <w:szCs w:val="32"/>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jc w:val="center"/>
        </w:trPr>
        <w:tc>
          <w:tcPr>
            <w:tcW w:w="659" w:type="dxa"/>
            <w:vMerge w:val="restart"/>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效益</w:t>
            </w:r>
          </w:p>
        </w:tc>
        <w:tc>
          <w:tcPr>
            <w:tcW w:w="1192" w:type="dxa"/>
            <w:vMerge w:val="restart"/>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项目效益</w:t>
            </w: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经济效益</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反映项目</w:t>
            </w:r>
            <w:r>
              <w:rPr>
                <w:rFonts w:hint="eastAsia" w:ascii="仿宋_GB2312" w:hAnsi="仿宋_GB2312" w:eastAsia="仿宋_GB2312" w:cs="仿宋_GB2312"/>
                <w:color w:val="000000"/>
                <w:sz w:val="32"/>
                <w:szCs w:val="32"/>
                <w:lang w:val="zh-CN" w:eastAsia="zh-CN"/>
              </w:rPr>
              <w:t>相关产出对经济效益带来的影响和效果。</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相关产出在当年及以后</w:t>
            </w:r>
            <w:r>
              <w:rPr>
                <w:rFonts w:hint="eastAsia" w:ascii="仿宋_GB2312" w:hAnsi="仿宋_GB2312" w:eastAsia="仿宋_GB2312" w:cs="仿宋_GB2312"/>
                <w:color w:val="000000"/>
                <w:sz w:val="32"/>
                <w:szCs w:val="32"/>
                <w:lang w:val="zh-CN" w:eastAsia="zh-CN"/>
              </w:rPr>
              <w:t>年度</w:t>
            </w:r>
            <w:r>
              <w:rPr>
                <w:rFonts w:hint="eastAsia" w:ascii="仿宋_GB2312" w:hAnsi="仿宋_GB2312" w:eastAsia="仿宋_GB2312" w:cs="仿宋_GB2312"/>
                <w:color w:val="000000"/>
                <w:sz w:val="32"/>
                <w:szCs w:val="32"/>
                <w:lang w:val="zh-CN"/>
              </w:rPr>
              <w:t>持续形成的经济效益</w:t>
            </w:r>
            <w:r>
              <w:rPr>
                <w:rFonts w:hint="eastAsia" w:ascii="仿宋_GB2312" w:hAnsi="仿宋_GB2312" w:eastAsia="仿宋_GB2312" w:cs="仿宋_GB2312"/>
                <w:color w:val="000000"/>
                <w:sz w:val="32"/>
                <w:szCs w:val="32"/>
                <w:lang w:val="zh-CN" w:eastAsia="zh-CN"/>
              </w:rPr>
              <w:t>，包括</w:t>
            </w:r>
            <w:r>
              <w:rPr>
                <w:rFonts w:hint="eastAsia" w:ascii="仿宋_GB2312" w:hAnsi="仿宋_GB2312" w:eastAsia="仿宋_GB2312" w:cs="仿宋_GB2312"/>
                <w:color w:val="000000"/>
                <w:sz w:val="32"/>
                <w:szCs w:val="32"/>
                <w:lang w:val="zh-CN"/>
              </w:rPr>
              <w:t>自身创造的直接经济效益和引领行业带来的间接经济效益等</w:t>
            </w:r>
            <w:r>
              <w:rPr>
                <w:rFonts w:hint="eastAsia" w:ascii="仿宋_GB2312" w:hAnsi="仿宋_GB2312" w:eastAsia="仿宋_GB2312" w:cs="仿宋_GB2312"/>
                <w:color w:val="000000"/>
                <w:sz w:val="32"/>
                <w:szCs w:val="32"/>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jc w:val="center"/>
        </w:trPr>
        <w:tc>
          <w:tcPr>
            <w:tcW w:w="659" w:type="dxa"/>
            <w:vMerge w:val="continue"/>
            <w:noWrap/>
            <w:vAlign w:val="center"/>
          </w:tcPr>
          <w:p>
            <w:pPr>
              <w:pStyle w:val="11"/>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color w:val="auto"/>
                <w:kern w:val="2"/>
                <w:sz w:val="32"/>
                <w:szCs w:val="32"/>
                <w:highlight w:val="none"/>
              </w:rPr>
            </w:pPr>
          </w:p>
        </w:tc>
        <w:tc>
          <w:tcPr>
            <w:tcW w:w="1192" w:type="dxa"/>
            <w:vMerge w:val="continue"/>
            <w:noWrap/>
            <w:vAlign w:val="center"/>
          </w:tcPr>
          <w:p>
            <w:pPr>
              <w:pStyle w:val="11"/>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color w:val="auto"/>
                <w:kern w:val="2"/>
                <w:sz w:val="32"/>
                <w:szCs w:val="32"/>
                <w:highlight w:val="none"/>
              </w:rPr>
            </w:pP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社会效益</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反映项目</w:t>
            </w:r>
            <w:r>
              <w:rPr>
                <w:rFonts w:hint="eastAsia" w:ascii="仿宋_GB2312" w:hAnsi="仿宋_GB2312" w:eastAsia="仿宋_GB2312" w:cs="仿宋_GB2312"/>
                <w:color w:val="000000"/>
                <w:sz w:val="32"/>
                <w:szCs w:val="32"/>
                <w:lang w:val="zh-CN" w:eastAsia="zh-CN"/>
              </w:rPr>
              <w:t>相关产出对社会发展带来的影响和效果。</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项目带动社会有效投资、支持国家重大区域发展战略等对社会发展的影响和效果情况。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jc w:val="center"/>
        </w:trPr>
        <w:tc>
          <w:tcPr>
            <w:tcW w:w="659" w:type="dxa"/>
            <w:vMerge w:val="continue"/>
            <w:noWrap/>
            <w:vAlign w:val="center"/>
          </w:tcPr>
          <w:p>
            <w:pPr>
              <w:pStyle w:val="11"/>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color w:val="auto"/>
                <w:kern w:val="2"/>
                <w:sz w:val="32"/>
                <w:szCs w:val="32"/>
                <w:highlight w:val="none"/>
              </w:rPr>
            </w:pPr>
          </w:p>
        </w:tc>
        <w:tc>
          <w:tcPr>
            <w:tcW w:w="1192" w:type="dxa"/>
            <w:vMerge w:val="continue"/>
            <w:noWrap/>
            <w:vAlign w:val="center"/>
          </w:tcPr>
          <w:p>
            <w:pPr>
              <w:pStyle w:val="11"/>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color w:val="auto"/>
                <w:kern w:val="2"/>
                <w:sz w:val="32"/>
                <w:szCs w:val="32"/>
                <w:highlight w:val="none"/>
              </w:rPr>
            </w:pP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生态效益</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反映项目</w:t>
            </w:r>
            <w:r>
              <w:rPr>
                <w:rFonts w:hint="eastAsia" w:ascii="仿宋_GB2312" w:hAnsi="仿宋_GB2312" w:eastAsia="仿宋_GB2312" w:cs="仿宋_GB2312"/>
                <w:color w:val="000000"/>
                <w:sz w:val="32"/>
                <w:szCs w:val="32"/>
                <w:lang w:val="zh-CN" w:eastAsia="zh-CN"/>
              </w:rPr>
              <w:t>相关产出对生态环境带来的影响和效果。</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相关产出当年及以后</w:t>
            </w:r>
            <w:r>
              <w:rPr>
                <w:rFonts w:hint="eastAsia" w:ascii="仿宋_GB2312" w:hAnsi="仿宋_GB2312" w:eastAsia="仿宋_GB2312" w:cs="仿宋_GB2312"/>
                <w:color w:val="000000"/>
                <w:sz w:val="32"/>
                <w:szCs w:val="32"/>
                <w:lang w:val="zh-CN" w:eastAsia="zh-CN"/>
              </w:rPr>
              <w:t>年度</w:t>
            </w:r>
            <w:r>
              <w:rPr>
                <w:rFonts w:hint="eastAsia" w:ascii="仿宋_GB2312" w:hAnsi="仿宋_GB2312" w:eastAsia="仿宋_GB2312" w:cs="仿宋_GB2312"/>
                <w:color w:val="000000"/>
                <w:sz w:val="32"/>
                <w:szCs w:val="32"/>
                <w:lang w:val="zh-CN"/>
              </w:rPr>
              <w:t>持续形成的对生产、生活和环境条件产生的有益影响和有利效果。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jc w:val="center"/>
        </w:trPr>
        <w:tc>
          <w:tcPr>
            <w:tcW w:w="659" w:type="dxa"/>
            <w:vMerge w:val="continue"/>
            <w:noWrap/>
            <w:vAlign w:val="center"/>
          </w:tcPr>
          <w:p>
            <w:pPr>
              <w:pStyle w:val="11"/>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color w:val="auto"/>
                <w:kern w:val="2"/>
                <w:sz w:val="32"/>
                <w:szCs w:val="32"/>
                <w:highlight w:val="none"/>
              </w:rPr>
            </w:pPr>
          </w:p>
        </w:tc>
        <w:tc>
          <w:tcPr>
            <w:tcW w:w="1192" w:type="dxa"/>
            <w:vMerge w:val="continue"/>
            <w:noWrap/>
            <w:vAlign w:val="center"/>
          </w:tcPr>
          <w:p>
            <w:pPr>
              <w:pStyle w:val="11"/>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color w:val="auto"/>
                <w:kern w:val="2"/>
                <w:sz w:val="32"/>
                <w:szCs w:val="32"/>
                <w:highlight w:val="none"/>
              </w:rPr>
            </w:pP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可持续影响</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反映项目后续运营及成效发挥等可持续影响情况。</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eastAsia="zh-CN"/>
              </w:rPr>
              <w:t>项目后续按计划用途持续正常情况、运行维护管理制度健全情况等。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59"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ind w:firstLine="640" w:firstLineChars="200"/>
              <w:jc w:val="both"/>
              <w:rPr>
                <w:rFonts w:hint="eastAsia" w:ascii="仿宋_GB2312" w:hAnsi="仿宋_GB2312" w:eastAsia="仿宋_GB2312" w:cs="仿宋_GB2312"/>
                <w:sz w:val="32"/>
                <w:szCs w:val="32"/>
                <w:highlight w:val="none"/>
                <w:lang w:val="zh-CN"/>
              </w:rPr>
            </w:pPr>
          </w:p>
        </w:tc>
        <w:tc>
          <w:tcPr>
            <w:tcW w:w="1192"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满意度</w:t>
            </w:r>
          </w:p>
        </w:tc>
        <w:tc>
          <w:tcPr>
            <w:tcW w:w="1134"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服务对象满意度</w:t>
            </w:r>
          </w:p>
        </w:tc>
        <w:tc>
          <w:tcPr>
            <w:tcW w:w="1702"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反映</w:t>
            </w:r>
            <w:r>
              <w:rPr>
                <w:rFonts w:hint="eastAsia" w:ascii="仿宋_GB2312" w:hAnsi="仿宋_GB2312" w:eastAsia="仿宋_GB2312" w:cs="仿宋_GB2312"/>
                <w:color w:val="000000"/>
                <w:sz w:val="32"/>
                <w:szCs w:val="32"/>
                <w:lang w:val="zh-CN" w:eastAsia="zh-CN"/>
              </w:rPr>
              <w:t>项目直接</w:t>
            </w:r>
            <w:r>
              <w:rPr>
                <w:rFonts w:hint="eastAsia" w:ascii="仿宋_GB2312" w:hAnsi="仿宋_GB2312" w:eastAsia="仿宋_GB2312" w:cs="仿宋_GB2312"/>
                <w:color w:val="000000"/>
                <w:sz w:val="32"/>
                <w:szCs w:val="32"/>
                <w:lang w:val="zh-CN"/>
              </w:rPr>
              <w:t>服</w:t>
            </w:r>
            <w:r>
              <w:rPr>
                <w:rFonts w:hint="eastAsia" w:ascii="仿宋_GB2312" w:hAnsi="仿宋_GB2312" w:eastAsia="仿宋_GB2312" w:cs="仿宋_GB2312"/>
                <w:color w:val="000000"/>
                <w:sz w:val="32"/>
                <w:szCs w:val="32"/>
                <w:lang w:val="zh-CN" w:eastAsia="zh-CN"/>
              </w:rPr>
              <w:t>服</w:t>
            </w:r>
            <w:r>
              <w:rPr>
                <w:rFonts w:hint="eastAsia" w:ascii="仿宋_GB2312" w:hAnsi="仿宋_GB2312" w:eastAsia="仿宋_GB2312" w:cs="仿宋_GB2312"/>
                <w:color w:val="000000"/>
                <w:sz w:val="32"/>
                <w:szCs w:val="32"/>
                <w:lang w:val="zh-CN"/>
              </w:rPr>
              <w:t>务对象</w:t>
            </w:r>
            <w:r>
              <w:rPr>
                <w:rFonts w:hint="eastAsia" w:ascii="仿宋_GB2312" w:hAnsi="仿宋_GB2312" w:eastAsia="仿宋_GB2312" w:cs="仿宋_GB2312"/>
                <w:color w:val="000000"/>
                <w:sz w:val="32"/>
                <w:szCs w:val="32"/>
                <w:lang w:val="zh-CN" w:eastAsia="zh-CN"/>
              </w:rPr>
              <w:t>等相关群体</w:t>
            </w:r>
            <w:r>
              <w:rPr>
                <w:rFonts w:hint="eastAsia" w:ascii="仿宋_GB2312" w:hAnsi="仿宋_GB2312" w:eastAsia="仿宋_GB2312" w:cs="仿宋_GB2312"/>
                <w:color w:val="000000"/>
                <w:sz w:val="32"/>
                <w:szCs w:val="32"/>
                <w:lang w:val="zh-CN"/>
              </w:rPr>
              <w:t>对项目实施效果的满意程度。</w:t>
            </w:r>
          </w:p>
        </w:tc>
        <w:tc>
          <w:tcPr>
            <w:tcW w:w="4374"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项目实施而受到影响的部门（单位）、群体或个人对项目实施效果的满意程度。</w:t>
            </w:r>
          </w:p>
        </w:tc>
      </w:tr>
      <w:bookmarkEnd w:id="9"/>
    </w:tbl>
    <w:p>
      <w:pPr>
        <w:pStyle w:val="3"/>
        <w:keepNext w:val="0"/>
        <w:keepLines w:val="0"/>
        <w:pageBreakBefore w:val="0"/>
        <w:widowControl w:val="0"/>
        <w:numPr>
          <w:ilvl w:val="0"/>
          <w:numId w:val="0"/>
        </w:numPr>
        <w:kinsoku/>
        <w:wordWrap/>
        <w:overflowPunct/>
        <w:topLinePunct w:val="0"/>
        <w:bidi w:val="0"/>
        <w:adjustRightInd/>
        <w:snapToGrid/>
        <w:spacing w:line="560" w:lineRule="exact"/>
        <w:ind w:firstLine="420" w:firstLineChars="200"/>
        <w:jc w:val="both"/>
      </w:pPr>
    </w:p>
    <w:p>
      <w:pPr>
        <w:keepNext w:val="0"/>
        <w:keepLines w:val="0"/>
        <w:pageBreakBefore w:val="0"/>
        <w:widowControl w:val="0"/>
        <w:numPr>
          <w:ilvl w:val="0"/>
          <w:numId w:val="1"/>
        </w:numPr>
        <w:kinsoku/>
        <w:wordWrap/>
        <w:overflowPunct/>
        <w:topLinePunct w:val="0"/>
        <w:bidi w:val="0"/>
        <w:adjustRightInd/>
        <w:snapToGrid/>
        <w:spacing w:line="560" w:lineRule="exact"/>
        <w:ind w:firstLine="640" w:firstLineChars="200"/>
        <w:jc w:val="both"/>
        <w:rPr>
          <w:rFonts w:hint="eastAsia" w:ascii="黑体" w:hAnsi="黑体" w:eastAsia="黑体" w:cs="黑体"/>
          <w:sz w:val="32"/>
          <w:szCs w:val="32"/>
          <w:highlight w:val="none"/>
        </w:rPr>
      </w:pPr>
      <w:r>
        <w:rPr>
          <w:rFonts w:hint="eastAsia" w:ascii="黑体" w:hAnsi="黑体" w:eastAsia="黑体" w:cs="黑体"/>
          <w:sz w:val="32"/>
          <w:szCs w:val="32"/>
          <w:highlight w:val="none"/>
        </w:rPr>
        <w:t>绩效评价结论（附相关评分表）</w:t>
      </w:r>
    </w:p>
    <w:tbl>
      <w:tblPr>
        <w:tblStyle w:val="8"/>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105"/>
        <w:gridCol w:w="1541"/>
        <w:gridCol w:w="1297"/>
        <w:gridCol w:w="849"/>
        <w:gridCol w:w="851"/>
        <w:gridCol w:w="803"/>
        <w:gridCol w:w="717"/>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6" w:type="dxa"/>
            <w:gridSpan w:val="2"/>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项目名称</w:t>
            </w:r>
          </w:p>
        </w:tc>
        <w:tc>
          <w:tcPr>
            <w:tcW w:w="3687" w:type="dxa"/>
            <w:gridSpan w:val="3"/>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2022年龙岗区产业园区基础设施项目</w:t>
            </w:r>
          </w:p>
        </w:tc>
        <w:tc>
          <w:tcPr>
            <w:tcW w:w="1654" w:type="dxa"/>
            <w:gridSpan w:val="2"/>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投向领域</w:t>
            </w:r>
          </w:p>
        </w:tc>
        <w:tc>
          <w:tcPr>
            <w:tcW w:w="2457" w:type="dxa"/>
            <w:gridSpan w:val="2"/>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产业园区基础设施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6" w:type="dxa"/>
            <w:gridSpan w:val="2"/>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项目主管部门</w:t>
            </w:r>
          </w:p>
        </w:tc>
        <w:tc>
          <w:tcPr>
            <w:tcW w:w="3687" w:type="dxa"/>
            <w:gridSpan w:val="3"/>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龙岗区</w:t>
            </w:r>
            <w:r>
              <w:rPr>
                <w:rFonts w:hint="eastAsia" w:ascii="仿宋_GB2312" w:hAnsi="仿宋_GB2312" w:eastAsia="仿宋_GB2312" w:cs="仿宋_GB2312"/>
                <w:color w:val="000000"/>
                <w:sz w:val="32"/>
                <w:szCs w:val="32"/>
                <w:lang w:val="zh-CN" w:eastAsia="zh-CN"/>
              </w:rPr>
              <w:t>政务服务数据管理</w:t>
            </w:r>
            <w:r>
              <w:rPr>
                <w:rFonts w:hint="eastAsia" w:ascii="仿宋_GB2312" w:hAnsi="仿宋_GB2312" w:eastAsia="仿宋_GB2312" w:cs="仿宋_GB2312"/>
                <w:color w:val="000000"/>
                <w:sz w:val="32"/>
                <w:szCs w:val="32"/>
                <w:lang w:val="zh-CN"/>
              </w:rPr>
              <w:t>局</w:t>
            </w:r>
          </w:p>
        </w:tc>
        <w:tc>
          <w:tcPr>
            <w:tcW w:w="1654" w:type="dxa"/>
            <w:gridSpan w:val="2"/>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项目单位</w:t>
            </w:r>
          </w:p>
        </w:tc>
        <w:tc>
          <w:tcPr>
            <w:tcW w:w="2457" w:type="dxa"/>
            <w:gridSpan w:val="2"/>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龙岗区</w:t>
            </w:r>
            <w:r>
              <w:rPr>
                <w:rFonts w:hint="eastAsia" w:ascii="仿宋_GB2312" w:hAnsi="仿宋_GB2312" w:eastAsia="仿宋_GB2312" w:cs="仿宋_GB2312"/>
                <w:color w:val="000000"/>
                <w:sz w:val="32"/>
                <w:szCs w:val="32"/>
                <w:lang w:val="zh-CN" w:eastAsia="zh-CN"/>
              </w:rPr>
              <w:t>大数据中心</w:t>
            </w:r>
            <w:r>
              <w:rPr>
                <w:rFonts w:hint="eastAsia" w:ascii="仿宋_GB2312" w:hAnsi="仿宋_GB2312" w:eastAsia="仿宋_GB2312" w:cs="仿宋_GB2312"/>
                <w:color w:val="000000"/>
                <w:sz w:val="32"/>
                <w:szCs w:val="32"/>
                <w:lang w:val="zh-CN"/>
              </w:rPr>
              <w:t>、龙岗区水务局、龙岗区卫生健康局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6" w:type="dxa"/>
            <w:gridSpan w:val="2"/>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项目实施内容</w:t>
            </w:r>
          </w:p>
        </w:tc>
        <w:tc>
          <w:tcPr>
            <w:tcW w:w="7798" w:type="dxa"/>
            <w:gridSpan w:val="7"/>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本项目包含智慧龙岗2.0项目、龙岗区智慧水务建设工程一期、龙岗区区域医院信息系统及区域卫生信息平台升级建设工程、区级三甲复审（评审）配套信息化项目，共计4个子项目。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6" w:type="dxa"/>
            <w:gridSpan w:val="2"/>
            <w:vMerge w:val="restart"/>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年度</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zh-CN"/>
              </w:rPr>
              <w:t>绩效目标</w:t>
            </w:r>
          </w:p>
        </w:tc>
        <w:tc>
          <w:tcPr>
            <w:tcW w:w="3687" w:type="dxa"/>
            <w:gridSpan w:val="3"/>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预期目标</w:t>
            </w:r>
          </w:p>
        </w:tc>
        <w:tc>
          <w:tcPr>
            <w:tcW w:w="4111" w:type="dxa"/>
            <w:gridSpan w:val="4"/>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eastAsia="zh-CN"/>
              </w:rPr>
              <w:t>全年</w:t>
            </w:r>
            <w:r>
              <w:rPr>
                <w:rFonts w:hint="eastAsia" w:ascii="仿宋_GB2312" w:hAnsi="仿宋_GB2312" w:eastAsia="仿宋_GB2312" w:cs="仿宋_GB2312"/>
                <w:color w:val="000000"/>
                <w:sz w:val="32"/>
                <w:szCs w:val="32"/>
                <w:lang w:val="zh-CN"/>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6" w:type="dxa"/>
            <w:gridSpan w:val="2"/>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p>
        </w:tc>
        <w:tc>
          <w:tcPr>
            <w:tcW w:w="3687" w:type="dxa"/>
            <w:gridSpan w:val="3"/>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加快推进新型基础设施建设项目，按计划完成任务。</w:t>
            </w:r>
          </w:p>
        </w:tc>
        <w:tc>
          <w:tcPr>
            <w:tcW w:w="4111" w:type="dxa"/>
            <w:gridSpan w:val="4"/>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en-US" w:eastAsia="zh-CN"/>
              </w:rPr>
              <w:t>所建设的</w:t>
            </w:r>
            <w:r>
              <w:rPr>
                <w:rFonts w:hint="eastAsia" w:ascii="仿宋_GB2312" w:hAnsi="仿宋_GB2312" w:eastAsia="仿宋_GB2312" w:cs="仿宋_GB2312"/>
                <w:color w:val="000000"/>
                <w:sz w:val="32"/>
                <w:szCs w:val="32"/>
                <w:lang w:val="zh-CN"/>
              </w:rPr>
              <w:t>新型基础设施建设项目</w:t>
            </w:r>
            <w:r>
              <w:rPr>
                <w:rFonts w:hint="eastAsia" w:ascii="仿宋_GB2312" w:hAnsi="仿宋_GB2312" w:eastAsia="仿宋_GB2312" w:cs="仿宋_GB2312"/>
                <w:color w:val="000000"/>
                <w:sz w:val="32"/>
                <w:szCs w:val="32"/>
                <w:lang w:val="zh-CN" w:eastAsia="zh-CN"/>
              </w:rPr>
              <w:t>，全部如期完成年度计划任务。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Merge w:val="restart"/>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eastAsia="zh-CN"/>
              </w:rPr>
              <w:t>当年</w:t>
            </w:r>
            <w:r>
              <w:rPr>
                <w:rFonts w:hint="eastAsia" w:ascii="仿宋_GB2312" w:hAnsi="仿宋_GB2312" w:eastAsia="仿宋_GB2312" w:cs="仿宋_GB2312"/>
                <w:color w:val="000000"/>
                <w:sz w:val="32"/>
                <w:szCs w:val="32"/>
                <w:lang w:val="zh-CN"/>
              </w:rPr>
              <w:t>绩效指标</w:t>
            </w:r>
          </w:p>
        </w:tc>
        <w:tc>
          <w:tcPr>
            <w:tcW w:w="1105" w:type="dxa"/>
            <w:vMerge w:val="restart"/>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债券资金管理指标（</w:t>
            </w:r>
            <w:r>
              <w:rPr>
                <w:rFonts w:hint="eastAsia" w:ascii="仿宋_GB2312" w:hAnsi="仿宋_GB2312" w:eastAsia="仿宋_GB2312" w:cs="仿宋_GB2312"/>
                <w:color w:val="000000"/>
                <w:sz w:val="32"/>
                <w:szCs w:val="32"/>
                <w:lang w:val="en-US" w:eastAsia="zh-CN"/>
              </w:rPr>
              <w:t>10分</w:t>
            </w:r>
            <w:r>
              <w:rPr>
                <w:rFonts w:hint="eastAsia" w:ascii="仿宋_GB2312" w:hAnsi="仿宋_GB2312" w:eastAsia="仿宋_GB2312" w:cs="仿宋_GB2312"/>
                <w:color w:val="000000"/>
                <w:sz w:val="32"/>
                <w:szCs w:val="32"/>
                <w:lang w:val="zh-CN" w:eastAsia="zh-CN"/>
              </w:rPr>
              <w:t>）</w:t>
            </w:r>
          </w:p>
        </w:tc>
        <w:tc>
          <w:tcPr>
            <w:tcW w:w="1541" w:type="dxa"/>
            <w:vMerge w:val="restart"/>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总体支出进度</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r>
              <w:rPr>
                <w:rFonts w:hint="default" w:ascii="仿宋_GB2312" w:hAnsi="仿宋_GB2312" w:eastAsia="仿宋_GB2312" w:cs="仿宋_GB2312"/>
                <w:color w:val="000000"/>
                <w:sz w:val="32"/>
                <w:szCs w:val="32"/>
                <w:lang w:val="zh-CN" w:eastAsia="zh-CN"/>
              </w:rPr>
              <w:t>（当年实际支出</w:t>
            </w:r>
            <w:r>
              <w:rPr>
                <w:rFonts w:hint="eastAsia" w:ascii="仿宋_GB2312" w:hAnsi="仿宋_GB2312" w:eastAsia="仿宋_GB2312" w:cs="仿宋_GB2312"/>
                <w:color w:val="000000"/>
                <w:sz w:val="32"/>
                <w:szCs w:val="32"/>
                <w:lang w:val="zh-CN" w:eastAsia="zh-CN"/>
              </w:rPr>
              <w:t>金额</w:t>
            </w:r>
            <w:r>
              <w:rPr>
                <w:rFonts w:hint="default" w:ascii="仿宋_GB2312" w:hAnsi="仿宋_GB2312" w:eastAsia="仿宋_GB2312" w:cs="仿宋_GB2312"/>
                <w:color w:val="000000"/>
                <w:sz w:val="32"/>
                <w:szCs w:val="32"/>
                <w:lang w:val="zh-CN" w:eastAsia="zh-CN"/>
              </w:rPr>
              <w:t>/</w:t>
            </w:r>
            <w:r>
              <w:rPr>
                <w:rFonts w:hint="eastAsia" w:ascii="仿宋_GB2312" w:hAnsi="仿宋_GB2312" w:eastAsia="仿宋_GB2312" w:cs="仿宋_GB2312"/>
                <w:color w:val="000000"/>
                <w:sz w:val="32"/>
                <w:szCs w:val="32"/>
                <w:lang w:val="zh-CN" w:eastAsia="zh-CN"/>
              </w:rPr>
              <w:t>项目</w:t>
            </w:r>
            <w:r>
              <w:rPr>
                <w:rFonts w:hint="default" w:ascii="仿宋_GB2312" w:hAnsi="仿宋_GB2312" w:eastAsia="仿宋_GB2312" w:cs="仿宋_GB2312"/>
                <w:color w:val="000000"/>
                <w:sz w:val="32"/>
                <w:szCs w:val="32"/>
                <w:lang w:val="zh-CN" w:eastAsia="zh-CN"/>
              </w:rPr>
              <w:t>当年下达额度）</w:t>
            </w:r>
          </w:p>
        </w:tc>
        <w:tc>
          <w:tcPr>
            <w:tcW w:w="1297"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实际支出</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金额</w:t>
            </w:r>
          </w:p>
        </w:tc>
        <w:tc>
          <w:tcPr>
            <w:tcW w:w="849"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下达</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额度</w:t>
            </w:r>
          </w:p>
        </w:tc>
        <w:tc>
          <w:tcPr>
            <w:tcW w:w="851"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实际</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完成值</w:t>
            </w:r>
          </w:p>
        </w:tc>
        <w:tc>
          <w:tcPr>
            <w:tcW w:w="803"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zh-CN" w:eastAsia="zh-CN"/>
              </w:rPr>
              <w:t>分值</w:t>
            </w:r>
          </w:p>
        </w:tc>
        <w:tc>
          <w:tcPr>
            <w:tcW w:w="717"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rPr>
              <w:t>得分</w:t>
            </w:r>
          </w:p>
        </w:tc>
        <w:tc>
          <w:tcPr>
            <w:tcW w:w="1740"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偏差原因分析</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rPr>
              <w:t>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p>
        </w:tc>
        <w:tc>
          <w:tcPr>
            <w:tcW w:w="1105"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p>
        </w:tc>
        <w:tc>
          <w:tcPr>
            <w:tcW w:w="1541"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p>
        </w:tc>
        <w:tc>
          <w:tcPr>
            <w:tcW w:w="1297"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27800</w:t>
            </w:r>
          </w:p>
        </w:tc>
        <w:tc>
          <w:tcPr>
            <w:tcW w:w="849"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27800</w:t>
            </w:r>
          </w:p>
        </w:tc>
        <w:tc>
          <w:tcPr>
            <w:tcW w:w="851"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27800</w:t>
            </w:r>
          </w:p>
        </w:tc>
        <w:tc>
          <w:tcPr>
            <w:tcW w:w="803"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717"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740"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05"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一级指标</w:t>
            </w:r>
          </w:p>
        </w:tc>
        <w:tc>
          <w:tcPr>
            <w:tcW w:w="154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二级指标</w:t>
            </w:r>
          </w:p>
        </w:tc>
        <w:tc>
          <w:tcPr>
            <w:tcW w:w="1297"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三级指标</w:t>
            </w:r>
          </w:p>
        </w:tc>
        <w:tc>
          <w:tcPr>
            <w:tcW w:w="849"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eastAsia="zh-CN"/>
              </w:rPr>
              <w:t>目标</w:t>
            </w:r>
            <w:r>
              <w:rPr>
                <w:rFonts w:hint="eastAsia" w:ascii="仿宋_GB2312" w:hAnsi="仿宋_GB2312" w:eastAsia="仿宋_GB2312" w:cs="仿宋_GB2312"/>
                <w:color w:val="000000"/>
                <w:sz w:val="32"/>
                <w:szCs w:val="32"/>
                <w:lang w:val="zh-CN"/>
              </w:rPr>
              <w:t>值</w:t>
            </w:r>
          </w:p>
        </w:tc>
        <w:tc>
          <w:tcPr>
            <w:tcW w:w="85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实际</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完成值</w:t>
            </w:r>
          </w:p>
        </w:tc>
        <w:tc>
          <w:tcPr>
            <w:tcW w:w="803"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分值</w:t>
            </w:r>
          </w:p>
        </w:tc>
        <w:tc>
          <w:tcPr>
            <w:tcW w:w="717"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得分</w:t>
            </w:r>
          </w:p>
        </w:tc>
        <w:tc>
          <w:tcPr>
            <w:tcW w:w="1740"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偏差原因分析</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05" w:type="dxa"/>
            <w:vMerge w:val="restart"/>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产出指标</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w:t>
            </w:r>
            <w:r>
              <w:rPr>
                <w:rFonts w:hint="eastAsia" w:ascii="仿宋_GB2312" w:hAnsi="仿宋_GB2312" w:eastAsia="仿宋_GB2312" w:cs="仿宋_GB2312"/>
                <w:color w:val="000000"/>
                <w:sz w:val="32"/>
                <w:szCs w:val="32"/>
                <w:lang w:val="en-US" w:eastAsia="zh-CN"/>
              </w:rPr>
              <w:t>50分</w:t>
            </w:r>
            <w:r>
              <w:rPr>
                <w:rFonts w:hint="eastAsia" w:ascii="仿宋_GB2312" w:hAnsi="仿宋_GB2312" w:eastAsia="仿宋_GB2312" w:cs="仿宋_GB2312"/>
                <w:color w:val="000000"/>
                <w:sz w:val="32"/>
                <w:szCs w:val="32"/>
                <w:lang w:val="zh-CN" w:eastAsia="zh-CN"/>
              </w:rPr>
              <w:t>）</w:t>
            </w:r>
          </w:p>
        </w:tc>
        <w:tc>
          <w:tcPr>
            <w:tcW w:w="154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数量指标</w:t>
            </w:r>
          </w:p>
        </w:tc>
        <w:tc>
          <w:tcPr>
            <w:tcW w:w="1297"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信息系统项目数量</w:t>
            </w:r>
          </w:p>
        </w:tc>
        <w:tc>
          <w:tcPr>
            <w:tcW w:w="849"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w:t>
            </w:r>
          </w:p>
        </w:tc>
        <w:tc>
          <w:tcPr>
            <w:tcW w:w="85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w:t>
            </w:r>
          </w:p>
        </w:tc>
        <w:tc>
          <w:tcPr>
            <w:tcW w:w="803"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717"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en-US" w:eastAsia="zh-CN"/>
              </w:rPr>
              <w:t>10</w:t>
            </w:r>
          </w:p>
        </w:tc>
        <w:tc>
          <w:tcPr>
            <w:tcW w:w="1740"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05"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54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质量指标</w:t>
            </w:r>
          </w:p>
        </w:tc>
        <w:tc>
          <w:tcPr>
            <w:tcW w:w="1297"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平台升级达标率</w:t>
            </w:r>
          </w:p>
        </w:tc>
        <w:tc>
          <w:tcPr>
            <w:tcW w:w="849"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合格率100%</w:t>
            </w:r>
          </w:p>
        </w:tc>
        <w:tc>
          <w:tcPr>
            <w:tcW w:w="85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合格率100%</w:t>
            </w:r>
          </w:p>
        </w:tc>
        <w:tc>
          <w:tcPr>
            <w:tcW w:w="803"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717"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en-US" w:eastAsia="zh-CN"/>
              </w:rPr>
              <w:t>10</w:t>
            </w:r>
          </w:p>
        </w:tc>
        <w:tc>
          <w:tcPr>
            <w:tcW w:w="1740"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561"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05"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541" w:type="dxa"/>
            <w:vMerge w:val="restart"/>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时效指标</w:t>
            </w:r>
          </w:p>
        </w:tc>
        <w:tc>
          <w:tcPr>
            <w:tcW w:w="1297"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项目开工时间</w:t>
            </w:r>
          </w:p>
        </w:tc>
        <w:tc>
          <w:tcPr>
            <w:tcW w:w="849"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及时</w:t>
            </w:r>
          </w:p>
        </w:tc>
        <w:tc>
          <w:tcPr>
            <w:tcW w:w="85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及时</w:t>
            </w:r>
          </w:p>
        </w:tc>
        <w:tc>
          <w:tcPr>
            <w:tcW w:w="803" w:type="dxa"/>
            <w:vMerge w:val="restart"/>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717" w:type="dxa"/>
            <w:vMerge w:val="restart"/>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en-US" w:eastAsia="zh-CN"/>
              </w:rPr>
              <w:t>20</w:t>
            </w:r>
          </w:p>
        </w:tc>
        <w:tc>
          <w:tcPr>
            <w:tcW w:w="1740" w:type="dxa"/>
            <w:vMerge w:val="restart"/>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无</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561"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05"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541" w:type="dxa"/>
            <w:vMerge w:val="continue"/>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297"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项目按计划开工率（%）</w:t>
            </w:r>
          </w:p>
        </w:tc>
        <w:tc>
          <w:tcPr>
            <w:tcW w:w="849"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100%</w:t>
            </w:r>
          </w:p>
        </w:tc>
        <w:tc>
          <w:tcPr>
            <w:tcW w:w="85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100%</w:t>
            </w:r>
          </w:p>
        </w:tc>
        <w:tc>
          <w:tcPr>
            <w:tcW w:w="803"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717" w:type="dxa"/>
            <w:vMerge w:val="continue"/>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740"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561"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05"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541" w:type="dxa"/>
            <w:vMerge w:val="restart"/>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成本指标</w:t>
            </w:r>
          </w:p>
        </w:tc>
        <w:tc>
          <w:tcPr>
            <w:tcW w:w="1297"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项目投资金额（万元）</w:t>
            </w:r>
          </w:p>
        </w:tc>
        <w:tc>
          <w:tcPr>
            <w:tcW w:w="849"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27,800</w:t>
            </w:r>
          </w:p>
        </w:tc>
        <w:tc>
          <w:tcPr>
            <w:tcW w:w="85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27,800</w:t>
            </w:r>
          </w:p>
        </w:tc>
        <w:tc>
          <w:tcPr>
            <w:tcW w:w="803" w:type="dxa"/>
            <w:vMerge w:val="restart"/>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717" w:type="dxa"/>
            <w:vMerge w:val="restart"/>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en-US" w:eastAsia="zh-CN"/>
              </w:rPr>
              <w:t>10</w:t>
            </w:r>
          </w:p>
        </w:tc>
        <w:tc>
          <w:tcPr>
            <w:tcW w:w="1740" w:type="dxa"/>
            <w:vMerge w:val="restart"/>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561"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05"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541" w:type="dxa"/>
            <w:vMerge w:val="continue"/>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297"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融资成本</w:t>
            </w:r>
          </w:p>
        </w:tc>
        <w:tc>
          <w:tcPr>
            <w:tcW w:w="849"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不适用</w:t>
            </w:r>
          </w:p>
        </w:tc>
        <w:tc>
          <w:tcPr>
            <w:tcW w:w="85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不适用</w:t>
            </w:r>
          </w:p>
        </w:tc>
        <w:tc>
          <w:tcPr>
            <w:tcW w:w="803" w:type="dxa"/>
            <w:vMerge w:val="continue"/>
            <w:noWrap w:val="0"/>
            <w:vAlign w:val="top"/>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717" w:type="dxa"/>
            <w:vMerge w:val="continue"/>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740" w:type="dxa"/>
            <w:vMerge w:val="continue"/>
            <w:noWrap w:val="0"/>
            <w:vAlign w:val="top"/>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05" w:type="dxa"/>
            <w:vMerge w:val="restart"/>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效益指标</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eastAsia="zh-CN"/>
              </w:rPr>
              <w:t>（</w:t>
            </w:r>
            <w:r>
              <w:rPr>
                <w:rFonts w:hint="eastAsia" w:ascii="仿宋_GB2312" w:hAnsi="仿宋_GB2312" w:eastAsia="仿宋_GB2312" w:cs="仿宋_GB2312"/>
                <w:color w:val="000000"/>
                <w:sz w:val="32"/>
                <w:szCs w:val="32"/>
                <w:lang w:val="en-US" w:eastAsia="zh-CN"/>
              </w:rPr>
              <w:t>30分</w:t>
            </w:r>
            <w:r>
              <w:rPr>
                <w:rFonts w:hint="eastAsia" w:ascii="仿宋_GB2312" w:hAnsi="仿宋_GB2312" w:eastAsia="仿宋_GB2312" w:cs="仿宋_GB2312"/>
                <w:color w:val="000000"/>
                <w:sz w:val="32"/>
                <w:szCs w:val="32"/>
                <w:lang w:val="zh-CN" w:eastAsia="zh-CN"/>
              </w:rPr>
              <w:t>）</w:t>
            </w:r>
          </w:p>
        </w:tc>
        <w:tc>
          <w:tcPr>
            <w:tcW w:w="154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经济效益指标</w:t>
            </w:r>
          </w:p>
        </w:tc>
        <w:tc>
          <w:tcPr>
            <w:tcW w:w="1297"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不适用</w:t>
            </w:r>
          </w:p>
        </w:tc>
        <w:tc>
          <w:tcPr>
            <w:tcW w:w="849"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不适用</w:t>
            </w:r>
          </w:p>
        </w:tc>
        <w:tc>
          <w:tcPr>
            <w:tcW w:w="85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不适用</w:t>
            </w:r>
          </w:p>
        </w:tc>
        <w:tc>
          <w:tcPr>
            <w:tcW w:w="803"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0</w:t>
            </w:r>
          </w:p>
        </w:tc>
        <w:tc>
          <w:tcPr>
            <w:tcW w:w="717"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0</w:t>
            </w:r>
          </w:p>
        </w:tc>
        <w:tc>
          <w:tcPr>
            <w:tcW w:w="1740"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05"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54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社会效益指标</w:t>
            </w:r>
          </w:p>
        </w:tc>
        <w:tc>
          <w:tcPr>
            <w:tcW w:w="1297"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居民对系统改造认可</w:t>
            </w:r>
          </w:p>
        </w:tc>
        <w:tc>
          <w:tcPr>
            <w:tcW w:w="849"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有效改善</w:t>
            </w:r>
          </w:p>
        </w:tc>
        <w:tc>
          <w:tcPr>
            <w:tcW w:w="85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有效改善</w:t>
            </w:r>
          </w:p>
        </w:tc>
        <w:tc>
          <w:tcPr>
            <w:tcW w:w="803"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717"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740"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05"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54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生态效益指标</w:t>
            </w:r>
          </w:p>
        </w:tc>
        <w:tc>
          <w:tcPr>
            <w:tcW w:w="1297"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不适用</w:t>
            </w:r>
          </w:p>
        </w:tc>
        <w:tc>
          <w:tcPr>
            <w:tcW w:w="849"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不适用</w:t>
            </w:r>
          </w:p>
        </w:tc>
        <w:tc>
          <w:tcPr>
            <w:tcW w:w="85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不适用</w:t>
            </w:r>
          </w:p>
        </w:tc>
        <w:tc>
          <w:tcPr>
            <w:tcW w:w="803"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0</w:t>
            </w:r>
          </w:p>
        </w:tc>
        <w:tc>
          <w:tcPr>
            <w:tcW w:w="717"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0</w:t>
            </w:r>
          </w:p>
        </w:tc>
        <w:tc>
          <w:tcPr>
            <w:tcW w:w="1740"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05"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54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可持续影响</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指标</w:t>
            </w:r>
          </w:p>
        </w:tc>
        <w:tc>
          <w:tcPr>
            <w:tcW w:w="1297"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系统指标改善率</w:t>
            </w:r>
          </w:p>
        </w:tc>
        <w:tc>
          <w:tcPr>
            <w:tcW w:w="849"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90%</w:t>
            </w:r>
          </w:p>
        </w:tc>
        <w:tc>
          <w:tcPr>
            <w:tcW w:w="85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90%</w:t>
            </w:r>
          </w:p>
        </w:tc>
        <w:tc>
          <w:tcPr>
            <w:tcW w:w="803"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717"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740"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05"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541"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服务对象</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满意度指标</w:t>
            </w:r>
          </w:p>
        </w:tc>
        <w:tc>
          <w:tcPr>
            <w:tcW w:w="1297"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服务对象满意度</w:t>
            </w:r>
          </w:p>
        </w:tc>
        <w:tc>
          <w:tcPr>
            <w:tcW w:w="849"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90%</w:t>
            </w:r>
          </w:p>
        </w:tc>
        <w:tc>
          <w:tcPr>
            <w:tcW w:w="85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90%</w:t>
            </w:r>
          </w:p>
        </w:tc>
        <w:tc>
          <w:tcPr>
            <w:tcW w:w="803"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717"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740"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05" w:type="dxa"/>
            <w:vMerge w:val="restart"/>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偿债风险指标</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eastAsia="zh-CN"/>
              </w:rPr>
              <w:t>（</w:t>
            </w:r>
            <w:r>
              <w:rPr>
                <w:rFonts w:hint="eastAsia" w:ascii="仿宋_GB2312" w:hAnsi="仿宋_GB2312" w:eastAsia="仿宋_GB2312" w:cs="仿宋_GB2312"/>
                <w:color w:val="000000"/>
                <w:sz w:val="32"/>
                <w:szCs w:val="32"/>
                <w:lang w:val="en-US" w:eastAsia="zh-CN"/>
              </w:rPr>
              <w:t>10分</w:t>
            </w:r>
            <w:r>
              <w:rPr>
                <w:rFonts w:hint="eastAsia" w:ascii="仿宋_GB2312" w:hAnsi="仿宋_GB2312" w:eastAsia="仿宋_GB2312" w:cs="仿宋_GB2312"/>
                <w:color w:val="000000"/>
                <w:sz w:val="32"/>
                <w:szCs w:val="32"/>
                <w:lang w:val="zh-CN" w:eastAsia="zh-CN"/>
              </w:rPr>
              <w:t>）</w:t>
            </w:r>
          </w:p>
        </w:tc>
        <w:tc>
          <w:tcPr>
            <w:tcW w:w="1541"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年度收支</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平衡指标</w:t>
            </w:r>
          </w:p>
        </w:tc>
        <w:tc>
          <w:tcPr>
            <w:tcW w:w="1297"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年末息前税后净现金流/当年还本付息金额</w:t>
            </w:r>
          </w:p>
        </w:tc>
        <w:tc>
          <w:tcPr>
            <w:tcW w:w="849"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1.21</w:t>
            </w:r>
          </w:p>
        </w:tc>
        <w:tc>
          <w:tcPr>
            <w:tcW w:w="85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1.21</w:t>
            </w:r>
          </w:p>
        </w:tc>
        <w:tc>
          <w:tcPr>
            <w:tcW w:w="803"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w:t>
            </w:r>
          </w:p>
        </w:tc>
        <w:tc>
          <w:tcPr>
            <w:tcW w:w="717"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w:t>
            </w:r>
          </w:p>
        </w:tc>
        <w:tc>
          <w:tcPr>
            <w:tcW w:w="1740"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105" w:type="dxa"/>
            <w:vMerge w:val="continue"/>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p>
        </w:tc>
        <w:tc>
          <w:tcPr>
            <w:tcW w:w="1541"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还本付息</w:t>
            </w:r>
          </w:p>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指标</w:t>
            </w:r>
          </w:p>
        </w:tc>
        <w:tc>
          <w:tcPr>
            <w:tcW w:w="1297"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还本付息</w:t>
            </w:r>
            <w:r>
              <w:rPr>
                <w:rFonts w:hint="eastAsia" w:ascii="仿宋_GB2312" w:hAnsi="仿宋_GB2312" w:eastAsia="仿宋_GB2312" w:cs="仿宋_GB2312"/>
                <w:color w:val="000000"/>
                <w:sz w:val="32"/>
                <w:szCs w:val="32"/>
                <w:lang w:val="zh-CN" w:eastAsia="zh-CN"/>
              </w:rPr>
              <w:t>执行</w:t>
            </w:r>
            <w:r>
              <w:rPr>
                <w:rFonts w:hint="eastAsia" w:ascii="仿宋_GB2312" w:hAnsi="仿宋_GB2312" w:eastAsia="仿宋_GB2312" w:cs="仿宋_GB2312"/>
                <w:color w:val="000000"/>
                <w:sz w:val="32"/>
                <w:szCs w:val="32"/>
                <w:lang w:val="zh-CN"/>
              </w:rPr>
              <w:t>率</w:t>
            </w:r>
            <w:r>
              <w:rPr>
                <w:rFonts w:hint="eastAsia" w:ascii="仿宋_GB2312" w:hAnsi="仿宋_GB2312" w:eastAsia="仿宋_GB2312" w:cs="仿宋_GB2312"/>
                <w:color w:val="000000"/>
                <w:sz w:val="32"/>
                <w:szCs w:val="32"/>
                <w:lang w:val="en-US" w:eastAsia="zh-CN"/>
              </w:rPr>
              <w:t>=当年实际还本付息金额/当年应还本付息金额</w:t>
            </w:r>
            <w:r>
              <w:rPr>
                <w:rFonts w:hint="eastAsia" w:ascii="仿宋_GB2312" w:hAnsi="仿宋_GB2312" w:eastAsia="仿宋_GB2312" w:cs="仿宋_GB2312"/>
                <w:color w:val="000000"/>
                <w:sz w:val="32"/>
                <w:szCs w:val="32"/>
                <w:lang w:val="zh-CN"/>
              </w:rPr>
              <w:t>（%）</w:t>
            </w:r>
          </w:p>
        </w:tc>
        <w:tc>
          <w:tcPr>
            <w:tcW w:w="849"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100%</w:t>
            </w:r>
          </w:p>
        </w:tc>
        <w:tc>
          <w:tcPr>
            <w:tcW w:w="851"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100%</w:t>
            </w:r>
          </w:p>
        </w:tc>
        <w:tc>
          <w:tcPr>
            <w:tcW w:w="803"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w:t>
            </w:r>
          </w:p>
        </w:tc>
        <w:tc>
          <w:tcPr>
            <w:tcW w:w="717"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w:t>
            </w:r>
          </w:p>
        </w:tc>
        <w:tc>
          <w:tcPr>
            <w:tcW w:w="1740"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4" w:type="dxa"/>
            <w:gridSpan w:val="6"/>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总分</w:t>
            </w:r>
          </w:p>
        </w:tc>
        <w:tc>
          <w:tcPr>
            <w:tcW w:w="803"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100</w:t>
            </w:r>
          </w:p>
        </w:tc>
        <w:tc>
          <w:tcPr>
            <w:tcW w:w="717" w:type="dxa"/>
            <w:noWrap/>
            <w:vAlign w:val="center"/>
          </w:tcPr>
          <w:p>
            <w:pPr>
              <w:keepNext w:val="0"/>
              <w:keepLines w:val="0"/>
              <w:pageBreakBefore w:val="0"/>
              <w:widowControl w:val="0"/>
              <w:kinsoku/>
              <w:wordWrap/>
              <w:overflowPunct/>
              <w:topLinePunct w:val="0"/>
              <w:bidi w:val="0"/>
              <w:adjustRightInd/>
              <w:snapToGrid/>
              <w:spacing w:line="56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100</w:t>
            </w:r>
          </w:p>
        </w:tc>
        <w:tc>
          <w:tcPr>
            <w:tcW w:w="1740" w:type="dxa"/>
            <w:noWrap w:val="0"/>
            <w:vAlign w:val="center"/>
          </w:tcPr>
          <w:p>
            <w:pPr>
              <w:keepNext w:val="0"/>
              <w:keepLines w:val="0"/>
              <w:pageBreakBefore w:val="0"/>
              <w:widowControl w:val="0"/>
              <w:kinsoku/>
              <w:wordWrap/>
              <w:overflowPunct/>
              <w:topLinePunct w:val="0"/>
              <w:bidi w:val="0"/>
              <w:adjustRightInd/>
              <w:snapToGrid/>
              <w:spacing w:line="560" w:lineRule="exact"/>
              <w:jc w:val="center"/>
              <w:rPr>
                <w:rFonts w:hint="eastAsia" w:ascii="仿宋_GB2312" w:hAnsi="仿宋_GB2312" w:eastAsia="仿宋_GB2312" w:cs="仿宋_GB2312"/>
                <w:color w:val="000000"/>
                <w:sz w:val="32"/>
                <w:szCs w:val="32"/>
                <w:lang w:val="zh-CN" w:eastAsia="zh-CN"/>
              </w:rPr>
            </w:pPr>
          </w:p>
        </w:tc>
      </w:tr>
    </w:tbl>
    <w:p>
      <w:pPr>
        <w:pStyle w:val="3"/>
        <w:keepNext w:val="0"/>
        <w:keepLines w:val="0"/>
        <w:pageBreakBefore w:val="0"/>
        <w:widowControl w:val="0"/>
        <w:numPr>
          <w:ilvl w:val="0"/>
          <w:numId w:val="0"/>
        </w:numPr>
        <w:kinsoku/>
        <w:wordWrap/>
        <w:overflowPunct/>
        <w:topLinePunct w:val="0"/>
        <w:bidi w:val="0"/>
        <w:adjustRightInd/>
        <w:snapToGrid/>
        <w:spacing w:line="560" w:lineRule="exact"/>
        <w:ind w:firstLine="420" w:firstLineChars="200"/>
        <w:jc w:val="both"/>
      </w:pPr>
    </w:p>
    <w:p>
      <w:pPr>
        <w:keepNext w:val="0"/>
        <w:keepLines w:val="0"/>
        <w:pageBreakBefore w:val="0"/>
        <w:widowControl w:val="0"/>
        <w:kinsoku/>
        <w:wordWrap/>
        <w:overflowPunct/>
        <w:topLinePunct w:val="0"/>
        <w:bidi w:val="0"/>
        <w:adjustRightInd/>
        <w:snapToGrid/>
        <w:spacing w:line="560" w:lineRule="exact"/>
        <w:ind w:firstLine="640" w:firstLineChars="200"/>
        <w:jc w:val="both"/>
        <w:rPr>
          <w:rFonts w:ascii="黑体" w:hAnsi="黑体" w:eastAsia="黑体" w:cs="Times New Roman"/>
          <w:sz w:val="32"/>
          <w:szCs w:val="32"/>
          <w:highlight w:val="none"/>
        </w:rPr>
      </w:pPr>
      <w:r>
        <w:rPr>
          <w:rFonts w:hint="eastAsia" w:ascii="黑体" w:hAnsi="黑体" w:eastAsia="黑体" w:cs="黑体"/>
          <w:sz w:val="32"/>
          <w:szCs w:val="32"/>
          <w:highlight w:val="none"/>
        </w:rPr>
        <w:t>四、绩效评价指标分析</w:t>
      </w:r>
    </w:p>
    <w:p>
      <w:pPr>
        <w:keepNext w:val="0"/>
        <w:keepLines w:val="0"/>
        <w:pageBreakBefore w:val="0"/>
        <w:widowControl w:val="0"/>
        <w:kinsoku/>
        <w:wordWrap/>
        <w:overflowPunct/>
        <w:topLinePunct w:val="0"/>
        <w:bidi w:val="0"/>
        <w:adjustRightInd/>
        <w:snapToGrid/>
        <w:spacing w:line="560" w:lineRule="exact"/>
        <w:ind w:firstLine="640" w:firstLineChars="200"/>
        <w:jc w:val="both"/>
        <w:outlineLvl w:val="0"/>
        <w:rPr>
          <w:rFonts w:hint="eastAsia" w:ascii="楷体_GB2312" w:eastAsia="楷体_GB2312" w:cs="楷体_GB2312"/>
          <w:sz w:val="32"/>
          <w:szCs w:val="32"/>
          <w:highlight w:val="none"/>
        </w:rPr>
      </w:pPr>
      <w:r>
        <w:rPr>
          <w:rFonts w:hint="eastAsia" w:ascii="楷体_GB2312" w:eastAsia="楷体_GB2312" w:cs="楷体_GB2312"/>
          <w:sz w:val="32"/>
          <w:szCs w:val="32"/>
          <w:highlight w:val="none"/>
        </w:rPr>
        <w:t>（一）项目决策情况</w:t>
      </w:r>
    </w:p>
    <w:p>
      <w:pPr>
        <w:pStyle w:val="4"/>
        <w:keepNext w:val="0"/>
        <w:keepLines w:val="0"/>
        <w:pageBreakBefore w:val="0"/>
        <w:widowControl w:val="0"/>
        <w:kinsoku/>
        <w:wordWrap/>
        <w:overflowPunct/>
        <w:topLinePunct w:val="0"/>
        <w:bidi w:val="0"/>
        <w:adjustRightInd/>
        <w:snapToGrid/>
        <w:spacing w:line="560" w:lineRule="exact"/>
        <w:ind w:left="0"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2"/>
          <w:sz w:val="32"/>
          <w:szCs w:val="32"/>
          <w:lang w:val="en-US"/>
        </w:rPr>
        <w:t>本项目的建设是落实市委市政府、区委区政府决策部署，站在新的历史起点，加大力度推动智慧城区建设，继续保持龙岗区新型智慧城市、“数字政府”建设走在最前列，建设智慧城市的重大举措，符合深圳市总体规划和片区规划的要求。</w:t>
      </w:r>
      <w:r>
        <w:rPr>
          <w:rFonts w:hint="eastAsia" w:ascii="仿宋_GB2312" w:hAnsi="仿宋_GB2312" w:eastAsia="仿宋_GB2312" w:cs="仿宋_GB2312"/>
          <w:color w:val="000000"/>
          <w:kern w:val="2"/>
          <w:sz w:val="32"/>
          <w:szCs w:val="32"/>
          <w:lang w:val="en-US" w:eastAsia="zh-CN"/>
        </w:rPr>
        <w:t>项目决策达到年度收支平衡，不予扣分。</w:t>
      </w:r>
    </w:p>
    <w:p>
      <w:pPr>
        <w:keepNext w:val="0"/>
        <w:keepLines w:val="0"/>
        <w:pageBreakBefore w:val="0"/>
        <w:widowControl w:val="0"/>
        <w:kinsoku/>
        <w:wordWrap/>
        <w:overflowPunct/>
        <w:topLinePunct w:val="0"/>
        <w:bidi w:val="0"/>
        <w:adjustRightInd/>
        <w:snapToGrid/>
        <w:spacing w:line="560" w:lineRule="exact"/>
        <w:ind w:firstLine="640" w:firstLineChars="200"/>
        <w:jc w:val="both"/>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（二）项目管理情况</w:t>
      </w:r>
    </w:p>
    <w:p>
      <w:pPr>
        <w:keepNext w:val="0"/>
        <w:keepLines w:val="0"/>
        <w:pageBreakBefore w:val="0"/>
        <w:widowControl w:val="0"/>
        <w:kinsoku/>
        <w:wordWrap/>
        <w:overflowPunct/>
        <w:topLinePunct w:val="0"/>
        <w:bidi w:val="0"/>
        <w:adjustRightInd/>
        <w:snapToGrid/>
        <w:spacing w:line="560" w:lineRule="exact"/>
        <w:ind w:firstLine="640" w:firstLineChars="200"/>
        <w:jc w:val="both"/>
        <w:outlineLvl w:val="0"/>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深圳市龙岗区政务服务数据管理局作为本次拟发行专项债券项目的实施主体，负责项目实施的协调工作等相关事项，智慧龙岗2.0项目将由龙岗区大数据中心在资金到位后负责资金的使用，龙岗区智慧水务建设工程一期将由龙岗区水务局在资金到位后负责资金的使用。智慧龙岗2.0项目建成后产权归属于龙岗区大数据中心，拟通过招标有关单位，负责后续管理运营。债券资金管理指标，不予扣分。</w:t>
      </w:r>
    </w:p>
    <w:p>
      <w:pPr>
        <w:keepNext w:val="0"/>
        <w:keepLines w:val="0"/>
        <w:pageBreakBefore w:val="0"/>
        <w:widowControl w:val="0"/>
        <w:kinsoku/>
        <w:wordWrap/>
        <w:overflowPunct/>
        <w:topLinePunct w:val="0"/>
        <w:bidi w:val="0"/>
        <w:adjustRightInd/>
        <w:snapToGrid/>
        <w:spacing w:line="560" w:lineRule="exact"/>
        <w:ind w:firstLine="640" w:firstLineChars="200"/>
        <w:jc w:val="both"/>
        <w:outlineLvl w:val="0"/>
        <w:rPr>
          <w:rFonts w:hint="eastAsia" w:ascii="楷体_GB2312" w:eastAsia="楷体_GB2312" w:cs="楷体_GB2312"/>
          <w:sz w:val="32"/>
          <w:szCs w:val="32"/>
          <w:highlight w:val="none"/>
        </w:rPr>
      </w:pPr>
      <w:r>
        <w:rPr>
          <w:rFonts w:hint="eastAsia" w:ascii="楷体_GB2312" w:eastAsia="楷体_GB2312" w:cs="楷体_GB2312"/>
          <w:sz w:val="32"/>
          <w:szCs w:val="32"/>
          <w:highlight w:val="none"/>
        </w:rPr>
        <w:t>（三）项目产出情况</w:t>
      </w:r>
    </w:p>
    <w:p>
      <w:pPr>
        <w:keepNext w:val="0"/>
        <w:keepLines w:val="0"/>
        <w:pageBreakBefore w:val="0"/>
        <w:widowControl w:val="0"/>
        <w:kinsoku/>
        <w:wordWrap/>
        <w:overflowPunct/>
        <w:topLinePunct w:val="0"/>
        <w:bidi w:val="0"/>
        <w:adjustRightInd/>
        <w:snapToGrid/>
        <w:spacing w:line="560" w:lineRule="exact"/>
        <w:ind w:firstLine="640" w:firstLineChars="200"/>
        <w:jc w:val="both"/>
        <w:outlineLvl w:val="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1.数量指标：</w:t>
      </w:r>
      <w:r>
        <w:rPr>
          <w:rFonts w:hint="default" w:ascii="仿宋_GB2312" w:hAnsi="仿宋_GB2312" w:eastAsia="仿宋_GB2312" w:cs="仿宋_GB2312"/>
          <w:color w:val="000000"/>
          <w:kern w:val="2"/>
          <w:sz w:val="32"/>
          <w:szCs w:val="32"/>
          <w:lang w:eastAsia="zh-CN" w:bidi="ar-SA"/>
        </w:rPr>
        <w:t>4</w:t>
      </w:r>
      <w:r>
        <w:rPr>
          <w:rFonts w:hint="eastAsia" w:ascii="仿宋_GB2312" w:hAnsi="仿宋_GB2312" w:eastAsia="仿宋_GB2312" w:cs="仿宋_GB2312"/>
          <w:color w:val="000000"/>
          <w:kern w:val="2"/>
          <w:sz w:val="32"/>
          <w:szCs w:val="32"/>
          <w:lang w:val="en-US" w:eastAsia="zh-CN" w:bidi="ar-SA"/>
        </w:rPr>
        <w:t>个，完成</w:t>
      </w:r>
      <w:r>
        <w:rPr>
          <w:rFonts w:hint="default" w:ascii="仿宋_GB2312" w:hAnsi="仿宋_GB2312" w:eastAsia="仿宋_GB2312" w:cs="仿宋_GB2312"/>
          <w:color w:val="000000"/>
          <w:kern w:val="2"/>
          <w:sz w:val="32"/>
          <w:szCs w:val="32"/>
          <w:lang w:eastAsia="zh-CN" w:bidi="ar-SA"/>
        </w:rPr>
        <w:t>4</w:t>
      </w:r>
      <w:r>
        <w:rPr>
          <w:rFonts w:hint="eastAsia" w:ascii="仿宋_GB2312" w:hAnsi="仿宋_GB2312" w:eastAsia="仿宋_GB2312" w:cs="仿宋_GB2312"/>
          <w:color w:val="000000"/>
          <w:kern w:val="2"/>
          <w:sz w:val="32"/>
          <w:szCs w:val="32"/>
          <w:lang w:val="en-US" w:eastAsia="zh-CN" w:bidi="ar-SA"/>
        </w:rPr>
        <w:t>个，不予扣分。</w:t>
      </w:r>
    </w:p>
    <w:p>
      <w:pPr>
        <w:keepNext w:val="0"/>
        <w:keepLines w:val="0"/>
        <w:pageBreakBefore w:val="0"/>
        <w:widowControl w:val="0"/>
        <w:kinsoku/>
        <w:wordWrap/>
        <w:overflowPunct/>
        <w:topLinePunct w:val="0"/>
        <w:bidi w:val="0"/>
        <w:adjustRightInd/>
        <w:snapToGrid/>
        <w:spacing w:line="560" w:lineRule="exact"/>
        <w:ind w:firstLine="640" w:firstLineChars="200"/>
        <w:jc w:val="both"/>
        <w:outlineLvl w:val="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2.质量指标：平均升级达标率，合格率100%，不予扣分。</w:t>
      </w:r>
    </w:p>
    <w:p>
      <w:pPr>
        <w:keepNext w:val="0"/>
        <w:keepLines w:val="0"/>
        <w:pageBreakBefore w:val="0"/>
        <w:widowControl w:val="0"/>
        <w:kinsoku/>
        <w:wordWrap/>
        <w:overflowPunct/>
        <w:topLinePunct w:val="0"/>
        <w:bidi w:val="0"/>
        <w:adjustRightInd/>
        <w:snapToGrid/>
        <w:spacing w:line="560" w:lineRule="exact"/>
        <w:ind w:firstLine="640" w:firstLineChars="200"/>
        <w:jc w:val="both"/>
        <w:outlineLvl w:val="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3.时效指标：项目开工时间及时，项目按计划开工率100%，得分10分。</w:t>
      </w:r>
    </w:p>
    <w:p>
      <w:pPr>
        <w:keepNext w:val="0"/>
        <w:keepLines w:val="0"/>
        <w:pageBreakBefore w:val="0"/>
        <w:widowControl w:val="0"/>
        <w:kinsoku/>
        <w:wordWrap/>
        <w:overflowPunct/>
        <w:topLinePunct w:val="0"/>
        <w:bidi w:val="0"/>
        <w:adjustRightInd/>
        <w:snapToGrid/>
        <w:spacing w:line="560" w:lineRule="exact"/>
        <w:ind w:firstLine="640" w:firstLineChars="200"/>
        <w:jc w:val="both"/>
        <w:outlineLvl w:val="0"/>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4.成本指标：项目投资金额27800万元，实际完成27800万元，不予扣分。</w:t>
      </w:r>
    </w:p>
    <w:p>
      <w:pPr>
        <w:keepNext w:val="0"/>
        <w:keepLines w:val="0"/>
        <w:pageBreakBefore w:val="0"/>
        <w:widowControl w:val="0"/>
        <w:kinsoku/>
        <w:wordWrap/>
        <w:overflowPunct/>
        <w:topLinePunct w:val="0"/>
        <w:bidi w:val="0"/>
        <w:adjustRightInd/>
        <w:snapToGrid/>
        <w:spacing w:line="560" w:lineRule="exact"/>
        <w:ind w:firstLine="640" w:firstLineChars="200"/>
        <w:jc w:val="both"/>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（四）项目效益情况</w:t>
      </w:r>
    </w:p>
    <w:p>
      <w:pPr>
        <w:keepNext w:val="0"/>
        <w:keepLines w:val="0"/>
        <w:pageBreakBefore w:val="0"/>
        <w:widowControl w:val="0"/>
        <w:kinsoku/>
        <w:wordWrap/>
        <w:overflowPunct/>
        <w:topLinePunct w:val="0"/>
        <w:bidi w:val="0"/>
        <w:adjustRightInd/>
        <w:snapToGrid/>
        <w:spacing w:line="560" w:lineRule="exact"/>
        <w:ind w:firstLine="640" w:firstLineChars="200"/>
        <w:jc w:val="both"/>
        <w:outlineLvl w:val="0"/>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社会效益指标：居民对系统改造认可，得到有效改善，不予扣分。</w:t>
      </w:r>
    </w:p>
    <w:p>
      <w:pPr>
        <w:keepNext w:val="0"/>
        <w:keepLines w:val="0"/>
        <w:pageBreakBefore w:val="0"/>
        <w:widowControl w:val="0"/>
        <w:kinsoku/>
        <w:wordWrap/>
        <w:overflowPunct/>
        <w:topLinePunct w:val="0"/>
        <w:bidi w:val="0"/>
        <w:adjustRightInd/>
        <w:snapToGrid/>
        <w:spacing w:line="560" w:lineRule="exact"/>
        <w:ind w:firstLine="640" w:firstLineChars="200"/>
        <w:jc w:val="both"/>
        <w:rPr>
          <w:rFonts w:ascii="黑体" w:hAnsi="黑体" w:eastAsia="黑体" w:cs="Times New Roman"/>
          <w:sz w:val="32"/>
          <w:szCs w:val="32"/>
          <w:highlight w:val="none"/>
        </w:rPr>
      </w:pPr>
      <w:r>
        <w:rPr>
          <w:rFonts w:hint="eastAsia" w:ascii="黑体" w:hAnsi="黑体" w:eastAsia="黑体" w:cs="黑体"/>
          <w:sz w:val="32"/>
          <w:szCs w:val="32"/>
          <w:highlight w:val="none"/>
        </w:rPr>
        <w:t>五、主要经验做法</w:t>
      </w:r>
    </w:p>
    <w:p>
      <w:pPr>
        <w:keepNext w:val="0"/>
        <w:keepLines w:val="0"/>
        <w:pageBreakBefore w:val="0"/>
        <w:widowControl w:val="0"/>
        <w:kinsoku/>
        <w:wordWrap/>
        <w:overflowPunct/>
        <w:topLinePunct w:val="0"/>
        <w:bidi w:val="0"/>
        <w:adjustRightInd/>
        <w:snapToGrid/>
        <w:spacing w:line="560" w:lineRule="exact"/>
        <w:ind w:firstLine="640" w:firstLineChars="200"/>
        <w:jc w:val="both"/>
        <w:outlineLvl w:val="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1.在依法合规、确保工程质量安全的前提下，加快专项债券对应项目资金支出进度，尽早安排使用、形成实物工作量，推动项目早见成效。</w:t>
      </w:r>
    </w:p>
    <w:p>
      <w:pPr>
        <w:keepNext w:val="0"/>
        <w:keepLines w:val="0"/>
        <w:pageBreakBefore w:val="0"/>
        <w:widowControl w:val="0"/>
        <w:kinsoku/>
        <w:wordWrap/>
        <w:overflowPunct/>
        <w:topLinePunct w:val="0"/>
        <w:bidi w:val="0"/>
        <w:adjustRightInd/>
        <w:snapToGrid/>
        <w:spacing w:line="560" w:lineRule="exact"/>
        <w:ind w:firstLine="640" w:firstLineChars="200"/>
        <w:jc w:val="both"/>
        <w:outlineLvl w:val="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2.通过各种形式的培训、学习，提高员工的技术水平和业务素质，降低管理运营风险。</w:t>
      </w:r>
    </w:p>
    <w:p>
      <w:pPr>
        <w:keepNext w:val="0"/>
        <w:keepLines w:val="0"/>
        <w:pageBreakBefore w:val="0"/>
        <w:widowControl w:val="0"/>
        <w:kinsoku/>
        <w:wordWrap/>
        <w:overflowPunct/>
        <w:topLinePunct w:val="0"/>
        <w:bidi w:val="0"/>
        <w:adjustRightInd/>
        <w:snapToGrid/>
        <w:spacing w:line="560" w:lineRule="exact"/>
        <w:ind w:firstLine="640" w:firstLineChars="200"/>
        <w:jc w:val="both"/>
        <w:outlineLvl w:val="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总体而言，本项目通过发行专项债可实现较低成本融资，是现阶段解决本项目融资资金问题的推荐方案。</w:t>
      </w: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rPr>
        <w:t>存在问题及原因分析</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center"/>
        <w:rPr>
          <w:rFonts w:hint="eastAsia" w:ascii="仿宋_GB2312" w:hAnsi="仿宋_GB2312" w:eastAsia="仿宋_GB2312" w:cs="仿宋_GB2312"/>
          <w:color w:val="000000"/>
          <w:kern w:val="2"/>
          <w:sz w:val="32"/>
          <w:szCs w:val="32"/>
          <w:lang w:val="en-US"/>
        </w:rPr>
      </w:pPr>
      <w:r>
        <w:rPr>
          <w:rFonts w:hint="eastAsia" w:ascii="仿宋_GB2312" w:hAnsi="仿宋_GB2312" w:eastAsia="仿宋_GB2312" w:cs="仿宋_GB2312"/>
          <w:color w:val="000000"/>
          <w:kern w:val="2"/>
          <w:sz w:val="32"/>
          <w:szCs w:val="32"/>
          <w:lang w:val="en-US" w:eastAsia="zh-CN"/>
        </w:rPr>
        <w:t>无。</w:t>
      </w:r>
    </w:p>
    <w:p>
      <w:pPr>
        <w:keepNext w:val="0"/>
        <w:keepLines w:val="0"/>
        <w:pageBreakBefore w:val="0"/>
        <w:widowControl w:val="0"/>
        <w:numPr>
          <w:ilvl w:val="0"/>
          <w:numId w:val="2"/>
        </w:numPr>
        <w:kinsoku/>
        <w:wordWrap/>
        <w:overflowPunct/>
        <w:topLinePunct w:val="0"/>
        <w:bidi w:val="0"/>
        <w:adjustRightInd/>
        <w:snapToGrid/>
        <w:spacing w:line="560" w:lineRule="exact"/>
        <w:ind w:firstLine="640" w:firstLineChars="200"/>
        <w:jc w:val="both"/>
        <w:rPr>
          <w:rFonts w:hint="eastAsia" w:ascii="黑体" w:hAnsi="黑体" w:eastAsia="黑体" w:cs="黑体"/>
          <w:sz w:val="32"/>
          <w:szCs w:val="32"/>
          <w:highlight w:val="none"/>
        </w:rPr>
      </w:pPr>
      <w:r>
        <w:rPr>
          <w:rFonts w:hint="eastAsia" w:ascii="黑体" w:hAnsi="黑体" w:eastAsia="黑体" w:cs="黑体"/>
          <w:sz w:val="32"/>
          <w:szCs w:val="32"/>
          <w:highlight w:val="none"/>
        </w:rPr>
        <w:t>有关意见建议</w:t>
      </w:r>
    </w:p>
    <w:p>
      <w:pPr>
        <w:pStyle w:val="4"/>
        <w:keepNext w:val="0"/>
        <w:keepLines w:val="0"/>
        <w:pageBreakBefore w:val="0"/>
        <w:widowControl w:val="0"/>
        <w:kinsoku/>
        <w:wordWrap/>
        <w:overflowPunct/>
        <w:topLinePunct w:val="0"/>
        <w:bidi w:val="0"/>
        <w:adjustRightInd/>
        <w:snapToGrid/>
        <w:spacing w:line="560" w:lineRule="exact"/>
        <w:ind w:left="0" w:leftChars="0"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highlight w:val="none"/>
          <w:lang w:eastAsia="zh-CN"/>
        </w:rPr>
        <w:t>无。</w:t>
      </w:r>
    </w:p>
    <w:p>
      <w:pPr>
        <w:spacing w:line="560" w:lineRule="exact"/>
        <w:rPr>
          <w:rFonts w:hint="default"/>
        </w:rPr>
      </w:pPr>
      <w:r>
        <w:rPr>
          <w:rFonts w:hint="default"/>
        </w:rPr>
        <w:t xml:space="preserve">    </w:t>
      </w:r>
    </w:p>
    <w:p>
      <w:pPr>
        <w:pStyle w:val="3"/>
        <w:spacing w:line="560" w:lineRule="exact"/>
        <w:rPr>
          <w:rFonts w:hint="eastAsia" w:ascii="仿宋_GB2312" w:hAnsi="仿宋_GB2312" w:eastAsia="仿宋_GB2312" w:cs="仿宋_GB2312"/>
          <w:sz w:val="32"/>
          <w:szCs w:val="32"/>
        </w:rPr>
      </w:pPr>
    </w:p>
    <w:p>
      <w:pPr>
        <w:pStyle w:val="3"/>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区政务服务数据管理局</w:t>
      </w:r>
    </w:p>
    <w:p>
      <w:pPr>
        <w:pStyle w:val="3"/>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2023年6月</w:t>
      </w:r>
      <w:r>
        <w:rPr>
          <w:rFonts w:hint="default" w:ascii="仿宋_GB2312" w:hAnsi="仿宋_GB2312" w:eastAsia="仿宋_GB2312" w:cs="仿宋_GB2312"/>
          <w:sz w:val="32"/>
          <w:szCs w:val="32"/>
        </w:rPr>
        <w:t>30</w:t>
      </w:r>
      <w:r>
        <w:rPr>
          <w:rFonts w:hint="eastAsia" w:ascii="仿宋_GB2312" w:hAnsi="仿宋_GB2312" w:eastAsia="仿宋_GB2312" w:cs="仿宋_GB2312"/>
          <w:sz w:val="32"/>
          <w:szCs w:val="32"/>
        </w:rPr>
        <w:t>日</w:t>
      </w:r>
    </w:p>
    <w:p/>
    <w:p/>
    <w:sectPr>
      <w:footerReference r:id="rId3" w:type="default"/>
      <w:pgSz w:w="11906" w:h="16838"/>
      <w:pgMar w:top="2098" w:right="1474" w:bottom="198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000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leftChars="100" w:right="210" w:rightChars="100"/>
      <w:rPr>
        <w:rFonts w:hint="eastAsia" w:asciiTheme="minorEastAsia" w:hAnsiTheme="minorEastAsia" w:eastAsiaTheme="minorEastAsia" w:cs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210" w:leftChars="100" w:right="210" w:rightChars="100"/>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ind w:left="210" w:leftChars="100" w:right="210" w:rightChars="100"/>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DA578E"/>
    <w:multiLevelType w:val="singleLevel"/>
    <w:tmpl w:val="6DDA578E"/>
    <w:lvl w:ilvl="0" w:tentative="0">
      <w:start w:val="7"/>
      <w:numFmt w:val="chineseCounting"/>
      <w:suff w:val="nothing"/>
      <w:lvlText w:val="%1、"/>
      <w:lvlJc w:val="left"/>
      <w:rPr>
        <w:rFonts w:hint="eastAsia"/>
      </w:rPr>
    </w:lvl>
  </w:abstractNum>
  <w:abstractNum w:abstractNumId="1">
    <w:nsid w:val="77399369"/>
    <w:multiLevelType w:val="singleLevel"/>
    <w:tmpl w:val="77399369"/>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xMGU0OTQwOTM3N2YwMDdjMjAxMjEzNzhmMGQ4MWEifQ=="/>
  </w:docVars>
  <w:rsids>
    <w:rsidRoot w:val="00000000"/>
    <w:rsid w:val="058F47D1"/>
    <w:rsid w:val="065309F4"/>
    <w:rsid w:val="06C82D52"/>
    <w:rsid w:val="09CB2AA6"/>
    <w:rsid w:val="0B9F32A1"/>
    <w:rsid w:val="0CE96455"/>
    <w:rsid w:val="0EBD1067"/>
    <w:rsid w:val="0FFB7A89"/>
    <w:rsid w:val="10FD1DD6"/>
    <w:rsid w:val="117E132C"/>
    <w:rsid w:val="1BB8B0AE"/>
    <w:rsid w:val="1D5178FC"/>
    <w:rsid w:val="1D767D65"/>
    <w:rsid w:val="1EFF0934"/>
    <w:rsid w:val="1F2C2ACE"/>
    <w:rsid w:val="21F2277C"/>
    <w:rsid w:val="26593C2E"/>
    <w:rsid w:val="28B649E5"/>
    <w:rsid w:val="29B71C4A"/>
    <w:rsid w:val="2E3303C0"/>
    <w:rsid w:val="361C6412"/>
    <w:rsid w:val="370B047D"/>
    <w:rsid w:val="37412D5B"/>
    <w:rsid w:val="39026D72"/>
    <w:rsid w:val="3A493336"/>
    <w:rsid w:val="3FF513F6"/>
    <w:rsid w:val="4009158F"/>
    <w:rsid w:val="4730117F"/>
    <w:rsid w:val="55AC4A6A"/>
    <w:rsid w:val="57415A13"/>
    <w:rsid w:val="57FD6E2D"/>
    <w:rsid w:val="5A9165B6"/>
    <w:rsid w:val="5D822D87"/>
    <w:rsid w:val="632462AB"/>
    <w:rsid w:val="664C8A76"/>
    <w:rsid w:val="672E4730"/>
    <w:rsid w:val="6C166646"/>
    <w:rsid w:val="6F183C15"/>
    <w:rsid w:val="71C308BC"/>
    <w:rsid w:val="72A504D3"/>
    <w:rsid w:val="736B2484"/>
    <w:rsid w:val="78245683"/>
    <w:rsid w:val="79FF3494"/>
    <w:rsid w:val="7DBBB1D2"/>
    <w:rsid w:val="7DFFF6C9"/>
    <w:rsid w:val="7F5F10BC"/>
    <w:rsid w:val="7F66CF82"/>
    <w:rsid w:val="7F7EEFD0"/>
    <w:rsid w:val="7FDE0170"/>
    <w:rsid w:val="BEBF0611"/>
    <w:rsid w:val="F679CC60"/>
    <w:rsid w:val="F7BB8F0F"/>
    <w:rsid w:val="FFFB7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3">
    <w:name w:val="Plain Text"/>
    <w:basedOn w:val="1"/>
    <w:qFormat/>
    <w:uiPriority w:val="0"/>
    <w:rPr>
      <w:rFonts w:ascii="宋体" w:hAnsi="Courier New"/>
    </w:rPr>
  </w:style>
  <w:style w:type="paragraph" w:styleId="4">
    <w:name w:val="Body Text Indent 2"/>
    <w:basedOn w:val="1"/>
    <w:qFormat/>
    <w:uiPriority w:val="0"/>
    <w:pPr>
      <w:widowControl w:val="0"/>
      <w:spacing w:line="480" w:lineRule="auto"/>
      <w:ind w:left="420" w:leftChars="200"/>
      <w:jc w:val="both"/>
    </w:pPr>
    <w:rPr>
      <w:rFonts w:ascii="Calibri" w:hAnsi="Calibri" w:eastAsia="宋体" w:cs="Times New Roman"/>
      <w:kern w:val="2"/>
      <w:sz w:val="21"/>
      <w:szCs w:val="24"/>
      <w:lang w:val="en-US" w:eastAsia="zh-CN" w:bidi="ar-SA"/>
    </w:r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paragraph" w:customStyle="1" w:styleId="10">
    <w:name w:val="Table Paragraph"/>
    <w:basedOn w:val="1"/>
    <w:qFormat/>
    <w:uiPriority w:val="99"/>
    <w:pPr>
      <w:autoSpaceDE w:val="0"/>
      <w:autoSpaceDN w:val="0"/>
    </w:pPr>
    <w:rPr>
      <w:rFonts w:ascii="Arial Unicode MS" w:hAnsi="Arial Unicode MS" w:eastAsia="Arial Unicode MS" w:cs="Arial Unicode MS"/>
      <w:sz w:val="22"/>
      <w:szCs w:val="22"/>
      <w:lang w:val="zh-CN"/>
    </w:rPr>
  </w:style>
  <w:style w:type="paragraph" w:customStyle="1" w:styleId="11">
    <w:name w:val="闻政表文字"/>
    <w:basedOn w:val="1"/>
    <w:qFormat/>
    <w:uiPriority w:val="99"/>
    <w:pPr>
      <w:widowControl/>
      <w:spacing w:line="320" w:lineRule="exact"/>
      <w:jc w:val="center"/>
    </w:pPr>
    <w:rPr>
      <w:rFonts w:ascii="Times New Roman" w:hAnsi="Times New Roman" w:eastAsia="仿宋_GB2312" w:cs="Times New Roman"/>
      <w:color w:val="000000"/>
      <w:kern w:val="0"/>
      <w:sz w:val="28"/>
      <w:szCs w:val="28"/>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6532</Words>
  <Characters>6805</Characters>
  <Lines>0</Lines>
  <Paragraphs>0</Paragraphs>
  <TotalTime>14</TotalTime>
  <ScaleCrop>false</ScaleCrop>
  <LinksUpToDate>false</LinksUpToDate>
  <CharactersWithSpaces>6888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2023-04-13T03:46:00Z</dcterms:created>
  <dc:creator>高雨辰</dc:creator>
  <cp:lastModifiedBy>wumeilin</cp:lastModifiedBy>
  <cp:lastPrinted>2023-07-01T02:10:00Z</cp:lastPrinted>
  <dcterms:modified xsi:type="dcterms:W3CDTF">2023-06-30T14:14:18Z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67082E7D63614EDDA8CAE9D6C26BA024</vt:lpwstr>
  </property>
</Properties>
</file>