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left"/>
        <w:outlineLvl w:val="0"/>
        <w:rPr>
          <w:rFonts w:ascii="宋体" w:hAnsi="宋体" w:eastAsia="宋体"/>
          <w:b/>
          <w:bCs/>
          <w:sz w:val="32"/>
          <w:szCs w:val="32"/>
        </w:rPr>
      </w:pPr>
      <w:bookmarkStart w:id="0" w:name="_Toc435514849"/>
      <w:bookmarkStart w:id="1" w:name="_Toc13067020"/>
      <w:bookmarkStart w:id="2" w:name="_Toc23462"/>
      <w:bookmarkStart w:id="3" w:name="_Toc435115054"/>
      <w:r>
        <w:rPr>
          <w:rFonts w:hint="eastAsia" w:ascii="宋体" w:hAnsi="宋体" w:eastAsia="宋体"/>
          <w:b/>
          <w:bCs/>
          <w:sz w:val="32"/>
          <w:szCs w:val="32"/>
        </w:rPr>
        <w:t>附件</w:t>
      </w:r>
      <w:r>
        <w:rPr>
          <w:rFonts w:hint="eastAsia" w:ascii="宋体" w:hAnsi="宋体" w:eastAsia="宋体"/>
          <w:b/>
          <w:bCs/>
          <w:sz w:val="32"/>
          <w:szCs w:val="32"/>
          <w:lang w:val="en-US" w:eastAsia="zh-CN"/>
        </w:rPr>
        <w:t>4</w:t>
      </w:r>
      <w:r>
        <w:rPr>
          <w:rFonts w:hint="eastAsia" w:ascii="宋体" w:hAnsi="宋体" w:eastAsia="宋体"/>
          <w:b/>
          <w:bCs/>
          <w:sz w:val="32"/>
          <w:szCs w:val="32"/>
        </w:rPr>
        <w:t>：</w:t>
      </w:r>
    </w:p>
    <w:p>
      <w:pPr>
        <w:spacing w:before="156" w:beforeLines="50" w:after="156" w:afterLines="50" w:line="360" w:lineRule="auto"/>
        <w:jc w:val="center"/>
        <w:outlineLvl w:val="0"/>
        <w:rPr>
          <w:rFonts w:ascii="宋体" w:hAnsi="宋体" w:eastAsia="宋体"/>
          <w:b/>
          <w:bCs/>
          <w:sz w:val="44"/>
          <w:szCs w:val="44"/>
        </w:rPr>
      </w:pPr>
      <w:r>
        <w:rPr>
          <w:rFonts w:hint="eastAsia" w:ascii="宋体" w:hAnsi="宋体" w:eastAsia="宋体"/>
          <w:b/>
          <w:bCs/>
          <w:sz w:val="44"/>
          <w:szCs w:val="44"/>
        </w:rPr>
        <w:t>用户需求书</w:t>
      </w:r>
      <w:bookmarkEnd w:id="0"/>
      <w:bookmarkEnd w:id="1"/>
      <w:bookmarkEnd w:id="2"/>
      <w:bookmarkEnd w:id="3"/>
    </w:p>
    <w:p>
      <w:pPr>
        <w:spacing w:before="156" w:beforeLines="50" w:after="156" w:afterLines="50" w:line="360" w:lineRule="auto"/>
        <w:jc w:val="center"/>
        <w:outlineLvl w:val="0"/>
        <w:rPr>
          <w:rFonts w:hint="eastAsia" w:ascii="宋体" w:hAnsi="宋体" w:eastAsia="宋体"/>
          <w:color w:val="FF0000"/>
          <w:sz w:val="44"/>
          <w:szCs w:val="44"/>
        </w:rPr>
      </w:pPr>
    </w:p>
    <w:p>
      <w:pPr>
        <w:numPr>
          <w:ilvl w:val="0"/>
          <w:numId w:val="1"/>
        </w:numPr>
        <w:tabs>
          <w:tab w:val="left" w:pos="540"/>
        </w:tabs>
        <w:adjustRightInd w:val="0"/>
        <w:snapToGrid w:val="0"/>
        <w:spacing w:line="360" w:lineRule="auto"/>
        <w:rPr>
          <w:rFonts w:ascii="宋体" w:hAnsi="宋体" w:cs="Courier New"/>
          <w:b/>
          <w:sz w:val="24"/>
        </w:rPr>
      </w:pPr>
      <w:r>
        <w:rPr>
          <w:rFonts w:hint="eastAsia" w:ascii="宋体" w:hAnsi="宋体" w:cs="Courier New"/>
          <w:b/>
          <w:sz w:val="24"/>
        </w:rPr>
        <w:t>有关说明：</w:t>
      </w:r>
    </w:p>
    <w:p>
      <w:pPr>
        <w:numPr>
          <w:ilvl w:val="0"/>
          <w:numId w:val="2"/>
        </w:numPr>
        <w:snapToGrid w:val="0"/>
        <w:spacing w:line="360" w:lineRule="auto"/>
        <w:ind w:left="567" w:hanging="567"/>
        <w:rPr>
          <w:rFonts w:ascii="宋体" w:hAnsi="宋体"/>
          <w:bCs/>
          <w:sz w:val="24"/>
        </w:rPr>
      </w:pPr>
      <w:r>
        <w:rPr>
          <w:rFonts w:hint="eastAsia" w:ascii="宋体" w:hAnsi="宋体"/>
          <w:bCs/>
          <w:sz w:val="24"/>
        </w:rPr>
        <w:t>投标人须对本项目的采购标的进行整体投标，任何只对本项目采购标的其中一部分内容、数量进行的投标都被视为无效投标。</w:t>
      </w:r>
    </w:p>
    <w:p>
      <w:pPr>
        <w:numPr>
          <w:ilvl w:val="0"/>
          <w:numId w:val="2"/>
        </w:numPr>
        <w:snapToGrid w:val="0"/>
        <w:spacing w:line="360" w:lineRule="auto"/>
        <w:ind w:left="567" w:hanging="567"/>
        <w:rPr>
          <w:rFonts w:ascii="宋体" w:hAnsi="宋体" w:cs="宋体"/>
          <w:sz w:val="24"/>
          <w:lang w:eastAsia="zh-TW"/>
        </w:rPr>
      </w:pPr>
      <w:r>
        <w:rPr>
          <w:rFonts w:hint="eastAsia" w:ascii="宋体" w:hAnsi="宋体"/>
          <w:bCs/>
          <w:sz w:val="24"/>
        </w:rPr>
        <w:t>若所投产品属于政府强制采购节能/环保产品的，则投标人必须提供国家强制性节能或环保产品进行响应，并提供该产品强制性节能或环保产品认证证书，否则视为无效投标。</w:t>
      </w:r>
    </w:p>
    <w:p>
      <w:pPr>
        <w:numPr>
          <w:ilvl w:val="0"/>
          <w:numId w:val="2"/>
        </w:numPr>
        <w:snapToGrid w:val="0"/>
        <w:spacing w:line="360" w:lineRule="auto"/>
        <w:ind w:left="567" w:hanging="567"/>
        <w:rPr>
          <w:rFonts w:ascii="宋体" w:hAnsi="宋体"/>
          <w:bCs/>
          <w:sz w:val="24"/>
        </w:rPr>
      </w:pPr>
      <w:r>
        <w:rPr>
          <w:rFonts w:hint="eastAsia" w:ascii="宋体" w:hAnsi="宋体"/>
          <w:bCs/>
          <w:sz w:val="24"/>
        </w:rPr>
        <w:t>用户需求书中标注</w:t>
      </w:r>
      <w:r>
        <w:rPr>
          <w:rFonts w:ascii="宋体" w:hAnsi="宋体"/>
          <w:bCs/>
          <w:sz w:val="24"/>
        </w:rPr>
        <w:t>“</w:t>
      </w:r>
      <w:r>
        <w:rPr>
          <w:rFonts w:hint="eastAsia" w:ascii="宋体" w:hAnsi="宋体"/>
          <w:bCs/>
          <w:sz w:val="24"/>
        </w:rPr>
        <w:t>★</w:t>
      </w:r>
      <w:r>
        <w:rPr>
          <w:rFonts w:ascii="宋体" w:hAnsi="宋体"/>
          <w:bCs/>
          <w:sz w:val="24"/>
        </w:rPr>
        <w:t>”</w:t>
      </w:r>
      <w:r>
        <w:rPr>
          <w:rFonts w:hint="eastAsia" w:ascii="宋体" w:hAnsi="宋体"/>
          <w:bCs/>
          <w:sz w:val="24"/>
        </w:rPr>
        <w:t>号条款为实质性条款，必须逐条进行响应，有任何一条负偏离的，将导致无效投标。</w:t>
      </w:r>
    </w:p>
    <w:p>
      <w:pPr>
        <w:numPr>
          <w:ilvl w:val="0"/>
          <w:numId w:val="2"/>
        </w:numPr>
        <w:snapToGrid w:val="0"/>
        <w:spacing w:line="360" w:lineRule="auto"/>
        <w:ind w:left="567" w:hanging="567"/>
        <w:rPr>
          <w:rFonts w:ascii="宋体" w:hAnsi="宋体"/>
          <w:bCs/>
          <w:sz w:val="24"/>
        </w:rPr>
      </w:pPr>
      <w:r>
        <w:rPr>
          <w:rFonts w:hint="eastAsia" w:ascii="宋体" w:hAnsi="宋体"/>
          <w:bCs/>
          <w:sz w:val="24"/>
        </w:rPr>
        <w:t>用户需求书中标注</w:t>
      </w:r>
      <w:r>
        <w:rPr>
          <w:rFonts w:ascii="宋体" w:hAnsi="宋体"/>
          <w:bCs/>
          <w:sz w:val="24"/>
        </w:rPr>
        <w:t>“</w:t>
      </w:r>
      <w:r>
        <w:rPr>
          <w:rFonts w:hint="eastAsia" w:ascii="宋体" w:hAnsi="宋体"/>
          <w:bCs/>
          <w:sz w:val="24"/>
        </w:rPr>
        <w:t>▲</w:t>
      </w:r>
      <w:r>
        <w:rPr>
          <w:rFonts w:ascii="宋体" w:hAnsi="宋体"/>
          <w:bCs/>
          <w:sz w:val="24"/>
        </w:rPr>
        <w:t>”</w:t>
      </w:r>
      <w:r>
        <w:rPr>
          <w:rFonts w:hint="eastAsia" w:ascii="宋体" w:hAnsi="宋体"/>
          <w:bCs/>
          <w:sz w:val="24"/>
        </w:rPr>
        <w:t>号条款为重要技术参数，但不作为无效投标条款。</w:t>
      </w:r>
    </w:p>
    <w:p>
      <w:pPr>
        <w:numPr>
          <w:ilvl w:val="0"/>
          <w:numId w:val="1"/>
        </w:numPr>
        <w:tabs>
          <w:tab w:val="left" w:pos="540"/>
        </w:tabs>
        <w:adjustRightInd w:val="0"/>
        <w:snapToGrid w:val="0"/>
        <w:spacing w:line="360" w:lineRule="auto"/>
        <w:rPr>
          <w:rFonts w:ascii="宋体" w:hAnsi="宋体" w:cs="Courier New"/>
          <w:b/>
          <w:sz w:val="24"/>
        </w:rPr>
      </w:pPr>
      <w:bookmarkStart w:id="4" w:name="_Hlk17135609"/>
      <w:r>
        <w:rPr>
          <w:rFonts w:hint="eastAsia" w:ascii="宋体" w:hAnsi="宋体" w:cs="Courier New"/>
          <w:b/>
          <w:sz w:val="24"/>
        </w:rPr>
        <w:t>采购项目清单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454"/>
        <w:gridCol w:w="1246"/>
        <w:gridCol w:w="1982"/>
        <w:gridCol w:w="170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1235" w:type="dxa"/>
            <w:shd w:val="clear" w:color="auto" w:fill="EEECE1"/>
            <w:vAlign w:val="center"/>
          </w:tcPr>
          <w:p>
            <w:pPr>
              <w:adjustRightInd w:val="0"/>
              <w:snapToGrid w:val="0"/>
              <w:jc w:val="center"/>
              <w:rPr>
                <w:rFonts w:ascii="宋体"/>
                <w:b/>
                <w:sz w:val="24"/>
              </w:rPr>
            </w:pPr>
            <w:r>
              <w:rPr>
                <w:rFonts w:hint="eastAsia" w:ascii="宋体"/>
                <w:b/>
                <w:sz w:val="24"/>
              </w:rPr>
              <w:t>采购内容</w:t>
            </w:r>
          </w:p>
        </w:tc>
        <w:tc>
          <w:tcPr>
            <w:tcW w:w="1454" w:type="dxa"/>
            <w:shd w:val="clear" w:color="auto" w:fill="EEECE1"/>
            <w:vAlign w:val="center"/>
          </w:tcPr>
          <w:p>
            <w:pPr>
              <w:adjustRightInd w:val="0"/>
              <w:snapToGrid w:val="0"/>
              <w:jc w:val="center"/>
              <w:rPr>
                <w:rFonts w:ascii="宋体"/>
                <w:b/>
                <w:sz w:val="24"/>
              </w:rPr>
            </w:pPr>
            <w:r>
              <w:rPr>
                <w:rFonts w:hint="eastAsia" w:ascii="宋体"/>
                <w:b/>
                <w:sz w:val="24"/>
              </w:rPr>
              <w:t>数量</w:t>
            </w:r>
          </w:p>
        </w:tc>
        <w:tc>
          <w:tcPr>
            <w:tcW w:w="1246" w:type="dxa"/>
            <w:shd w:val="clear" w:color="auto" w:fill="EEECE1"/>
            <w:vAlign w:val="center"/>
          </w:tcPr>
          <w:p>
            <w:pPr>
              <w:adjustRightInd w:val="0"/>
              <w:snapToGrid w:val="0"/>
              <w:jc w:val="center"/>
              <w:rPr>
                <w:rFonts w:ascii="宋体"/>
                <w:b/>
                <w:sz w:val="24"/>
              </w:rPr>
            </w:pPr>
            <w:r>
              <w:rPr>
                <w:rFonts w:hint="eastAsia" w:ascii="宋体"/>
                <w:b/>
                <w:sz w:val="24"/>
              </w:rPr>
              <w:t>最高限价</w:t>
            </w:r>
          </w:p>
          <w:p>
            <w:pPr>
              <w:adjustRightInd w:val="0"/>
              <w:snapToGrid w:val="0"/>
              <w:rPr>
                <w:rFonts w:ascii="宋体"/>
                <w:b/>
                <w:sz w:val="24"/>
              </w:rPr>
            </w:pPr>
            <w:r>
              <w:rPr>
                <w:rFonts w:hint="eastAsia" w:ascii="宋体"/>
                <w:b/>
                <w:sz w:val="24"/>
              </w:rPr>
              <w:t>（人民币  元）</w:t>
            </w:r>
          </w:p>
        </w:tc>
        <w:tc>
          <w:tcPr>
            <w:tcW w:w="1982" w:type="dxa"/>
            <w:shd w:val="clear" w:color="auto" w:fill="EEECE1"/>
            <w:vAlign w:val="center"/>
          </w:tcPr>
          <w:p>
            <w:pPr>
              <w:adjustRightInd w:val="0"/>
              <w:snapToGrid w:val="0"/>
              <w:jc w:val="center"/>
              <w:rPr>
                <w:rFonts w:ascii="宋体"/>
                <w:b/>
                <w:sz w:val="24"/>
              </w:rPr>
            </w:pPr>
            <w:r>
              <w:rPr>
                <w:rFonts w:hint="eastAsia" w:ascii="宋体"/>
                <w:b/>
                <w:sz w:val="24"/>
              </w:rPr>
              <w:t>核心产品</w:t>
            </w:r>
          </w:p>
        </w:tc>
        <w:tc>
          <w:tcPr>
            <w:tcW w:w="1700" w:type="dxa"/>
            <w:shd w:val="clear" w:color="auto" w:fill="EEECE1"/>
            <w:vAlign w:val="center"/>
          </w:tcPr>
          <w:p>
            <w:pPr>
              <w:adjustRightInd w:val="0"/>
              <w:snapToGrid w:val="0"/>
              <w:jc w:val="center"/>
              <w:rPr>
                <w:rFonts w:ascii="宋体"/>
                <w:b/>
                <w:sz w:val="24"/>
              </w:rPr>
            </w:pPr>
            <w:r>
              <w:rPr>
                <w:rFonts w:hint="eastAsia" w:ascii="宋体"/>
                <w:b/>
                <w:sz w:val="24"/>
              </w:rPr>
              <w:t>主要标的</w:t>
            </w:r>
          </w:p>
        </w:tc>
        <w:tc>
          <w:tcPr>
            <w:tcW w:w="1667" w:type="dxa"/>
            <w:shd w:val="clear" w:color="auto" w:fill="EEECE1"/>
            <w:vAlign w:val="center"/>
          </w:tcPr>
          <w:p>
            <w:pPr>
              <w:adjustRightInd w:val="0"/>
              <w:snapToGrid w:val="0"/>
              <w:jc w:val="center"/>
              <w:rPr>
                <w:rFonts w:ascii="宋体" w:hAnsi="宋体"/>
                <w:b/>
                <w:sz w:val="24"/>
              </w:rPr>
            </w:pPr>
            <w:r>
              <w:rPr>
                <w:rFonts w:hint="eastAsia" w:ascii="宋体" w:hAnsi="宋体"/>
                <w:b/>
                <w:sz w:val="24"/>
              </w:rPr>
              <w:t>允许采购</w:t>
            </w:r>
          </w:p>
          <w:p>
            <w:pPr>
              <w:adjustRightInd w:val="0"/>
              <w:snapToGrid w:val="0"/>
              <w:jc w:val="center"/>
              <w:rPr>
                <w:rFonts w:ascii="宋体"/>
                <w:b/>
                <w:sz w:val="24"/>
              </w:rPr>
            </w:pPr>
            <w:r>
              <w:rPr>
                <w:rFonts w:hint="eastAsia" w:ascii="宋体" w:hAnsi="宋体"/>
                <w:b/>
                <w:sz w:val="24"/>
              </w:rPr>
              <w:t>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1235" w:type="dxa"/>
            <w:vAlign w:val="center"/>
          </w:tcPr>
          <w:p>
            <w:pPr>
              <w:adjustRightInd w:val="0"/>
              <w:snapToGrid w:val="0"/>
              <w:jc w:val="center"/>
              <w:rPr>
                <w:rFonts w:ascii="宋体"/>
                <w:bCs/>
                <w:sz w:val="24"/>
              </w:rPr>
            </w:pPr>
            <w:r>
              <w:rPr>
                <w:rFonts w:hint="eastAsia" w:ascii="宋体" w:hAnsi="宋体"/>
                <w:bCs/>
                <w:sz w:val="24"/>
              </w:rPr>
              <w:t>202</w:t>
            </w:r>
            <w:r>
              <w:rPr>
                <w:rFonts w:hint="eastAsia" w:ascii="宋体" w:hAnsi="宋体"/>
                <w:bCs/>
                <w:sz w:val="24"/>
                <w:lang w:val="en-US" w:eastAsia="zh-CN"/>
              </w:rPr>
              <w:t>3</w:t>
            </w:r>
            <w:r>
              <w:rPr>
                <w:rFonts w:hint="eastAsia" w:ascii="宋体" w:hAnsi="宋体"/>
                <w:bCs/>
                <w:sz w:val="24"/>
              </w:rPr>
              <w:t>年 新开办学校课桌椅招标采购</w:t>
            </w:r>
          </w:p>
        </w:tc>
        <w:tc>
          <w:tcPr>
            <w:tcW w:w="1454" w:type="dxa"/>
            <w:vAlign w:val="center"/>
          </w:tcPr>
          <w:p>
            <w:pPr>
              <w:adjustRightInd w:val="0"/>
              <w:snapToGrid w:val="0"/>
              <w:jc w:val="center"/>
              <w:rPr>
                <w:rFonts w:ascii="宋体"/>
                <w:bCs/>
                <w:sz w:val="24"/>
              </w:rPr>
            </w:pPr>
            <w:r>
              <w:rPr>
                <w:rFonts w:hint="eastAsia" w:ascii="宋体" w:hAnsi="宋体"/>
                <w:bCs/>
                <w:sz w:val="24"/>
                <w:lang w:val="en-US" w:eastAsia="zh-CN"/>
              </w:rPr>
              <w:t>4</w:t>
            </w:r>
            <w:r>
              <w:rPr>
                <w:rFonts w:hint="eastAsia" w:ascii="宋体" w:hAnsi="宋体"/>
                <w:bCs/>
                <w:sz w:val="24"/>
              </w:rPr>
              <w:t>00套（含课桌、课椅）</w:t>
            </w:r>
          </w:p>
        </w:tc>
        <w:tc>
          <w:tcPr>
            <w:tcW w:w="1246" w:type="dxa"/>
            <w:vAlign w:val="center"/>
          </w:tcPr>
          <w:p>
            <w:pPr>
              <w:keepNext/>
              <w:adjustRightInd w:val="0"/>
              <w:snapToGrid w:val="0"/>
              <w:jc w:val="center"/>
              <w:textAlignment w:val="center"/>
              <w:rPr>
                <w:rFonts w:ascii="宋体" w:hAnsi="宋体"/>
                <w:bCs/>
                <w:sz w:val="24"/>
              </w:rPr>
            </w:pPr>
            <w:r>
              <w:rPr>
                <w:rFonts w:hint="eastAsia" w:ascii="宋体" w:hAnsi="宋体"/>
                <w:bCs/>
                <w:snapToGrid w:val="0"/>
                <w:spacing w:val="20"/>
                <w:kern w:val="0"/>
                <w:sz w:val="24"/>
              </w:rPr>
              <w:t>2</w:t>
            </w:r>
            <w:r>
              <w:rPr>
                <w:rFonts w:hint="eastAsia" w:ascii="宋体" w:hAnsi="宋体"/>
                <w:bCs/>
                <w:snapToGrid w:val="0"/>
                <w:spacing w:val="20"/>
                <w:kern w:val="0"/>
                <w:sz w:val="24"/>
                <w:lang w:val="en-US" w:eastAsia="zh-CN"/>
              </w:rPr>
              <w:t>0</w:t>
            </w:r>
            <w:r>
              <w:rPr>
                <w:rFonts w:hint="eastAsia" w:ascii="宋体" w:hAnsi="宋体"/>
                <w:bCs/>
                <w:snapToGrid w:val="0"/>
                <w:spacing w:val="20"/>
                <w:kern w:val="0"/>
                <w:sz w:val="24"/>
              </w:rPr>
              <w:t>0000</w:t>
            </w:r>
          </w:p>
        </w:tc>
        <w:tc>
          <w:tcPr>
            <w:tcW w:w="1982" w:type="dxa"/>
            <w:vAlign w:val="center"/>
          </w:tcPr>
          <w:p>
            <w:pPr>
              <w:keepNext/>
              <w:adjustRightInd w:val="0"/>
              <w:snapToGrid w:val="0"/>
              <w:jc w:val="left"/>
              <w:textAlignment w:val="center"/>
              <w:rPr>
                <w:rFonts w:ascii="宋体" w:hAnsi="宋体"/>
                <w:bCs/>
                <w:sz w:val="24"/>
              </w:rPr>
            </w:pPr>
            <w:r>
              <w:rPr>
                <w:rFonts w:hint="eastAsia" w:ascii="宋体" w:hAnsi="宋体"/>
                <w:bCs/>
                <w:snapToGrid w:val="0"/>
                <w:spacing w:val="20"/>
                <w:kern w:val="0"/>
                <w:sz w:val="24"/>
                <w:szCs w:val="20"/>
              </w:rPr>
              <w:t xml:space="preserve">课桌、课椅 </w:t>
            </w:r>
          </w:p>
        </w:tc>
        <w:tc>
          <w:tcPr>
            <w:tcW w:w="1700" w:type="dxa"/>
            <w:vAlign w:val="center"/>
          </w:tcPr>
          <w:p>
            <w:pPr>
              <w:keepNext/>
              <w:adjustRightInd w:val="0"/>
              <w:snapToGrid w:val="0"/>
              <w:jc w:val="left"/>
              <w:textAlignment w:val="center"/>
              <w:rPr>
                <w:rFonts w:ascii="宋体" w:hAnsi="宋体"/>
                <w:bCs/>
                <w:i/>
                <w:sz w:val="24"/>
              </w:rPr>
            </w:pPr>
            <w:r>
              <w:rPr>
                <w:rFonts w:hint="eastAsia" w:ascii="宋体" w:hAnsi="宋体"/>
                <w:bCs/>
                <w:snapToGrid w:val="0"/>
                <w:spacing w:val="20"/>
                <w:kern w:val="0"/>
                <w:sz w:val="24"/>
                <w:szCs w:val="20"/>
              </w:rPr>
              <w:t>课桌、课椅</w:t>
            </w:r>
          </w:p>
        </w:tc>
        <w:tc>
          <w:tcPr>
            <w:tcW w:w="1667" w:type="dxa"/>
            <w:vAlign w:val="center"/>
          </w:tcPr>
          <w:p>
            <w:pPr>
              <w:keepNext/>
              <w:adjustRightInd w:val="0"/>
              <w:snapToGrid w:val="0"/>
              <w:jc w:val="left"/>
              <w:textAlignment w:val="center"/>
              <w:rPr>
                <w:rFonts w:ascii="宋体" w:hAnsi="宋体"/>
                <w:bCs/>
                <w:i/>
                <w:sz w:val="24"/>
                <w:shd w:val="pct10" w:color="auto" w:fill="FFFFFF"/>
              </w:rPr>
            </w:pPr>
            <w:r>
              <w:rPr>
                <w:rFonts w:hint="eastAsia" w:ascii="宋体" w:hAnsi="宋体"/>
                <w:bCs/>
                <w:sz w:val="24"/>
              </w:rPr>
              <w:t>不接受进口产品</w:t>
            </w:r>
          </w:p>
        </w:tc>
      </w:tr>
    </w:tbl>
    <w:p>
      <w:pPr>
        <w:adjustRightInd w:val="0"/>
        <w:snapToGrid w:val="0"/>
        <w:spacing w:line="360" w:lineRule="auto"/>
        <w:rPr>
          <w:rFonts w:ascii="宋体" w:hAnsi="宋体" w:cs="Courier New"/>
          <w:bCs/>
          <w:sz w:val="24"/>
          <w:szCs w:val="21"/>
        </w:rPr>
      </w:pPr>
      <w:r>
        <w:rPr>
          <w:rFonts w:hint="eastAsia" w:ascii="宋体" w:hAnsi="宋体" w:cs="Courier New"/>
          <w:bCs/>
          <w:sz w:val="24"/>
          <w:szCs w:val="21"/>
        </w:rPr>
        <w:t>备注：</w:t>
      </w:r>
    </w:p>
    <w:p>
      <w:pPr>
        <w:numPr>
          <w:ilvl w:val="0"/>
          <w:numId w:val="3"/>
        </w:numPr>
        <w:snapToGrid w:val="0"/>
        <w:spacing w:line="360" w:lineRule="auto"/>
        <w:ind w:left="590"/>
        <w:rPr>
          <w:rFonts w:ascii="宋体" w:hAnsi="宋体" w:cs="宋体"/>
          <w:sz w:val="24"/>
          <w:lang w:eastAsia="zh-TW"/>
        </w:rPr>
      </w:pPr>
      <w:r>
        <w:rPr>
          <w:rFonts w:hint="eastAsia" w:ascii="宋体" w:hAnsi="宋体" w:cs="宋体"/>
          <w:sz w:val="24"/>
          <w:lang w:eastAsia="zh-TW"/>
        </w:rPr>
        <w:t>投标人投标时，采购的主要标的应</w:t>
      </w:r>
      <w:r>
        <w:rPr>
          <w:rFonts w:hint="eastAsia" w:ascii="宋体" w:hAnsi="宋体" w:cs="宋体"/>
          <w:sz w:val="24"/>
        </w:rPr>
        <w:t>在《开标一览表》或</w:t>
      </w:r>
      <w:r>
        <w:rPr>
          <w:rFonts w:hint="eastAsia" w:ascii="宋体" w:hAnsi="宋体" w:cs="宋体"/>
          <w:sz w:val="24"/>
          <w:lang w:eastAsia="zh-TW"/>
        </w:rPr>
        <w:t>《投标分项报价表》清晰列明“产品名称、规格型号、单价、数量”。</w:t>
      </w:r>
    </w:p>
    <w:p>
      <w:pPr>
        <w:numPr>
          <w:ilvl w:val="0"/>
          <w:numId w:val="3"/>
        </w:numPr>
        <w:snapToGrid w:val="0"/>
        <w:spacing w:line="360" w:lineRule="auto"/>
        <w:ind w:left="590"/>
        <w:rPr>
          <w:rFonts w:ascii="宋体" w:hAnsi="宋体" w:cs="宋体"/>
          <w:sz w:val="24"/>
          <w:lang w:eastAsia="zh-TW"/>
        </w:rPr>
      </w:pPr>
      <w:r>
        <w:rPr>
          <w:rFonts w:hint="eastAsia" w:ascii="宋体" w:hAnsi="宋体" w:cs="宋体"/>
          <w:sz w:val="24"/>
          <w:lang w:eastAsia="zh-TW"/>
        </w:rPr>
        <w:t>投标人投标时，</w:t>
      </w:r>
      <w:r>
        <w:rPr>
          <w:rFonts w:hint="eastAsia" w:ascii="宋体" w:hAnsi="宋体" w:cs="宋体"/>
          <w:sz w:val="24"/>
        </w:rPr>
        <w:t>采购的核心产品</w:t>
      </w:r>
      <w:r>
        <w:rPr>
          <w:rFonts w:hint="eastAsia" w:ascii="宋体" w:hAnsi="宋体" w:cs="宋体"/>
          <w:sz w:val="24"/>
          <w:lang w:eastAsia="zh-TW"/>
        </w:rPr>
        <w:t>应在</w:t>
      </w:r>
      <w:r>
        <w:rPr>
          <w:rFonts w:hint="eastAsia" w:ascii="宋体" w:hAnsi="宋体" w:cs="宋体"/>
          <w:sz w:val="24"/>
        </w:rPr>
        <w:t>《开标一览表》或</w:t>
      </w:r>
      <w:r>
        <w:rPr>
          <w:rFonts w:hint="eastAsia" w:ascii="宋体" w:hAnsi="宋体" w:cs="宋体"/>
          <w:sz w:val="24"/>
          <w:lang w:eastAsia="zh-TW"/>
        </w:rPr>
        <w:t>《投标分项报价表》中清晰列明“产品名称、品牌”。</w:t>
      </w:r>
      <w:bookmarkEnd w:id="4"/>
    </w:p>
    <w:p>
      <w:pPr>
        <w:numPr>
          <w:ilvl w:val="0"/>
          <w:numId w:val="1"/>
        </w:numPr>
        <w:tabs>
          <w:tab w:val="left" w:pos="540"/>
        </w:tabs>
        <w:adjustRightInd w:val="0"/>
        <w:snapToGrid w:val="0"/>
        <w:spacing w:line="360" w:lineRule="auto"/>
        <w:rPr>
          <w:rFonts w:ascii="宋体" w:hAnsi="宋体" w:cs="Courier New"/>
          <w:b/>
          <w:sz w:val="24"/>
        </w:rPr>
      </w:pPr>
      <w:bookmarkStart w:id="5" w:name="_Hlk17136717"/>
      <w:r>
        <w:rPr>
          <w:rFonts w:hint="eastAsia" w:ascii="宋体" w:hAnsi="宋体" w:cs="Courier New"/>
          <w:b/>
          <w:sz w:val="24"/>
        </w:rPr>
        <w:t>抽样和检测要求</w:t>
      </w:r>
    </w:p>
    <w:p>
      <w:pPr>
        <w:snapToGrid w:val="0"/>
        <w:spacing w:line="360" w:lineRule="auto"/>
        <w:ind w:left="170" w:firstLine="480" w:firstLineChars="200"/>
        <w:rPr>
          <w:rFonts w:ascii="宋体" w:hAnsi="宋体" w:cs="宋体"/>
          <w:sz w:val="24"/>
          <w:lang w:eastAsia="zh-TW"/>
        </w:rPr>
      </w:pPr>
      <w:r>
        <w:rPr>
          <w:rFonts w:hint="eastAsia" w:ascii="宋体" w:hAnsi="宋体" w:cs="宋体"/>
          <w:sz w:val="24"/>
          <w:lang w:eastAsia="zh-TW"/>
        </w:rPr>
        <w:t>鉴于本项目对质量、安全、环保等方面的要求高，投标人必须对所使用的家具原材料和生产的家具半成品及成品加以严格检测和控制。本项目所使用的原材料及最终成品质量必须符合</w:t>
      </w:r>
      <w:r>
        <w:rPr>
          <w:rFonts w:hint="eastAsia" w:ascii="宋体" w:hAnsi="宋体" w:cs="宋体"/>
          <w:sz w:val="24"/>
        </w:rPr>
        <w:t>以</w:t>
      </w:r>
      <w:r>
        <w:rPr>
          <w:rFonts w:hint="eastAsia" w:ascii="宋体" w:hAnsi="宋体" w:cs="宋体"/>
          <w:sz w:val="24"/>
          <w:lang w:eastAsia="zh-TW"/>
        </w:rPr>
        <w:t>下要求。</w:t>
      </w:r>
    </w:p>
    <w:p>
      <w:pPr>
        <w:numPr>
          <w:ilvl w:val="0"/>
          <w:numId w:val="4"/>
        </w:numPr>
        <w:snapToGrid w:val="0"/>
        <w:spacing w:line="360" w:lineRule="auto"/>
        <w:ind w:left="590"/>
        <w:rPr>
          <w:rFonts w:ascii="宋体" w:hAnsi="宋体" w:cs="宋体"/>
          <w:sz w:val="24"/>
          <w:lang w:eastAsia="zh-TW"/>
        </w:rPr>
      </w:pPr>
      <w:r>
        <w:rPr>
          <w:rFonts w:hint="eastAsia" w:ascii="宋体" w:hAnsi="宋体" w:cs="宋体"/>
          <w:sz w:val="24"/>
          <w:lang w:eastAsia="zh-TW"/>
        </w:rPr>
        <w:t>木家具通用技术条件（GB/T 3324-2017）</w:t>
      </w:r>
    </w:p>
    <w:p>
      <w:pPr>
        <w:numPr>
          <w:ilvl w:val="0"/>
          <w:numId w:val="4"/>
        </w:numPr>
        <w:snapToGrid w:val="0"/>
        <w:spacing w:line="360" w:lineRule="auto"/>
        <w:ind w:left="590"/>
        <w:rPr>
          <w:rFonts w:ascii="宋体" w:hAnsi="宋体" w:cs="宋体"/>
          <w:sz w:val="24"/>
          <w:lang w:eastAsia="zh-TW"/>
        </w:rPr>
      </w:pPr>
      <w:r>
        <w:rPr>
          <w:rFonts w:hint="eastAsia" w:ascii="宋体" w:hAnsi="宋体" w:cs="宋体"/>
          <w:sz w:val="24"/>
          <w:lang w:eastAsia="zh-TW"/>
        </w:rPr>
        <w:t>金属家具通用技术条件（GB/T 3325-2017）</w:t>
      </w:r>
    </w:p>
    <w:p>
      <w:pPr>
        <w:numPr>
          <w:ilvl w:val="0"/>
          <w:numId w:val="4"/>
        </w:numPr>
        <w:snapToGrid w:val="0"/>
        <w:spacing w:line="360" w:lineRule="auto"/>
        <w:ind w:left="590"/>
        <w:rPr>
          <w:rFonts w:ascii="宋体" w:hAnsi="宋体" w:cs="宋体"/>
          <w:sz w:val="24"/>
          <w:lang w:eastAsia="zh-TW"/>
        </w:rPr>
      </w:pPr>
      <w:r>
        <w:rPr>
          <w:rFonts w:hint="eastAsia" w:ascii="宋体" w:hAnsi="宋体" w:cs="宋体"/>
          <w:sz w:val="24"/>
          <w:lang w:eastAsia="zh-TW"/>
        </w:rPr>
        <w:t>竹制家具通用技术条件（GB/T 32444-2015）</w:t>
      </w:r>
    </w:p>
    <w:p>
      <w:pPr>
        <w:numPr>
          <w:ilvl w:val="0"/>
          <w:numId w:val="4"/>
        </w:numPr>
        <w:snapToGrid w:val="0"/>
        <w:spacing w:line="360" w:lineRule="auto"/>
        <w:ind w:left="590"/>
        <w:rPr>
          <w:rFonts w:ascii="宋体" w:hAnsi="宋体" w:cs="宋体"/>
          <w:sz w:val="24"/>
          <w:lang w:eastAsia="zh-TW"/>
        </w:rPr>
      </w:pPr>
      <w:r>
        <w:rPr>
          <w:rFonts w:hint="eastAsia" w:ascii="宋体" w:hAnsi="宋体" w:cs="宋体"/>
          <w:sz w:val="24"/>
          <w:lang w:eastAsia="zh-TW"/>
        </w:rPr>
        <w:t>玻璃家具通用技术条件（GB/T 32446-2015）</w:t>
      </w:r>
    </w:p>
    <w:p>
      <w:pPr>
        <w:numPr>
          <w:ilvl w:val="0"/>
          <w:numId w:val="4"/>
        </w:numPr>
        <w:snapToGrid w:val="0"/>
        <w:spacing w:line="360" w:lineRule="auto"/>
        <w:ind w:left="590"/>
        <w:rPr>
          <w:rFonts w:ascii="宋体" w:hAnsi="宋体" w:cs="宋体"/>
          <w:sz w:val="24"/>
          <w:lang w:eastAsia="zh-TW"/>
        </w:rPr>
      </w:pPr>
      <w:r>
        <w:rPr>
          <w:rFonts w:hint="eastAsia" w:ascii="宋体" w:hAnsi="宋体" w:cs="宋体"/>
          <w:sz w:val="24"/>
          <w:lang w:eastAsia="zh-TW"/>
        </w:rPr>
        <w:t>塑料家具通用技术条件（GB/T 32487-2016）</w:t>
      </w:r>
    </w:p>
    <w:p>
      <w:pPr>
        <w:numPr>
          <w:ilvl w:val="0"/>
          <w:numId w:val="4"/>
        </w:numPr>
        <w:snapToGrid w:val="0"/>
        <w:spacing w:line="360" w:lineRule="auto"/>
        <w:ind w:left="590"/>
        <w:rPr>
          <w:rFonts w:ascii="宋体" w:hAnsi="宋体" w:cs="宋体"/>
          <w:sz w:val="24"/>
          <w:lang w:eastAsia="zh-TW"/>
        </w:rPr>
      </w:pPr>
      <w:r>
        <w:rPr>
          <w:rFonts w:hint="eastAsia" w:ascii="宋体" w:hAnsi="宋体" w:cs="宋体"/>
          <w:sz w:val="24"/>
          <w:lang w:eastAsia="zh-TW"/>
        </w:rPr>
        <w:t>环境标志产品技术要求 家具（HJ 2547-2016）</w:t>
      </w:r>
    </w:p>
    <w:p>
      <w:pPr>
        <w:numPr>
          <w:ilvl w:val="0"/>
          <w:numId w:val="4"/>
        </w:numPr>
        <w:snapToGrid w:val="0"/>
        <w:spacing w:line="360" w:lineRule="auto"/>
        <w:ind w:left="590"/>
        <w:rPr>
          <w:rFonts w:ascii="宋体" w:hAnsi="宋体" w:cs="宋体"/>
          <w:sz w:val="24"/>
          <w:lang w:eastAsia="zh-TW"/>
        </w:rPr>
      </w:pPr>
      <w:r>
        <w:rPr>
          <w:rFonts w:hint="eastAsia" w:ascii="宋体" w:hAnsi="宋体" w:cs="宋体"/>
          <w:sz w:val="24"/>
          <w:lang w:eastAsia="zh-TW"/>
        </w:rPr>
        <w:t>深圳市行政事业单位国有资产管理办法（深府办[2010]109号）</w:t>
      </w:r>
    </w:p>
    <w:p>
      <w:pPr>
        <w:numPr>
          <w:ilvl w:val="0"/>
          <w:numId w:val="4"/>
        </w:numPr>
        <w:snapToGrid w:val="0"/>
        <w:spacing w:line="360" w:lineRule="auto"/>
        <w:ind w:left="590"/>
        <w:rPr>
          <w:rFonts w:ascii="宋体" w:hAnsi="宋体" w:cs="宋体"/>
          <w:sz w:val="24"/>
          <w:lang w:eastAsia="zh-TW"/>
        </w:rPr>
      </w:pPr>
      <w:r>
        <w:rPr>
          <w:rFonts w:hint="eastAsia" w:ascii="宋体" w:hAnsi="宋体" w:cs="宋体"/>
          <w:sz w:val="24"/>
          <w:lang w:eastAsia="zh-TW"/>
        </w:rPr>
        <w:t>深圳市本级行政事业单位国有资产处置办法（深财资[2017]17号）</w:t>
      </w:r>
    </w:p>
    <w:p>
      <w:pPr>
        <w:numPr>
          <w:ilvl w:val="0"/>
          <w:numId w:val="4"/>
        </w:numPr>
        <w:snapToGrid w:val="0"/>
        <w:spacing w:line="360" w:lineRule="auto"/>
        <w:ind w:left="590"/>
        <w:rPr>
          <w:rFonts w:ascii="宋体" w:hAnsi="宋体" w:cs="宋体"/>
          <w:sz w:val="24"/>
          <w:lang w:eastAsia="zh-TW"/>
        </w:rPr>
      </w:pPr>
      <w:r>
        <w:rPr>
          <w:rFonts w:hint="eastAsia" w:ascii="宋体" w:hAnsi="宋体" w:cs="宋体"/>
          <w:sz w:val="24"/>
          <w:lang w:eastAsia="zh-TW"/>
        </w:rPr>
        <w:t>深圳市本级行政事业单位国有资产报废处理操作规程（深财资规[2014]15号）</w:t>
      </w:r>
    </w:p>
    <w:p>
      <w:pPr>
        <w:spacing w:line="360" w:lineRule="auto"/>
        <w:rPr>
          <w:rFonts w:ascii="宋体" w:hAnsi="宋体" w:cs="宋体"/>
          <w:b/>
          <w:sz w:val="24"/>
        </w:rPr>
      </w:pPr>
      <w:r>
        <w:rPr>
          <w:rFonts w:hint="eastAsia" w:ascii="宋体" w:hAnsi="宋体" w:cs="宋体"/>
          <w:b/>
          <w:sz w:val="24"/>
        </w:rPr>
        <w:t>特别提示：</w:t>
      </w:r>
    </w:p>
    <w:p>
      <w:pPr>
        <w:spacing w:line="360" w:lineRule="auto"/>
        <w:ind w:firstLine="480" w:firstLineChars="200"/>
        <w:rPr>
          <w:rFonts w:ascii="宋体" w:hAnsi="宋体" w:cs="宋体"/>
          <w:sz w:val="24"/>
        </w:rPr>
      </w:pPr>
      <w:r>
        <w:rPr>
          <w:rFonts w:hint="eastAsia" w:ascii="宋体" w:hAnsi="宋体" w:cs="宋体"/>
          <w:sz w:val="24"/>
        </w:rPr>
        <w:t>1、由采购人确认抽样的货物，按</w:t>
      </w:r>
      <w:r>
        <w:rPr>
          <w:rFonts w:hint="eastAsia" w:ascii="宋体" w:hAnsi="宋体" w:cs="宋体"/>
          <w:sz w:val="24"/>
          <w:lang w:val="en-US" w:eastAsia="zh-CN"/>
        </w:rPr>
        <w:t>以上要求清单进行</w:t>
      </w:r>
      <w:r>
        <w:rPr>
          <w:rFonts w:hint="eastAsia" w:ascii="宋体" w:hAnsi="宋体" w:cs="宋体"/>
          <w:sz w:val="24"/>
        </w:rPr>
        <w:t>抽样</w:t>
      </w:r>
      <w:r>
        <w:rPr>
          <w:rFonts w:hint="eastAsia" w:ascii="宋体" w:hAnsi="宋体" w:cs="宋体"/>
          <w:sz w:val="24"/>
          <w:lang w:val="en-US" w:eastAsia="zh-CN"/>
        </w:rPr>
        <w:t>检测</w:t>
      </w:r>
      <w:r>
        <w:rPr>
          <w:rFonts w:hint="eastAsia" w:ascii="宋体" w:hAnsi="宋体" w:cs="宋体"/>
          <w:sz w:val="24"/>
        </w:rPr>
        <w:t>，</w:t>
      </w:r>
      <w:r>
        <w:rPr>
          <w:rFonts w:hint="eastAsia" w:ascii="宋体" w:hAnsi="宋体" w:cs="宋体"/>
          <w:sz w:val="24"/>
          <w:lang w:val="en-US" w:eastAsia="zh-CN"/>
        </w:rPr>
        <w:t>由此</w:t>
      </w:r>
      <w:r>
        <w:rPr>
          <w:rFonts w:hint="eastAsia" w:ascii="宋体" w:hAnsi="宋体" w:cs="宋体"/>
          <w:sz w:val="24"/>
        </w:rPr>
        <w:t>判定该项货物整批次是否合格。</w:t>
      </w:r>
    </w:p>
    <w:p>
      <w:pPr>
        <w:spacing w:line="360" w:lineRule="auto"/>
        <w:ind w:firstLine="480" w:firstLineChars="200"/>
        <w:rPr>
          <w:rFonts w:ascii="宋体" w:hAnsi="宋体" w:cs="宋体"/>
          <w:sz w:val="24"/>
        </w:rPr>
      </w:pPr>
      <w:r>
        <w:rPr>
          <w:rFonts w:hint="eastAsia" w:ascii="宋体" w:hAnsi="宋体" w:cs="宋体"/>
          <w:sz w:val="24"/>
        </w:rPr>
        <w:t>2、抽样为随机抽取，抽检的样品种类或数量可能会根据实际情况加以调整。如</w:t>
      </w:r>
      <w:r>
        <w:rPr>
          <w:rFonts w:hint="eastAsia" w:ascii="宋体" w:hAnsi="宋体" w:cs="宋体"/>
          <w:sz w:val="24"/>
          <w:lang w:val="en-US" w:eastAsia="zh-CN"/>
        </w:rPr>
        <w:t>检测</w:t>
      </w:r>
      <w:r>
        <w:rPr>
          <w:rFonts w:hint="eastAsia" w:ascii="宋体" w:hAnsi="宋体" w:cs="宋体"/>
          <w:sz w:val="24"/>
        </w:rPr>
        <w:t>过程中，检测的产品标准如超出以上范围，或国家标准已更新，则按照国家现行有效的标准执行。如原材料、半成品、成品的检测结果不合格，中标人应对同款产品或使用同类零部件的产品无条件退换货，直至提供合格的产品为止，否则视为违约。</w:t>
      </w:r>
    </w:p>
    <w:p>
      <w:pPr>
        <w:spacing w:line="360" w:lineRule="auto"/>
        <w:ind w:firstLine="480" w:firstLineChars="200"/>
        <w:rPr>
          <w:rFonts w:ascii="宋体" w:hAnsi="宋体" w:cs="宋体"/>
          <w:sz w:val="24"/>
        </w:rPr>
      </w:pPr>
      <w:r>
        <w:rPr>
          <w:rFonts w:hint="eastAsia" w:ascii="宋体" w:hAnsi="宋体" w:cs="宋体"/>
          <w:sz w:val="24"/>
        </w:rPr>
        <w:t>3、本项目进行抽样检测工作，中标人应无条件配合</w:t>
      </w:r>
      <w:r>
        <w:rPr>
          <w:rFonts w:hint="eastAsia" w:ascii="宋体" w:hAnsi="宋体" w:cs="宋体"/>
          <w:sz w:val="24"/>
          <w:lang w:val="en-US" w:eastAsia="zh-CN"/>
        </w:rPr>
        <w:t>检测</w:t>
      </w:r>
      <w:r>
        <w:rPr>
          <w:rFonts w:hint="eastAsia" w:ascii="宋体" w:hAnsi="宋体" w:cs="宋体"/>
          <w:sz w:val="24"/>
        </w:rPr>
        <w:t>单位的工作。本项目所有原材料及家具成品须符合现行有效的国家标准或相关标准，</w:t>
      </w:r>
      <w:r>
        <w:rPr>
          <w:rFonts w:hint="eastAsia" w:ascii="宋体" w:hAnsi="宋体" w:cs="宋体"/>
          <w:sz w:val="24"/>
          <w:lang w:val="en-US" w:eastAsia="zh-CN"/>
        </w:rPr>
        <w:t>检测</w:t>
      </w:r>
      <w:r>
        <w:rPr>
          <w:rFonts w:hint="eastAsia" w:ascii="宋体" w:hAnsi="宋体" w:cs="宋体"/>
          <w:sz w:val="24"/>
        </w:rPr>
        <w:t>方有权根据实际交货的产品确定检测标准。</w:t>
      </w:r>
    </w:p>
    <w:p>
      <w:pPr>
        <w:spacing w:line="360" w:lineRule="auto"/>
        <w:ind w:firstLine="480" w:firstLineChars="200"/>
        <w:rPr>
          <w:rFonts w:ascii="宋体" w:hAnsi="宋体" w:cs="宋体"/>
          <w:sz w:val="24"/>
        </w:rPr>
      </w:pPr>
      <w:r>
        <w:rPr>
          <w:rFonts w:hint="eastAsia" w:ascii="宋体" w:hAnsi="宋体" w:cs="宋体"/>
          <w:sz w:val="24"/>
        </w:rPr>
        <w:t>3.1、抽样的要求</w:t>
      </w:r>
    </w:p>
    <w:p>
      <w:pPr>
        <w:spacing w:line="360" w:lineRule="auto"/>
        <w:ind w:firstLine="480" w:firstLineChars="200"/>
        <w:rPr>
          <w:rFonts w:ascii="宋体" w:hAnsi="宋体" w:cs="宋体"/>
          <w:sz w:val="24"/>
        </w:rPr>
      </w:pPr>
      <w:r>
        <w:rPr>
          <w:rFonts w:hint="eastAsia" w:ascii="宋体" w:hAnsi="宋体" w:cs="宋体"/>
          <w:sz w:val="24"/>
        </w:rPr>
        <w:t>为保证抽样工作的公平、公正，保证检测结果的准确性，保障被抽检方的权利。每件原材料、成品的样品抽取一定数量，一部分用于检测，一部分用于留样。抽样为随机抽取，抽检的样品种类或数量可能会根据实际情况加以调整。如检测的样品检测合格，中标人方可处置留样样品。如</w:t>
      </w:r>
      <w:r>
        <w:rPr>
          <w:rFonts w:hint="eastAsia" w:ascii="宋体" w:hAnsi="宋体" w:cs="宋体"/>
          <w:sz w:val="24"/>
          <w:lang w:val="en-US" w:eastAsia="zh-CN"/>
        </w:rPr>
        <w:t>检测</w:t>
      </w:r>
      <w:r>
        <w:rPr>
          <w:rFonts w:hint="eastAsia" w:ascii="宋体" w:hAnsi="宋体" w:cs="宋体"/>
          <w:sz w:val="24"/>
        </w:rPr>
        <w:t>过程中，检测的产品标准如超出以上范围，或国家标准已更新，则按照国家现行有效的标准执行。所有抽检样品由中标人负责保管及运送至质量监理指定的检测地点，成品由中标人派专业技术人员至该测试地点负责安装调试。</w:t>
      </w:r>
    </w:p>
    <w:p>
      <w:pPr>
        <w:spacing w:line="360" w:lineRule="auto"/>
        <w:ind w:firstLine="480" w:firstLineChars="200"/>
        <w:rPr>
          <w:rFonts w:hint="eastAsia" w:ascii="宋体" w:hAnsi="宋体" w:cs="宋体"/>
          <w:sz w:val="24"/>
        </w:rPr>
      </w:pPr>
      <w:r>
        <w:rPr>
          <w:rFonts w:hint="eastAsia" w:ascii="宋体" w:hAnsi="宋体" w:cs="宋体"/>
          <w:sz w:val="24"/>
        </w:rPr>
        <w:t>成品抽样的地点选在项目安装地。</w:t>
      </w:r>
    </w:p>
    <w:p>
      <w:pPr>
        <w:spacing w:line="360" w:lineRule="auto"/>
        <w:ind w:firstLine="480" w:firstLineChars="200"/>
        <w:rPr>
          <w:rFonts w:ascii="宋体" w:hAnsi="宋体" w:cs="宋体"/>
          <w:sz w:val="24"/>
        </w:rPr>
      </w:pPr>
      <w:r>
        <w:rPr>
          <w:rFonts w:hint="eastAsia" w:ascii="宋体" w:hAnsi="宋体" w:cs="宋体"/>
          <w:sz w:val="24"/>
        </w:rPr>
        <w:t>3.2、检测的要求</w:t>
      </w:r>
    </w:p>
    <w:p>
      <w:pPr>
        <w:spacing w:line="360" w:lineRule="auto"/>
        <w:ind w:firstLine="480" w:firstLineChars="200"/>
        <w:rPr>
          <w:rFonts w:ascii="宋体" w:hAnsi="宋体" w:cs="宋体"/>
          <w:sz w:val="24"/>
        </w:rPr>
      </w:pPr>
      <w:r>
        <w:rPr>
          <w:rFonts w:hint="eastAsia" w:ascii="宋体" w:hAnsi="宋体" w:cs="宋体"/>
          <w:sz w:val="24"/>
        </w:rPr>
        <w:t>3.2.1如检测不合格，</w:t>
      </w:r>
      <w:r>
        <w:rPr>
          <w:rFonts w:hint="eastAsia" w:ascii="宋体" w:hAnsi="宋体" w:cs="宋体"/>
          <w:sz w:val="24"/>
          <w:lang w:val="en-US" w:eastAsia="zh-CN"/>
        </w:rPr>
        <w:t>第三方检测机构</w:t>
      </w:r>
      <w:r>
        <w:rPr>
          <w:rFonts w:hint="eastAsia" w:ascii="宋体" w:hAnsi="宋体" w:cs="宋体"/>
          <w:sz w:val="24"/>
        </w:rPr>
        <w:t>向中标人开具《整改通知书》，中标人须在要求的时限内整改完毕，重新抽样检测。如原材料、成品全部或部分检测项目不合格，中标人应停止相应的生产，按要求进行整改。整改并通过采购人检测合格后，方可恢复该部分货物的生产。</w:t>
      </w:r>
    </w:p>
    <w:p>
      <w:pPr>
        <w:spacing w:line="360" w:lineRule="auto"/>
        <w:ind w:firstLine="480" w:firstLineChars="200"/>
        <w:rPr>
          <w:rFonts w:ascii="宋体" w:hAnsi="宋体" w:cs="宋体"/>
          <w:sz w:val="24"/>
        </w:rPr>
      </w:pPr>
      <w:r>
        <w:rPr>
          <w:rFonts w:hint="eastAsia" w:ascii="宋体" w:hAnsi="宋体" w:cs="宋体"/>
          <w:sz w:val="24"/>
        </w:rPr>
        <w:t>3.2.2检测时样品破坏的费用</w:t>
      </w:r>
    </w:p>
    <w:p>
      <w:pPr>
        <w:spacing w:line="360" w:lineRule="auto"/>
        <w:ind w:firstLine="480" w:firstLineChars="200"/>
        <w:rPr>
          <w:rFonts w:hint="eastAsia" w:ascii="宋体" w:hAnsi="宋体" w:cs="宋体"/>
          <w:sz w:val="24"/>
          <w:lang w:val="en-US" w:eastAsia="zh-CN"/>
        </w:rPr>
      </w:pPr>
      <w:r>
        <w:rPr>
          <w:rFonts w:hint="eastAsia" w:ascii="宋体" w:hAnsi="宋体" w:cs="宋体"/>
          <w:sz w:val="24"/>
        </w:rPr>
        <w:t>检测样品由中标人提供，采购人不增加费用。因检测而导致的样品的破坏由中标人自行承担，破坏后的样品由中标人免费增补并安装至采购人指定地点。</w:t>
      </w:r>
      <w:r>
        <w:rPr>
          <w:rFonts w:hint="eastAsia" w:ascii="宋体" w:hAnsi="宋体" w:cs="宋体"/>
          <w:sz w:val="24"/>
          <w:lang w:val="en-US" w:eastAsia="zh-CN"/>
        </w:rPr>
        <w:t xml:space="preserve"> </w:t>
      </w:r>
    </w:p>
    <w:p>
      <w:pPr>
        <w:spacing w:line="360" w:lineRule="auto"/>
        <w:ind w:firstLine="480" w:firstLineChars="200"/>
        <w:rPr>
          <w:rFonts w:ascii="宋体" w:hAnsi="宋体" w:cs="宋体"/>
          <w:sz w:val="24"/>
        </w:rPr>
      </w:pPr>
      <w:r>
        <w:rPr>
          <w:rFonts w:hint="eastAsia" w:ascii="宋体" w:hAnsi="宋体" w:cs="宋体"/>
          <w:sz w:val="24"/>
        </w:rPr>
        <w:t>3.2.3检测样品的退样要求</w:t>
      </w:r>
    </w:p>
    <w:p>
      <w:pPr>
        <w:spacing w:line="360" w:lineRule="auto"/>
        <w:ind w:firstLine="480" w:firstLineChars="200"/>
        <w:rPr>
          <w:rFonts w:ascii="宋体" w:hAnsi="宋体" w:cs="宋体"/>
          <w:sz w:val="24"/>
        </w:rPr>
      </w:pPr>
      <w:r>
        <w:rPr>
          <w:rFonts w:hint="eastAsia" w:ascii="宋体" w:hAnsi="宋体" w:cs="宋体"/>
          <w:sz w:val="24"/>
        </w:rPr>
        <w:t>已出具检测报告的样品中标方应在1</w:t>
      </w:r>
      <w:r>
        <w:rPr>
          <w:rFonts w:ascii="宋体" w:hAnsi="宋体" w:cs="宋体"/>
          <w:sz w:val="24"/>
        </w:rPr>
        <w:t>0</w:t>
      </w:r>
      <w:r>
        <w:rPr>
          <w:rFonts w:hint="eastAsia" w:ascii="宋体" w:hAnsi="宋体" w:cs="宋体"/>
          <w:sz w:val="24"/>
        </w:rPr>
        <w:t>天取走，逾期将由检测</w:t>
      </w:r>
      <w:r>
        <w:rPr>
          <w:rFonts w:hint="eastAsia" w:ascii="宋体" w:hAnsi="宋体" w:cs="宋体"/>
          <w:sz w:val="24"/>
          <w:lang w:val="en-US" w:eastAsia="zh-CN"/>
        </w:rPr>
        <w:t>机构</w:t>
      </w:r>
      <w:r>
        <w:rPr>
          <w:rFonts w:hint="eastAsia" w:ascii="宋体" w:hAnsi="宋体" w:cs="宋体"/>
          <w:sz w:val="24"/>
        </w:rPr>
        <w:t>自行处理。</w:t>
      </w:r>
    </w:p>
    <w:p>
      <w:pPr>
        <w:spacing w:line="360" w:lineRule="auto"/>
        <w:ind w:firstLine="480" w:firstLineChars="200"/>
        <w:rPr>
          <w:rFonts w:ascii="宋体" w:hAnsi="宋体" w:cs="宋体"/>
          <w:sz w:val="24"/>
        </w:rPr>
      </w:pPr>
      <w:r>
        <w:rPr>
          <w:rFonts w:hint="eastAsia" w:ascii="宋体" w:hAnsi="宋体" w:cs="宋体"/>
          <w:sz w:val="24"/>
        </w:rPr>
        <w:t>3.3常规抽样费及差旅费</w:t>
      </w:r>
    </w:p>
    <w:p>
      <w:pPr>
        <w:spacing w:line="360" w:lineRule="auto"/>
        <w:ind w:firstLine="480" w:firstLineChars="200"/>
        <w:rPr>
          <w:rFonts w:ascii="宋体" w:hAnsi="宋体" w:cs="宋体"/>
          <w:sz w:val="24"/>
        </w:rPr>
      </w:pPr>
      <w:r>
        <w:rPr>
          <w:rFonts w:hint="eastAsia" w:ascii="宋体" w:hAnsi="宋体" w:cs="宋体"/>
          <w:sz w:val="24"/>
          <w:lang w:val="en-US" w:eastAsia="zh-CN"/>
        </w:rPr>
        <w:t>委托第三方检测机构</w:t>
      </w:r>
      <w:r>
        <w:rPr>
          <w:rFonts w:hint="eastAsia" w:ascii="宋体" w:hAnsi="宋体" w:cs="宋体"/>
          <w:sz w:val="24"/>
        </w:rPr>
        <w:t>抽样检测</w:t>
      </w:r>
      <w:r>
        <w:rPr>
          <w:rFonts w:hint="eastAsia" w:ascii="宋体" w:hAnsi="宋体" w:cs="宋体"/>
          <w:sz w:val="24"/>
          <w:lang w:val="en-US" w:eastAsia="zh-CN"/>
        </w:rPr>
        <w:t>的所有</w:t>
      </w:r>
      <w:r>
        <w:rPr>
          <w:rFonts w:hint="eastAsia" w:ascii="宋体" w:hAnsi="宋体" w:cs="宋体"/>
          <w:sz w:val="24"/>
        </w:rPr>
        <w:t>费</w:t>
      </w:r>
      <w:r>
        <w:rPr>
          <w:rFonts w:hint="eastAsia" w:ascii="宋体" w:hAnsi="宋体" w:cs="宋体"/>
          <w:sz w:val="24"/>
          <w:lang w:val="en-US" w:eastAsia="zh-CN"/>
        </w:rPr>
        <w:t>用</w:t>
      </w:r>
      <w:r>
        <w:rPr>
          <w:rFonts w:hint="eastAsia" w:ascii="宋体" w:hAnsi="宋体" w:cs="宋体"/>
          <w:sz w:val="24"/>
        </w:rPr>
        <w:t>由中标人承担。</w:t>
      </w:r>
    </w:p>
    <w:bookmarkEnd w:id="5"/>
    <w:p>
      <w:pPr>
        <w:numPr>
          <w:ilvl w:val="0"/>
          <w:numId w:val="1"/>
        </w:numPr>
        <w:tabs>
          <w:tab w:val="left" w:pos="540"/>
        </w:tabs>
        <w:adjustRightInd w:val="0"/>
        <w:snapToGrid w:val="0"/>
        <w:spacing w:line="360" w:lineRule="auto"/>
        <w:rPr>
          <w:rFonts w:ascii="宋体" w:hAnsi="宋体" w:cs="Courier New"/>
          <w:b/>
          <w:sz w:val="24"/>
        </w:rPr>
      </w:pPr>
      <w:r>
        <w:rPr>
          <w:rFonts w:hint="eastAsia" w:ascii="宋体" w:hAnsi="宋体" w:cs="Courier New"/>
          <w:b/>
          <w:sz w:val="24"/>
        </w:rPr>
        <w:t>课桌和课椅参数要求</w:t>
      </w:r>
    </w:p>
    <w:p>
      <w:pPr>
        <w:pStyle w:val="6"/>
        <w:numPr>
          <w:ilvl w:val="0"/>
          <w:numId w:val="5"/>
        </w:numPr>
        <w:ind w:firstLineChars="0"/>
      </w:pPr>
      <w:r>
        <w:rPr>
          <w:rFonts w:hint="eastAsia"/>
        </w:rPr>
        <w:t>采购清单</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vAlign w:val="center"/>
          </w:tcPr>
          <w:p>
            <w:pPr>
              <w:spacing w:line="400" w:lineRule="exact"/>
              <w:jc w:val="center"/>
              <w:rPr>
                <w:b/>
                <w:bCs/>
              </w:rPr>
            </w:pPr>
            <w:r>
              <w:rPr>
                <w:rFonts w:hint="eastAsia"/>
                <w:b/>
                <w:bCs/>
              </w:rPr>
              <w:t>采购内容</w:t>
            </w:r>
          </w:p>
        </w:tc>
        <w:tc>
          <w:tcPr>
            <w:tcW w:w="1420" w:type="dxa"/>
            <w:vAlign w:val="center"/>
          </w:tcPr>
          <w:p>
            <w:pPr>
              <w:spacing w:line="400" w:lineRule="exact"/>
              <w:jc w:val="center"/>
              <w:rPr>
                <w:b/>
                <w:bCs/>
              </w:rPr>
            </w:pPr>
            <w:r>
              <w:rPr>
                <w:rFonts w:hint="eastAsia"/>
                <w:b/>
                <w:bCs/>
              </w:rPr>
              <w:t>数量</w:t>
            </w:r>
          </w:p>
        </w:tc>
        <w:tc>
          <w:tcPr>
            <w:tcW w:w="1420" w:type="dxa"/>
            <w:vAlign w:val="center"/>
          </w:tcPr>
          <w:p>
            <w:pPr>
              <w:spacing w:line="400" w:lineRule="exact"/>
              <w:jc w:val="center"/>
              <w:rPr>
                <w:b/>
                <w:bCs/>
              </w:rPr>
            </w:pPr>
            <w:r>
              <w:rPr>
                <w:rFonts w:hint="eastAsia"/>
                <w:b/>
                <w:bCs/>
              </w:rPr>
              <w:t>最高限价（人民币：元）</w:t>
            </w:r>
          </w:p>
        </w:tc>
        <w:tc>
          <w:tcPr>
            <w:tcW w:w="1420" w:type="dxa"/>
            <w:vAlign w:val="center"/>
          </w:tcPr>
          <w:p>
            <w:pPr>
              <w:spacing w:line="400" w:lineRule="exact"/>
              <w:jc w:val="center"/>
              <w:rPr>
                <w:b/>
                <w:bCs/>
              </w:rPr>
            </w:pPr>
            <w:r>
              <w:rPr>
                <w:rFonts w:hint="eastAsia"/>
                <w:b/>
                <w:bCs/>
              </w:rPr>
              <w:t>核心产品</w:t>
            </w:r>
          </w:p>
        </w:tc>
        <w:tc>
          <w:tcPr>
            <w:tcW w:w="1421" w:type="dxa"/>
            <w:vAlign w:val="center"/>
          </w:tcPr>
          <w:p>
            <w:pPr>
              <w:spacing w:line="400" w:lineRule="exact"/>
              <w:jc w:val="center"/>
              <w:rPr>
                <w:b/>
                <w:bCs/>
              </w:rPr>
            </w:pPr>
            <w:r>
              <w:rPr>
                <w:rFonts w:hint="eastAsia"/>
                <w:b/>
                <w:bCs/>
              </w:rPr>
              <w:t>主要标的</w:t>
            </w:r>
          </w:p>
        </w:tc>
        <w:tc>
          <w:tcPr>
            <w:tcW w:w="1421" w:type="dxa"/>
            <w:vAlign w:val="center"/>
          </w:tcPr>
          <w:p>
            <w:pPr>
              <w:spacing w:line="400" w:lineRule="exact"/>
              <w:jc w:val="center"/>
              <w:rPr>
                <w:b/>
                <w:bCs/>
              </w:rPr>
            </w:pPr>
            <w:r>
              <w:rPr>
                <w:rFonts w:hint="eastAsia"/>
                <w:b/>
                <w:bCs/>
              </w:rPr>
              <w:t>允许采购进口产品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vAlign w:val="center"/>
          </w:tcPr>
          <w:p>
            <w:pPr>
              <w:spacing w:line="400" w:lineRule="exact"/>
              <w:jc w:val="center"/>
            </w:pPr>
            <w:r>
              <w:rPr>
                <w:rFonts w:hint="eastAsia"/>
              </w:rPr>
              <w:t>202</w:t>
            </w:r>
            <w:r>
              <w:rPr>
                <w:rFonts w:hint="eastAsia"/>
                <w:lang w:val="en-US" w:eastAsia="zh-CN"/>
              </w:rPr>
              <w:t>3</w:t>
            </w:r>
            <w:r>
              <w:rPr>
                <w:rFonts w:hint="eastAsia"/>
              </w:rPr>
              <w:t>年</w:t>
            </w:r>
            <w:r>
              <w:rPr>
                <w:rFonts w:hint="eastAsia"/>
                <w:lang w:val="en-US" w:eastAsia="zh-CN"/>
              </w:rPr>
              <w:t>新开办</w:t>
            </w:r>
            <w:r>
              <w:rPr>
                <w:rFonts w:hint="eastAsia"/>
              </w:rPr>
              <w:t>学校课桌椅招标采购</w:t>
            </w:r>
          </w:p>
        </w:tc>
        <w:tc>
          <w:tcPr>
            <w:tcW w:w="1420" w:type="dxa"/>
            <w:vAlign w:val="center"/>
          </w:tcPr>
          <w:p>
            <w:pPr>
              <w:spacing w:line="400" w:lineRule="exact"/>
              <w:jc w:val="center"/>
            </w:pPr>
            <w:r>
              <w:rPr>
                <w:rFonts w:hint="eastAsia"/>
                <w:lang w:val="en-US" w:eastAsia="zh-CN"/>
              </w:rPr>
              <w:t>4</w:t>
            </w:r>
            <w:r>
              <w:t>00</w:t>
            </w:r>
            <w:r>
              <w:rPr>
                <w:rFonts w:hint="eastAsia"/>
              </w:rPr>
              <w:t>套（每套含课桌、课椅）</w:t>
            </w:r>
          </w:p>
        </w:tc>
        <w:tc>
          <w:tcPr>
            <w:tcW w:w="1420" w:type="dxa"/>
            <w:vAlign w:val="center"/>
          </w:tcPr>
          <w:p>
            <w:pPr>
              <w:spacing w:line="400" w:lineRule="exact"/>
              <w:jc w:val="center"/>
            </w:pPr>
            <w:r>
              <w:rPr>
                <w:rFonts w:hint="eastAsia"/>
              </w:rPr>
              <w:t>¥</w:t>
            </w:r>
            <w:r>
              <w:rPr>
                <w:rFonts w:hint="eastAsia"/>
                <w:lang w:val="en-US" w:eastAsia="zh-CN"/>
              </w:rPr>
              <w:t>2</w:t>
            </w:r>
            <w:r>
              <w:t>0</w:t>
            </w:r>
            <w:r>
              <w:rPr>
                <w:rFonts w:hint="eastAsia"/>
              </w:rPr>
              <w:t>0</w:t>
            </w:r>
            <w:r>
              <w:t>,</w:t>
            </w:r>
            <w:r>
              <w:rPr>
                <w:rFonts w:hint="eastAsia"/>
              </w:rPr>
              <w:t>000</w:t>
            </w:r>
            <w:r>
              <w:t>.00</w:t>
            </w:r>
          </w:p>
        </w:tc>
        <w:tc>
          <w:tcPr>
            <w:tcW w:w="1420" w:type="dxa"/>
            <w:vAlign w:val="center"/>
          </w:tcPr>
          <w:p>
            <w:pPr>
              <w:spacing w:line="400" w:lineRule="exact"/>
              <w:jc w:val="center"/>
            </w:pPr>
            <w:r>
              <w:rPr>
                <w:rFonts w:hint="eastAsia"/>
              </w:rPr>
              <w:t>手摇升降课桌、手摇升降课椅</w:t>
            </w:r>
          </w:p>
        </w:tc>
        <w:tc>
          <w:tcPr>
            <w:tcW w:w="1421" w:type="dxa"/>
            <w:vAlign w:val="center"/>
          </w:tcPr>
          <w:p>
            <w:pPr>
              <w:spacing w:line="400" w:lineRule="exact"/>
              <w:jc w:val="center"/>
            </w:pPr>
            <w:r>
              <w:rPr>
                <w:rFonts w:hint="eastAsia"/>
              </w:rPr>
              <w:t>手摇升降课桌、手摇升降课椅</w:t>
            </w:r>
          </w:p>
        </w:tc>
        <w:tc>
          <w:tcPr>
            <w:tcW w:w="1421" w:type="dxa"/>
            <w:vAlign w:val="center"/>
          </w:tcPr>
          <w:p>
            <w:pPr>
              <w:spacing w:line="400" w:lineRule="exact"/>
              <w:jc w:val="center"/>
            </w:pPr>
            <w:r>
              <w:rPr>
                <w:rFonts w:hint="eastAsia"/>
              </w:rPr>
              <w:t>不接受进口产品</w:t>
            </w:r>
          </w:p>
        </w:tc>
      </w:tr>
    </w:tbl>
    <w:p>
      <w:pPr>
        <w:pStyle w:val="6"/>
        <w:numPr>
          <w:ilvl w:val="0"/>
          <w:numId w:val="5"/>
        </w:numPr>
        <w:ind w:firstLineChars="0"/>
      </w:pPr>
      <w:r>
        <w:rPr>
          <w:rFonts w:hint="eastAsia"/>
        </w:rPr>
        <w:t>课桌和课椅参数要求</w:t>
      </w:r>
    </w:p>
    <w:p>
      <w:pPr>
        <w:pStyle w:val="6"/>
        <w:numPr>
          <w:ilvl w:val="1"/>
          <w:numId w:val="5"/>
        </w:numPr>
        <w:ind w:firstLineChars="0"/>
      </w:pPr>
      <w:r>
        <w:rPr>
          <w:rFonts w:hint="eastAsia"/>
        </w:rPr>
        <w:t>货物参考图样</w:t>
      </w:r>
    </w:p>
    <w:p>
      <w:pPr>
        <w:widowControl/>
        <w:jc w:val="left"/>
        <w:rPr>
          <w:rFonts w:ascii="Times New Roman" w:hAnsi="Times New Roman" w:cs="Times New Roman"/>
        </w:rPr>
      </w:pPr>
      <w:r>
        <w:drawing>
          <wp:inline distT="0" distB="0" distL="114300" distR="114300">
            <wp:extent cx="2482215" cy="2753360"/>
            <wp:effectExtent l="0" t="0" r="13335" b="889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2482215" cy="2753360"/>
                    </a:xfrm>
                    <a:prstGeom prst="rect">
                      <a:avLst/>
                    </a:prstGeom>
                    <a:noFill/>
                    <a:ln>
                      <a:noFill/>
                    </a:ln>
                  </pic:spPr>
                </pic:pic>
              </a:graphicData>
            </a:graphic>
          </wp:inline>
        </w:drawing>
      </w:r>
      <w:r>
        <w:drawing>
          <wp:inline distT="0" distB="0" distL="114300" distR="114300">
            <wp:extent cx="2562225" cy="3085465"/>
            <wp:effectExtent l="0" t="0" r="9525" b="63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2562225" cy="3085465"/>
                    </a:xfrm>
                    <a:prstGeom prst="rect">
                      <a:avLst/>
                    </a:prstGeom>
                    <a:noFill/>
                    <a:ln>
                      <a:noFill/>
                    </a:ln>
                  </pic:spPr>
                </pic:pic>
              </a:graphicData>
            </a:graphic>
          </wp:inline>
        </w:drawing>
      </w:r>
    </w:p>
    <w:p>
      <w:pPr>
        <w:pStyle w:val="6"/>
        <w:numPr>
          <w:ilvl w:val="1"/>
          <w:numId w:val="5"/>
        </w:numPr>
        <w:ind w:firstLineChars="0"/>
      </w:pPr>
      <w:r>
        <w:rPr>
          <w:rFonts w:hint="eastAsia"/>
        </w:rPr>
        <w:t>货物参数要求（接受投标人可偏离响应）</w:t>
      </w:r>
    </w:p>
    <w:tbl>
      <w:tblPr>
        <w:tblStyle w:val="3"/>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94"/>
        <w:gridCol w:w="7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09" w:type="dxa"/>
            <w:vAlign w:val="center"/>
          </w:tcPr>
          <w:p>
            <w:pPr>
              <w:spacing w:line="400" w:lineRule="exact"/>
              <w:jc w:val="center"/>
              <w:rPr>
                <w:rFonts w:ascii="Times New Roman" w:hAnsi="Times New Roman" w:cs="Times New Roman"/>
                <w:b/>
                <w:bCs/>
                <w:szCs w:val="21"/>
              </w:rPr>
            </w:pPr>
            <w:r>
              <w:rPr>
                <w:rFonts w:ascii="Times New Roman" w:hAnsi="Times New Roman" w:cs="Times New Roman"/>
                <w:b/>
                <w:bCs/>
                <w:szCs w:val="21"/>
              </w:rPr>
              <w:t>序号</w:t>
            </w:r>
          </w:p>
        </w:tc>
        <w:tc>
          <w:tcPr>
            <w:tcW w:w="1194" w:type="dxa"/>
            <w:vAlign w:val="center"/>
          </w:tcPr>
          <w:p>
            <w:pPr>
              <w:spacing w:line="400" w:lineRule="exact"/>
              <w:jc w:val="center"/>
              <w:rPr>
                <w:rFonts w:ascii="Times New Roman" w:hAnsi="Times New Roman" w:cs="Times New Roman"/>
                <w:b/>
                <w:bCs/>
                <w:szCs w:val="21"/>
              </w:rPr>
            </w:pPr>
            <w:r>
              <w:rPr>
                <w:rFonts w:ascii="Times New Roman" w:hAnsi="Times New Roman" w:cs="Times New Roman"/>
                <w:b/>
                <w:bCs/>
                <w:szCs w:val="21"/>
              </w:rPr>
              <w:t>货物名称</w:t>
            </w:r>
          </w:p>
        </w:tc>
        <w:tc>
          <w:tcPr>
            <w:tcW w:w="7319" w:type="dxa"/>
            <w:vAlign w:val="center"/>
          </w:tcPr>
          <w:p>
            <w:pPr>
              <w:spacing w:line="400" w:lineRule="exact"/>
              <w:jc w:val="center"/>
              <w:rPr>
                <w:rFonts w:ascii="Times New Roman" w:hAnsi="Times New Roman" w:cs="Times New Roman"/>
                <w:b/>
                <w:bCs/>
                <w:szCs w:val="21"/>
              </w:rPr>
            </w:pPr>
            <w:r>
              <w:rPr>
                <w:rFonts w:ascii="Times New Roman" w:hAnsi="Times New Roman" w:cs="Times New Roman"/>
                <w:b/>
                <w:bCs/>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09" w:type="dxa"/>
            <w:vMerge w:val="restart"/>
            <w:vAlign w:val="center"/>
          </w:tcPr>
          <w:p>
            <w:pPr>
              <w:pStyle w:val="6"/>
              <w:numPr>
                <w:ilvl w:val="2"/>
                <w:numId w:val="5"/>
              </w:numPr>
              <w:ind w:firstLineChars="0"/>
              <w:rPr>
                <w:rFonts w:ascii="Times New Roman" w:hAnsi="Times New Roman" w:cs="Times New Roman"/>
                <w:szCs w:val="21"/>
              </w:rPr>
            </w:pPr>
          </w:p>
        </w:tc>
        <w:tc>
          <w:tcPr>
            <w:tcW w:w="1194" w:type="dxa"/>
            <w:vMerge w:val="restart"/>
            <w:vAlign w:val="center"/>
          </w:tcPr>
          <w:p>
            <w:pPr>
              <w:spacing w:line="400" w:lineRule="exact"/>
              <w:rPr>
                <w:rFonts w:ascii="Times New Roman" w:hAnsi="Times New Roman" w:cs="Times New Roman"/>
                <w:szCs w:val="21"/>
              </w:rPr>
            </w:pPr>
            <w:r>
              <w:rPr>
                <w:rFonts w:ascii="Times New Roman" w:hAnsi="Times New Roman" w:cs="Times New Roman"/>
                <w:szCs w:val="21"/>
              </w:rPr>
              <w:t>手摇升降课桌</w:t>
            </w:r>
          </w:p>
        </w:tc>
        <w:tc>
          <w:tcPr>
            <w:tcW w:w="7319" w:type="dxa"/>
            <w:vAlign w:val="center"/>
          </w:tcPr>
          <w:p>
            <w:pPr>
              <w:pStyle w:val="6"/>
              <w:numPr>
                <w:ilvl w:val="3"/>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课桌桌面</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材质：采用橡胶木实木加工成型，表面喷耐磨漆。</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桌面尺寸（满足《学校课桌椅功能尺寸及技术要求》（GB/T3976-2014）要求）：具体尺寸中标后依据学校要求确认，尺寸：650mm±10mm×450mm±10mm×21mm±3mm。</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桌面技术至少满足以下要求：</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桌面靠胸前端处有一內弧造型。</w:t>
            </w:r>
            <w:r>
              <w:rPr>
                <w:rFonts w:hint="eastAsia" w:ascii="Times New Roman" w:hAnsi="Times New Roman" w:cs="Times New Roman"/>
                <w:szCs w:val="21"/>
              </w:rPr>
              <w:t>桌面边角倒圆，整体圆润。</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靠胸侧两边角有下沿边。</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参考图片（图片仅供参考）：</w:t>
            </w:r>
          </w:p>
          <w:p>
            <w:pPr>
              <w:rPr>
                <w:rFonts w:ascii="Times New Roman" w:hAnsi="Times New Roman" w:cs="Times New Roman"/>
                <w:szCs w:val="21"/>
              </w:rPr>
            </w:pPr>
            <w:r>
              <w:rPr>
                <w:rFonts w:ascii="Times New Roman" w:hAnsi="Times New Roman" w:cs="Times New Roman"/>
                <w:szCs w:val="21"/>
              </w:rPr>
              <w:drawing>
                <wp:inline distT="0" distB="0" distL="0" distR="0">
                  <wp:extent cx="2510155" cy="1302385"/>
                  <wp:effectExtent l="0" t="0" r="4445" b="12065"/>
                  <wp:docPr id="2" name="图片 2" descr="图示&#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示&#10;&#10;中度可信度描述已自动生成"/>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10155" cy="130238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09" w:type="dxa"/>
            <w:vMerge w:val="continue"/>
            <w:vAlign w:val="center"/>
          </w:tcPr>
          <w:p>
            <w:pPr>
              <w:rPr>
                <w:rFonts w:ascii="Times New Roman" w:hAnsi="Times New Roman" w:cs="Times New Roman"/>
                <w:szCs w:val="21"/>
              </w:rPr>
            </w:pPr>
          </w:p>
        </w:tc>
        <w:tc>
          <w:tcPr>
            <w:tcW w:w="1194" w:type="dxa"/>
            <w:vMerge w:val="continue"/>
            <w:vAlign w:val="center"/>
          </w:tcPr>
          <w:p>
            <w:pPr>
              <w:rPr>
                <w:rFonts w:ascii="Times New Roman" w:hAnsi="Times New Roman" w:cs="Times New Roman"/>
                <w:szCs w:val="21"/>
              </w:rPr>
            </w:pPr>
          </w:p>
        </w:tc>
        <w:tc>
          <w:tcPr>
            <w:tcW w:w="7319" w:type="dxa"/>
            <w:vAlign w:val="center"/>
          </w:tcPr>
          <w:p>
            <w:pPr>
              <w:pStyle w:val="6"/>
              <w:numPr>
                <w:ilvl w:val="3"/>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课桌书箱</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材质：采用环保PP塑料一级新料一体射出注塑成型。不采用回收料、再生料生产，课桌书箱8大重金属含量（可溶性铅、可溶性镉、可溶性铬、可溶性汞、可溶性钡、可溶性砷、可溶性锑、可溶性硒）和邻苯二甲酸脂检测（测试）合格；</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提供具有“SGS”或“CMA”或“CNAS资质的检测机构出具的合格的课桌书箱8大重金属含量检测（测试）报告</w:t>
            </w:r>
            <w:r>
              <w:rPr>
                <w:rFonts w:hint="eastAsia" w:ascii="Times New Roman" w:hAnsi="Times New Roman" w:cs="Times New Roman"/>
                <w:szCs w:val="21"/>
              </w:rPr>
              <w:t>复印</w:t>
            </w:r>
            <w:r>
              <w:rPr>
                <w:rFonts w:ascii="Times New Roman" w:hAnsi="Times New Roman" w:cs="Times New Roman"/>
                <w:szCs w:val="21"/>
              </w:rPr>
              <w:t>件，原件备查。检测报告上有“SGS”或“CMA”或“CNAS标识，或者提供检测报告出具单位获得的“SGS”或“CMA”或“CNAS资格认定认可证书；</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提供检测依据，采用ICP-OES分析法或GB28481-2012《塑料家具中有害物质限量》；检测（测试）报告体现检测（测试）样品为课桌书箱，检测报告受检（生产）单位须是投标人或投标产品品牌制造商；</w:t>
            </w:r>
          </w:p>
          <w:p>
            <w:pPr>
              <w:pStyle w:val="6"/>
              <w:numPr>
                <w:ilvl w:val="5"/>
                <w:numId w:val="5"/>
              </w:numPr>
              <w:spacing w:line="400" w:lineRule="exact"/>
              <w:ind w:firstLineChars="0"/>
              <w:jc w:val="left"/>
              <w:rPr>
                <w:rFonts w:ascii="Times New Roman" w:hAnsi="Times New Roman" w:cs="Times New Roman"/>
                <w:szCs w:val="21"/>
              </w:rPr>
            </w:pPr>
            <w:bookmarkStart w:id="6" w:name="_GoBack"/>
            <w:r>
              <w:rPr>
                <w:rFonts w:ascii="Times New Roman" w:hAnsi="Times New Roman" w:cs="Times New Roman"/>
                <w:szCs w:val="21"/>
              </w:rPr>
              <w:t>检测报告出具日期从</w:t>
            </w:r>
            <w:r>
              <w:rPr>
                <w:rFonts w:hint="eastAsia" w:ascii="Times New Roman" w:hAnsi="Times New Roman" w:cs="Times New Roman"/>
                <w:color w:val="FF0000"/>
                <w:szCs w:val="21"/>
                <w:lang w:val="en-US" w:eastAsia="zh-CN"/>
              </w:rPr>
              <w:t>2022</w:t>
            </w:r>
            <w:r>
              <w:rPr>
                <w:rFonts w:ascii="Times New Roman" w:hAnsi="Times New Roman" w:cs="Times New Roman"/>
                <w:color w:val="FF0000"/>
                <w:szCs w:val="21"/>
              </w:rPr>
              <w:t>年</w:t>
            </w:r>
            <w:r>
              <w:rPr>
                <w:rFonts w:ascii="Times New Roman" w:hAnsi="Times New Roman" w:cs="Times New Roman"/>
                <w:szCs w:val="21"/>
              </w:rPr>
              <w:t>1月1日至本项目投标截止日前；</w:t>
            </w:r>
          </w:p>
          <w:bookmarkEnd w:id="6"/>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内径尺寸：长450mm±10mm×深340mm±10mm×高（净空）</w:t>
            </w:r>
            <w:r>
              <w:rPr>
                <w:rFonts w:hint="eastAsia" w:ascii="宋体" w:hAnsi="宋体" w:eastAsia="宋体" w:cs="宋体"/>
                <w:szCs w:val="21"/>
              </w:rPr>
              <w:t>≦</w:t>
            </w:r>
            <w:r>
              <w:rPr>
                <w:rFonts w:ascii="Times New Roman" w:hAnsi="Times New Roman" w:cs="Times New Roman"/>
                <w:szCs w:val="21"/>
              </w:rPr>
              <w:t>120mm。  外径尺寸：长510mm±10mm×深350mm±10mm×高（净空）</w:t>
            </w:r>
            <w:r>
              <w:rPr>
                <w:rFonts w:hint="eastAsia" w:ascii="宋体" w:hAnsi="宋体" w:eastAsia="宋体" w:cs="宋体"/>
                <w:szCs w:val="21"/>
              </w:rPr>
              <w:t>≦</w:t>
            </w:r>
            <w:r>
              <w:rPr>
                <w:rFonts w:ascii="Times New Roman" w:hAnsi="Times New Roman" w:cs="Times New Roman"/>
                <w:szCs w:val="21"/>
              </w:rPr>
              <w:t>120mm</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书箱技术至少满足以下要求：</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书箱内部前沿设有梯形凹处方便笔,橡皮擦,刀片等小文具储放。</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书箱底部有多条排水槽缝设计（宽度≤5mm）方便清洗或擦拭底部易排水通风干燥。</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书箱三墙面为弧型设计主要增加置入容积，确保学生安全。</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书箱外围倒圆角光滑不刮手，无毛边。</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参考图片（图片仅供参考）：</w:t>
            </w:r>
          </w:p>
          <w:p>
            <w:pPr>
              <w:jc w:val="left"/>
              <w:rPr>
                <w:rFonts w:ascii="Times New Roman" w:hAnsi="Times New Roman" w:cs="Times New Roman"/>
                <w:szCs w:val="21"/>
              </w:rPr>
            </w:pPr>
            <w:r>
              <w:rPr>
                <w:rFonts w:ascii="Times New Roman" w:hAnsi="Times New Roman" w:cs="Times New Roman"/>
                <w:szCs w:val="21"/>
              </w:rPr>
              <w:drawing>
                <wp:inline distT="0" distB="0" distL="0" distR="0">
                  <wp:extent cx="2505075" cy="1295400"/>
                  <wp:effectExtent l="0" t="0" r="9525" b="0"/>
                  <wp:docPr id="14" name="图片 1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示&#10;&#10;描述已自动生成"/>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505075" cy="12954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09" w:type="dxa"/>
            <w:vMerge w:val="continue"/>
            <w:vAlign w:val="center"/>
          </w:tcPr>
          <w:p>
            <w:pPr>
              <w:rPr>
                <w:rFonts w:ascii="Times New Roman" w:hAnsi="Times New Roman" w:cs="Times New Roman"/>
                <w:szCs w:val="21"/>
              </w:rPr>
            </w:pPr>
          </w:p>
        </w:tc>
        <w:tc>
          <w:tcPr>
            <w:tcW w:w="1194" w:type="dxa"/>
            <w:vMerge w:val="continue"/>
            <w:vAlign w:val="center"/>
          </w:tcPr>
          <w:p>
            <w:pPr>
              <w:rPr>
                <w:rFonts w:ascii="Times New Roman" w:hAnsi="Times New Roman" w:cs="Times New Roman"/>
                <w:szCs w:val="21"/>
              </w:rPr>
            </w:pPr>
          </w:p>
        </w:tc>
        <w:tc>
          <w:tcPr>
            <w:tcW w:w="7319" w:type="dxa"/>
            <w:vAlign w:val="center"/>
          </w:tcPr>
          <w:p>
            <w:pPr>
              <w:pStyle w:val="6"/>
              <w:numPr>
                <w:ilvl w:val="3"/>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桌脚钢架</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材质及规格: 符合国家标准钢管，尺寸至少满足以下要求：</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桌脚贴地部与上部弯管为椭圆管尺寸为30mm×60mm±2mm×厚不少于1.4mm，</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桌脚上部活动立管钢管为椭圆形23mm×50mm±2mm×厚不少于1.4mm；</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桌脚上部活动内管采用23mm×50mm±1mm×厚1.4mm的椭圆形白皮钢管；</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连接书箱P型支架管采用20mm×40mm±1mm×厚1.2mm的椭圆形白皮钢管</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技术形状要求：底座L字弯管左右组合焊接外型配合手摇升降结构合理、顺畅、安全，满足《学校课桌椅功能尺寸及技术要求》（GB/T3976-2014）要求，方便学生地面卫生清洁。</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技术工艺要求：</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焊缝均匀，需无毛棱、锐棱、飞溅、裂纹等缺陷； 焊接完成后的钢管架，表面需经除油、脱脂、磷化、皮膜处理。外表采用环保处理，经高温粉体烤漆，不得有刮伤货脱漆现象。涂层需无漏喷、锈蚀；涂层需光滑均匀，色泽一致，需无流挂、疙瘩、皱皮、飞漆等缺陷。</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表面喷涂需平整、光滑、清晰，无明显粒子、涨边现象；</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表面标示至少满足以下要求：</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采用激光镭射标示，字体保证永久不会脱落掉色，方便学校管理使用及产品维护。在可调节的钢制脚架上外侧清晰标记，高度刻度尺按照课桌椅国标（《学校课桌椅功能尺寸及技术要求》（GB/T3976-2014））用阿拉伯数字作标示。在课桌桌腿上部活动立管(钢制脚架上)外侧上做如下标示：</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标示并标有统一</w:t>
            </w:r>
            <w:r>
              <w:rPr>
                <w:rFonts w:hint="eastAsia" w:ascii="Times New Roman" w:hAnsi="Times New Roman" w:cs="Times New Roman"/>
                <w:szCs w:val="21"/>
              </w:rPr>
              <w:t>校徽（logo）及</w:t>
            </w:r>
            <w:r>
              <w:rPr>
                <w:rFonts w:ascii="Times New Roman" w:hAnsi="Times New Roman" w:cs="Times New Roman"/>
                <w:szCs w:val="21"/>
              </w:rPr>
              <w:t>校名（简称）汉字标识，满足学校财产登记</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标示并标有生产（出厂）年月日数字标识，保证设备保修售后。</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标示并标有产品序列号数字标识，满足学校财产登记。</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标示并标有高度刻度尺数字标识，满足国标要求。</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参考图片（图片仅供参考）:</w:t>
            </w:r>
          </w:p>
          <w:p>
            <w:pPr>
              <w:jc w:val="left"/>
              <w:rPr>
                <w:rFonts w:ascii="Times New Roman" w:hAnsi="Times New Roman" w:cs="Times New Roman"/>
                <w:szCs w:val="21"/>
              </w:rPr>
            </w:pPr>
            <w:r>
              <w:rPr>
                <w:rFonts w:ascii="Times New Roman" w:hAnsi="Times New Roman" w:cs="Times New Roman"/>
                <w:szCs w:val="21"/>
              </w:rPr>
              <w:drawing>
                <wp:inline distT="0" distB="0" distL="0" distR="0">
                  <wp:extent cx="1257300" cy="1184910"/>
                  <wp:effectExtent l="0" t="0" r="0" b="15240"/>
                  <wp:docPr id="16" name="图片 16" descr="C:\Users\ADMINI~1\AppData\Local\Temp\16213166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1\AppData\Local\Temp\1621316628(1).png"/>
                          <pic:cNvPicPr>
                            <a:picLocks noChangeAspect="1" noChangeArrowheads="1"/>
                          </pic:cNvPicPr>
                        </pic:nvPicPr>
                        <pic:blipFill>
                          <a:blip r:embed="rId8">
                            <a:extLst>
                              <a:ext uri="{28A0092B-C50C-407E-A947-70E740481C1C}">
                                <a14:useLocalDpi xmlns:a14="http://schemas.microsoft.com/office/drawing/2010/main" val="0"/>
                              </a:ext>
                            </a:extLst>
                          </a:blip>
                          <a:srcRect t="23479"/>
                          <a:stretch>
                            <a:fillRect/>
                          </a:stretch>
                        </pic:blipFill>
                        <pic:spPr>
                          <a:xfrm>
                            <a:off x="0" y="0"/>
                            <a:ext cx="1259243" cy="1186447"/>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09" w:type="dxa"/>
            <w:vMerge w:val="continue"/>
            <w:vAlign w:val="center"/>
          </w:tcPr>
          <w:p>
            <w:pPr>
              <w:rPr>
                <w:rFonts w:ascii="Times New Roman" w:hAnsi="Times New Roman" w:cs="Times New Roman"/>
                <w:szCs w:val="21"/>
              </w:rPr>
            </w:pPr>
          </w:p>
        </w:tc>
        <w:tc>
          <w:tcPr>
            <w:tcW w:w="1194" w:type="dxa"/>
            <w:vMerge w:val="continue"/>
            <w:vAlign w:val="center"/>
          </w:tcPr>
          <w:p>
            <w:pPr>
              <w:rPr>
                <w:rFonts w:ascii="Times New Roman" w:hAnsi="Times New Roman" w:cs="Times New Roman"/>
                <w:szCs w:val="21"/>
              </w:rPr>
            </w:pPr>
          </w:p>
        </w:tc>
        <w:tc>
          <w:tcPr>
            <w:tcW w:w="7319" w:type="dxa"/>
            <w:vAlign w:val="center"/>
          </w:tcPr>
          <w:p>
            <w:pPr>
              <w:pStyle w:val="6"/>
              <w:numPr>
                <w:ilvl w:val="3"/>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脚垫</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材质：采用环保PP塑料一级新料一体成型，用圆头十字自攻螺丝锁付。桌子前脚垫左右各需配1个水平调节塑钢胶料与螺丝固定，使桌面保持平衡不倾斜。不可采用回收料生产。</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前脚垫尺寸：长73mm±5mm×宽50mm±5mm×高71mm±5mm,垫跟高8mm±2mm。</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后脚垫尺寸：长196mm±10mm×宽50mm±5mm×高85mm±5mm,垫跟厚度8mm±2mm。</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参考图片（图片仅供参考）：</w:t>
            </w:r>
          </w:p>
          <w:p>
            <w:pPr>
              <w:jc w:val="left"/>
              <w:rPr>
                <w:rFonts w:ascii="Times New Roman" w:hAnsi="Times New Roman" w:cs="Times New Roman"/>
                <w:szCs w:val="21"/>
              </w:rPr>
            </w:pPr>
            <w:r>
              <w:rPr>
                <w:rFonts w:ascii="Times New Roman" w:hAnsi="Times New Roman" w:cs="Times New Roman"/>
                <w:szCs w:val="21"/>
              </w:rPr>
              <w:drawing>
                <wp:inline distT="0" distB="0" distL="0" distR="0">
                  <wp:extent cx="952500" cy="1617345"/>
                  <wp:effectExtent l="0" t="0" r="0" b="1905"/>
                  <wp:docPr id="17" name="图片 17" descr="9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911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00" cy="1617608"/>
                          </a:xfrm>
                          <a:prstGeom prst="rect">
                            <a:avLst/>
                          </a:prstGeom>
                          <a:noFill/>
                          <a:ln>
                            <a:noFill/>
                          </a:ln>
                        </pic:spPr>
                      </pic:pic>
                    </a:graphicData>
                  </a:graphic>
                </wp:inline>
              </w:drawing>
            </w:r>
            <w:r>
              <w:rPr>
                <w:rFonts w:ascii="Times New Roman" w:hAnsi="Times New Roman" w:cs="Times New Roman"/>
                <w:szCs w:val="21"/>
              </w:rPr>
              <w:drawing>
                <wp:inline distT="0" distB="0" distL="0" distR="0">
                  <wp:extent cx="1446530" cy="1609725"/>
                  <wp:effectExtent l="0" t="0" r="1270" b="9525"/>
                  <wp:docPr id="19" name="图片 19" descr="91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9111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50624" cy="1613616"/>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09" w:type="dxa"/>
            <w:vMerge w:val="continue"/>
            <w:vAlign w:val="center"/>
          </w:tcPr>
          <w:p>
            <w:pPr>
              <w:rPr>
                <w:rFonts w:ascii="Times New Roman" w:hAnsi="Times New Roman" w:cs="Times New Roman"/>
                <w:szCs w:val="21"/>
              </w:rPr>
            </w:pPr>
          </w:p>
        </w:tc>
        <w:tc>
          <w:tcPr>
            <w:tcW w:w="1194" w:type="dxa"/>
            <w:vMerge w:val="continue"/>
            <w:vAlign w:val="center"/>
          </w:tcPr>
          <w:p>
            <w:pPr>
              <w:rPr>
                <w:rFonts w:ascii="Times New Roman" w:hAnsi="Times New Roman" w:cs="Times New Roman"/>
                <w:szCs w:val="21"/>
              </w:rPr>
            </w:pPr>
          </w:p>
        </w:tc>
        <w:tc>
          <w:tcPr>
            <w:tcW w:w="7319" w:type="dxa"/>
            <w:vAlign w:val="center"/>
          </w:tcPr>
          <w:p>
            <w:pPr>
              <w:pStyle w:val="6"/>
              <w:numPr>
                <w:ilvl w:val="3"/>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挂钩</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材质：采用环保PP塑料一级新料，与书箱一体成型。不可采用回收料生产。</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功能：书箱需有挂钩设计，能挂书包、背包、中间半圆开口可以挂置矿泉水瓶，一钩多用途，在静止状态下可以承载不少于10KG的挂物承重。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09" w:type="dxa"/>
            <w:vMerge w:val="continue"/>
            <w:vAlign w:val="center"/>
          </w:tcPr>
          <w:p>
            <w:pPr>
              <w:rPr>
                <w:rFonts w:ascii="Times New Roman" w:hAnsi="Times New Roman" w:cs="Times New Roman"/>
                <w:szCs w:val="21"/>
              </w:rPr>
            </w:pPr>
          </w:p>
        </w:tc>
        <w:tc>
          <w:tcPr>
            <w:tcW w:w="1194" w:type="dxa"/>
            <w:vMerge w:val="continue"/>
            <w:vAlign w:val="center"/>
          </w:tcPr>
          <w:p>
            <w:pPr>
              <w:rPr>
                <w:rFonts w:ascii="Times New Roman" w:hAnsi="Times New Roman" w:cs="Times New Roman"/>
                <w:szCs w:val="21"/>
              </w:rPr>
            </w:pPr>
          </w:p>
        </w:tc>
        <w:tc>
          <w:tcPr>
            <w:tcW w:w="7319" w:type="dxa"/>
            <w:vAlign w:val="center"/>
          </w:tcPr>
          <w:p>
            <w:pPr>
              <w:pStyle w:val="6"/>
              <w:numPr>
                <w:ilvl w:val="3"/>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快速升降调节（手摇组件）</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手摇可调式结构：耐用环保材料，由优质钢塑尼龙耐用复合材料组合设计，轻便耐用无噪音并有效防止长期使用生锈后活动受阻卡死，组合成腿部升降器由中间传动</w:t>
            </w:r>
            <w:r>
              <w:rPr>
                <w:rFonts w:hint="eastAsia" w:ascii="Times New Roman" w:hAnsi="Times New Roman" w:cs="Times New Roman"/>
                <w:szCs w:val="21"/>
              </w:rPr>
              <w:t>轴</w:t>
            </w:r>
            <w:r>
              <w:rPr>
                <w:rFonts w:ascii="Times New Roman" w:hAnsi="Times New Roman" w:cs="Times New Roman"/>
                <w:szCs w:val="21"/>
              </w:rPr>
              <w:t>连接左右腿上部活动立管可以同时升降，采用手摇千斤顶承载式上下安全升降结构原理，由下往上顶可以保证结构高强度和坚固性耐用，使用更顺畅，结构合理、顺畅、安全不夹手无安全隐患。采用由下往上顶升降的手摇千斤顶承载式上下安全升降结构组合成课桌桌腿升降器由中间传动轴连接课桌的左右腿上部活动立管可以同时升降，由下往上顶升高高度，回拉降低高度，可以保证结构高强度和坚固性耐用,使用更顺畅，结构合理、顺畅、安全不夹手无安全隐患。</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手摇组件装置安全性：桌腿外侧外观无外露螺丝五金件，学生使用无安全隐患，左右腿都可以调整高度。</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升降技术要求：全手摇升降可调式调节，每张课桌满足手摇升降调节行程不少于9cm，不少于中小学校课桌椅国标（《学校课桌椅功能尺寸及技术要求》（GB/T3976-2014））的3个连续的国标标示高度，可调节高度区间为700mm-790mm、610mm-730mm，每间隔30mm为一段国标标示高度，满足在700mm-790mm、610mm-730mm区间内可通过手摇升降快速调节到任意的高度，满足不同学生身高体重个性需求，从而达到（《学校课桌椅功能尺寸及技术要求》（GB/T3976-2014））要求。</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一把手摇柄可以满足该批全部课桌椅调节，每班（50套）标配2把。</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课桌选择的具体调节型号范围，中标后可根据使用年级另行确定，存在不同调节范围的情况，中标供应商须无条件配合。</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▲手摇升降课桌的桌面高，桌下净空高，桌下净空深和手摇升降课椅的座面高符合国标GB/T3976-2014《学生课桌椅功能尺寸及技术要求》要求，检测符合。  提供具有“SGS”或“CMA”或“CNAS”资质的检测机构出具的合格的检测（测试）报告扫描件，原件备查。</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检测（测试）报告上有CMA或CNAS标识，或者提供检测（测试）报告出具单位获得的 “SGS”或“CMA”或“CNAS”资格认定认可证书；</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检测标准依据采用GB/T3976-2014《学生课桌椅功能尺寸及技术要求》；检测（测试）报告至少包含本项目国标型号0号～3号、2号～6号手摇升降课桌椅要求的课桌桌面高，桌下净空高，桌下净空及课椅座面高的全部内容，检验评定结果：符合，</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检测报告体现检测产品为手摇升降课桌或手摇升降课桌椅（具体报告包含手摇升降课桌），检测报告受检（生产）单位须是投标人或投标产品品牌制造商）。</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检测报告出具日期从20</w:t>
            </w:r>
            <w:r>
              <w:rPr>
                <w:rFonts w:hint="eastAsia" w:ascii="Times New Roman" w:hAnsi="Times New Roman" w:cs="Times New Roman"/>
                <w:szCs w:val="21"/>
                <w:lang w:val="en-US" w:eastAsia="zh-CN"/>
              </w:rPr>
              <w:t>20</w:t>
            </w:r>
            <w:r>
              <w:rPr>
                <w:rFonts w:ascii="Times New Roman" w:hAnsi="Times New Roman" w:cs="Times New Roman"/>
                <w:szCs w:val="21"/>
              </w:rPr>
              <w:t>年01月01日至本项目投标截止日前；</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参考图片（图片仅供参考）:</w:t>
            </w:r>
          </w:p>
          <w:p>
            <w:pPr>
              <w:jc w:val="left"/>
              <w:rPr>
                <w:rFonts w:ascii="Times New Roman" w:hAnsi="Times New Roman" w:cs="Times New Roman"/>
                <w:szCs w:val="21"/>
              </w:rPr>
            </w:pPr>
            <w:r>
              <w:rPr>
                <w:rFonts w:ascii="Times New Roman" w:hAnsi="Times New Roman" w:cs="Times New Roman"/>
                <w:szCs w:val="21"/>
              </w:rPr>
              <w:drawing>
                <wp:inline distT="0" distB="0" distL="0" distR="0">
                  <wp:extent cx="2343150" cy="1704975"/>
                  <wp:effectExtent l="0" t="0" r="0" b="9525"/>
                  <wp:docPr id="20" name="图片 20" descr="91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9111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343150" cy="1704975"/>
                          </a:xfrm>
                          <a:prstGeom prst="rect">
                            <a:avLst/>
                          </a:prstGeom>
                          <a:noFill/>
                          <a:ln>
                            <a:noFill/>
                          </a:ln>
                        </pic:spPr>
                      </pic:pic>
                    </a:graphicData>
                  </a:graphic>
                </wp:inline>
              </w:drawing>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整体参考图片（图片仅供参考）：</w:t>
            </w:r>
          </w:p>
          <w:p>
            <w:pPr>
              <w:jc w:val="left"/>
              <w:rPr>
                <w:rFonts w:ascii="Times New Roman" w:hAnsi="Times New Roman" w:cs="Times New Roman"/>
                <w:szCs w:val="21"/>
              </w:rPr>
            </w:pPr>
            <w:r>
              <w:rPr>
                <w:rFonts w:ascii="Times New Roman" w:hAnsi="Times New Roman" w:cs="Times New Roman"/>
                <w:szCs w:val="21"/>
              </w:rPr>
              <w:drawing>
                <wp:inline distT="0" distB="0" distL="0" distR="0">
                  <wp:extent cx="1296035" cy="1595755"/>
                  <wp:effectExtent l="0" t="0" r="18415" b="4445"/>
                  <wp:docPr id="25" name="图片 25" descr="C:\Users\ADMINI~1\AppData\Local\Temp\16213166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ADMINI~1\AppData\Local\Temp\1621316628(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95162" cy="1594723"/>
                          </a:xfrm>
                          <a:prstGeom prst="rect">
                            <a:avLst/>
                          </a:prstGeom>
                          <a:noFill/>
                          <a:ln>
                            <a:noFill/>
                          </a:ln>
                        </pic:spPr>
                      </pic:pic>
                    </a:graphicData>
                  </a:graphic>
                </wp:inline>
              </w:drawing>
            </w:r>
            <w:r>
              <w:rPr>
                <w:rFonts w:ascii="Times New Roman" w:hAnsi="Times New Roman" w:cs="Times New Roman"/>
                <w:szCs w:val="21"/>
              </w:rPr>
              <w:drawing>
                <wp:inline distT="0" distB="0" distL="0" distR="0">
                  <wp:extent cx="1638300" cy="16383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638300" cy="1638300"/>
                          </a:xfrm>
                          <a:prstGeom prst="rect">
                            <a:avLst/>
                          </a:prstGeom>
                          <a:noFill/>
                        </pic:spPr>
                      </pic:pic>
                    </a:graphicData>
                  </a:graphic>
                </wp:inline>
              </w:drawing>
            </w:r>
            <w:r>
              <w:rPr>
                <w:rFonts w:ascii="Times New Roman" w:hAnsi="Times New Roman" w:cs="Times New Roman"/>
                <w:szCs w:val="21"/>
              </w:rPr>
              <w:drawing>
                <wp:inline distT="0" distB="0" distL="0" distR="0">
                  <wp:extent cx="1371600" cy="14097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371600" cy="1409700"/>
                          </a:xfrm>
                          <a:prstGeom prst="rect">
                            <a:avLst/>
                          </a:prstGeom>
                          <a:noFill/>
                        </pic:spPr>
                      </pic:pic>
                    </a:graphicData>
                  </a:graphic>
                </wp:inline>
              </w:drawing>
            </w:r>
          </w:p>
          <w:p>
            <w:pPr>
              <w:pStyle w:val="6"/>
              <w:numPr>
                <w:ilvl w:val="4"/>
                <w:numId w:val="5"/>
              </w:numPr>
              <w:spacing w:line="400" w:lineRule="exact"/>
              <w:ind w:firstLineChars="0"/>
              <w:jc w:val="left"/>
              <w:rPr>
                <w:rFonts w:ascii="Times New Roman" w:hAnsi="Times New Roman" w:cs="Times New Roman"/>
                <w:szCs w:val="21"/>
              </w:rPr>
            </w:pPr>
            <w:r>
              <w:rPr>
                <w:rFonts w:hint="eastAsia" w:ascii="Times New Roman" w:hAnsi="Times New Roman" w:cs="Times New Roman"/>
                <w:szCs w:val="21"/>
              </w:rPr>
              <w:t>后期检测验收参考标准：</w:t>
            </w:r>
          </w:p>
          <w:p>
            <w:pPr>
              <w:pStyle w:val="6"/>
              <w:numPr>
                <w:ilvl w:val="5"/>
                <w:numId w:val="5"/>
              </w:numPr>
              <w:spacing w:line="400" w:lineRule="exact"/>
              <w:ind w:firstLineChars="0"/>
              <w:jc w:val="left"/>
              <w:rPr>
                <w:rFonts w:ascii="Times New Roman" w:hAnsi="Times New Roman" w:cs="Times New Roman"/>
                <w:szCs w:val="21"/>
              </w:rPr>
            </w:pPr>
            <w:r>
              <w:rPr>
                <w:rFonts w:hint="eastAsia" w:ascii="Times New Roman" w:hAnsi="Times New Roman" w:cs="Times New Roman"/>
                <w:szCs w:val="21"/>
              </w:rPr>
              <w:t>QB/T 4071-2010 《课桌椅》</w:t>
            </w:r>
          </w:p>
          <w:p>
            <w:pPr>
              <w:pStyle w:val="6"/>
              <w:numPr>
                <w:ilvl w:val="5"/>
                <w:numId w:val="5"/>
              </w:numPr>
              <w:spacing w:line="400" w:lineRule="exact"/>
              <w:ind w:firstLineChars="0"/>
              <w:jc w:val="left"/>
              <w:rPr>
                <w:rFonts w:ascii="Times New Roman" w:hAnsi="Times New Roman" w:cs="Times New Roman"/>
                <w:szCs w:val="21"/>
              </w:rPr>
            </w:pPr>
            <w:r>
              <w:rPr>
                <w:rFonts w:hint="eastAsia" w:ascii="Times New Roman" w:hAnsi="Times New Roman" w:cs="Times New Roman"/>
                <w:szCs w:val="21"/>
              </w:rPr>
              <w:t>GB 28481-2012 《塑料家具中有害物质限量》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09" w:type="dxa"/>
            <w:vMerge w:val="restart"/>
            <w:vAlign w:val="center"/>
          </w:tcPr>
          <w:p>
            <w:pPr>
              <w:pStyle w:val="6"/>
              <w:numPr>
                <w:ilvl w:val="2"/>
                <w:numId w:val="5"/>
              </w:numPr>
              <w:ind w:firstLineChars="0"/>
              <w:rPr>
                <w:rFonts w:ascii="Times New Roman" w:hAnsi="Times New Roman" w:cs="Times New Roman"/>
                <w:szCs w:val="21"/>
              </w:rPr>
            </w:pPr>
          </w:p>
        </w:tc>
        <w:tc>
          <w:tcPr>
            <w:tcW w:w="1194" w:type="dxa"/>
            <w:vMerge w:val="restart"/>
            <w:vAlign w:val="center"/>
          </w:tcPr>
          <w:p>
            <w:pPr>
              <w:rPr>
                <w:rFonts w:ascii="Times New Roman" w:hAnsi="Times New Roman" w:cs="Times New Roman"/>
                <w:szCs w:val="21"/>
              </w:rPr>
            </w:pPr>
            <w:r>
              <w:rPr>
                <w:rFonts w:ascii="Times New Roman" w:hAnsi="Times New Roman" w:cs="Times New Roman"/>
                <w:szCs w:val="21"/>
              </w:rPr>
              <w:t>手摇升降课椅</w:t>
            </w:r>
          </w:p>
        </w:tc>
        <w:tc>
          <w:tcPr>
            <w:tcW w:w="7319" w:type="dxa"/>
            <w:vAlign w:val="center"/>
          </w:tcPr>
          <w:p>
            <w:pPr>
              <w:pStyle w:val="6"/>
              <w:numPr>
                <w:ilvl w:val="3"/>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课椅靠背</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材质：采用环保PP塑料一级新料一体射出注塑成型。不采用回收料、再生料生产，检测报告出具日期从2018年01月01日至本项目投标截止日前；课椅靠背8大重金属含量（可溶性铅、可溶性镉、可溶性铬、可溶性汞、可溶性钡、可溶性砷、可溶性锑、可溶性硒）和邻苯二甲酸脂检测（测试）合格；</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提供具有“SGS”或“CMA”或“CNAS”资质的检测机构出具的合格的课椅靠背8大重金属含量检测（测试）报告扫描件，原件备查。检测报告上有“SGS”或“CMA”或“CNAS”标识，或者提供检测报告出具单位获得的“SGS”或“CMA”或“CNAS”资格认定认可证书；</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提供检测依据，采用ICP-OES分析法或GB28481-2012《塑料家具中有害物质限量》；检测（测试）报告体现检测（测试）样品为课椅靠背，检测报告受检（生产）单位须是投标人或投标产品品牌制造商；</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检测报告出具日期从20</w:t>
            </w:r>
            <w:r>
              <w:rPr>
                <w:rFonts w:hint="eastAsia" w:ascii="Times New Roman" w:hAnsi="Times New Roman" w:cs="Times New Roman"/>
                <w:szCs w:val="21"/>
                <w:lang w:val="en-US" w:eastAsia="zh-CN"/>
              </w:rPr>
              <w:t>20</w:t>
            </w:r>
            <w:r>
              <w:rPr>
                <w:rFonts w:ascii="Times New Roman" w:hAnsi="Times New Roman" w:cs="Times New Roman"/>
                <w:szCs w:val="21"/>
              </w:rPr>
              <w:t>年1月1日至本项目投标截止日前；</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尺寸：410mm±10mm×270mm±10mm。</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靠背技术至少满足以下要求：</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靠背与钢管结合方式，需采用直插式，牢固稳定，不会出现摇晃现象。</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靠背呈弯孤曲面设计合乎人体学。功能要求：座位两侧带双腿凹槽。</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靠背曲面有排列整齐的多蜂窝孔设计，利于背部散热透气，孔直径均小于5mm。</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参考图片（图片仅供参考）：</w:t>
            </w:r>
          </w:p>
          <w:p>
            <w:pPr>
              <w:rPr>
                <w:rFonts w:ascii="Times New Roman" w:hAnsi="Times New Roman" w:cs="Times New Roman"/>
                <w:szCs w:val="21"/>
              </w:rPr>
            </w:pPr>
            <w:r>
              <w:rPr>
                <w:rFonts w:ascii="Times New Roman" w:hAnsi="Times New Roman" w:cs="Times New Roman"/>
                <w:szCs w:val="21"/>
              </w:rPr>
              <w:drawing>
                <wp:inline distT="0" distB="0" distL="0" distR="0">
                  <wp:extent cx="2790825" cy="1543050"/>
                  <wp:effectExtent l="0" t="0" r="9525" b="0"/>
                  <wp:docPr id="29" name="图片 29"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图片包含 图示&#10;&#10;描述已自动生成"/>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90825" cy="15430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09" w:type="dxa"/>
            <w:vMerge w:val="continue"/>
            <w:vAlign w:val="center"/>
          </w:tcPr>
          <w:p>
            <w:pPr>
              <w:pStyle w:val="6"/>
              <w:numPr>
                <w:ilvl w:val="2"/>
                <w:numId w:val="5"/>
              </w:numPr>
              <w:ind w:firstLineChars="0"/>
              <w:rPr>
                <w:rFonts w:ascii="Times New Roman" w:hAnsi="Times New Roman" w:cs="Times New Roman"/>
                <w:szCs w:val="21"/>
              </w:rPr>
            </w:pPr>
          </w:p>
        </w:tc>
        <w:tc>
          <w:tcPr>
            <w:tcW w:w="1194" w:type="dxa"/>
            <w:vMerge w:val="continue"/>
            <w:vAlign w:val="center"/>
          </w:tcPr>
          <w:p>
            <w:pPr>
              <w:rPr>
                <w:rFonts w:ascii="Times New Roman" w:hAnsi="Times New Roman" w:cs="Times New Roman"/>
                <w:szCs w:val="21"/>
              </w:rPr>
            </w:pPr>
          </w:p>
        </w:tc>
        <w:tc>
          <w:tcPr>
            <w:tcW w:w="7319" w:type="dxa"/>
            <w:vAlign w:val="center"/>
          </w:tcPr>
          <w:p>
            <w:pPr>
              <w:pStyle w:val="6"/>
              <w:numPr>
                <w:ilvl w:val="3"/>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课椅座垫</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材质：采用环保PP塑料一级新料一体射出成型。不可采用回收料生产。课椅座垫8大重金属含量（可溶性铅、可溶性镉、可溶性铬、可溶性汞、可溶性钡、可溶性砷、可溶性锑、可溶性硒）和邻苯二甲酸脂检测（测试）合格；</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提供具有“SGS”或“CMA”或“CNAS”资质的检测机构出具的合格的课椅座垫8大重金属含量检测（测试）报告扫描件，原件备查。检测报告上有“SGS”或“CMA”或“CNAS”标识，或者提供检测报告出具单位获得的“SGS”或“CMA”或“CNAS”资格认定认可证书；</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提供检测依据，采用ICP-OES分析法或GB28481-2012《塑料家具中有害物质限量》；检测（测试）报告体现检测（测试）样品为课椅座垫，检测报告受检（生产）单位须是投标人或投标产品品牌制造商；</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检测报告出具日期从20</w:t>
            </w:r>
            <w:r>
              <w:rPr>
                <w:rFonts w:hint="eastAsia" w:ascii="Times New Roman" w:hAnsi="Times New Roman" w:cs="Times New Roman"/>
                <w:szCs w:val="21"/>
                <w:lang w:val="en-US" w:eastAsia="zh-CN"/>
              </w:rPr>
              <w:t>20</w:t>
            </w:r>
            <w:r>
              <w:rPr>
                <w:rFonts w:ascii="Times New Roman" w:hAnsi="Times New Roman" w:cs="Times New Roman"/>
                <w:szCs w:val="21"/>
              </w:rPr>
              <w:t>年1月1日至本项目投标截止日前；</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尺寸：400mm±10mm×414mm±10mm。</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座垫前端有两处下凹设计，坐时腿部更服贴，达到久坐无压迫，更具舒适感；座垫深部有内陷设计，坐时包覆臀部，具有捧托感，舒适度佳，久坐不劳累。座垫曲面有排列整齐的多蜂窝孔设计，利于臀部透气散热，孔直径均小于5mm。</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参考图片（图片仅供参考）：</w:t>
            </w:r>
          </w:p>
          <w:p>
            <w:pPr>
              <w:jc w:val="left"/>
              <w:rPr>
                <w:rFonts w:ascii="Times New Roman" w:hAnsi="Times New Roman" w:cs="Times New Roman"/>
                <w:szCs w:val="21"/>
              </w:rPr>
            </w:pPr>
            <w:r>
              <w:rPr>
                <w:rFonts w:ascii="Times New Roman" w:hAnsi="Times New Roman" w:cs="Times New Roman"/>
                <w:szCs w:val="21"/>
              </w:rPr>
              <w:drawing>
                <wp:inline distT="0" distB="0" distL="0" distR="0">
                  <wp:extent cx="2324100" cy="1075690"/>
                  <wp:effectExtent l="0" t="0" r="0" b="10160"/>
                  <wp:docPr id="30" name="图片 30"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图示&#10;&#10;描述已自动生成"/>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324100" cy="10758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09" w:type="dxa"/>
            <w:vMerge w:val="continue"/>
            <w:vAlign w:val="center"/>
          </w:tcPr>
          <w:p>
            <w:pPr>
              <w:pStyle w:val="6"/>
              <w:numPr>
                <w:ilvl w:val="2"/>
                <w:numId w:val="5"/>
              </w:numPr>
              <w:ind w:firstLineChars="0"/>
              <w:rPr>
                <w:rFonts w:ascii="Times New Roman" w:hAnsi="Times New Roman" w:cs="Times New Roman"/>
                <w:szCs w:val="21"/>
              </w:rPr>
            </w:pPr>
          </w:p>
        </w:tc>
        <w:tc>
          <w:tcPr>
            <w:tcW w:w="1194" w:type="dxa"/>
            <w:vMerge w:val="continue"/>
            <w:vAlign w:val="center"/>
          </w:tcPr>
          <w:p>
            <w:pPr>
              <w:rPr>
                <w:rFonts w:ascii="Times New Roman" w:hAnsi="Times New Roman" w:cs="Times New Roman"/>
                <w:szCs w:val="21"/>
              </w:rPr>
            </w:pPr>
          </w:p>
        </w:tc>
        <w:tc>
          <w:tcPr>
            <w:tcW w:w="7319" w:type="dxa"/>
            <w:vAlign w:val="center"/>
          </w:tcPr>
          <w:p>
            <w:pPr>
              <w:pStyle w:val="6"/>
              <w:numPr>
                <w:ilvl w:val="3"/>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椅腿钢架</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材质及尺寸：符合国家标准钢管，尺寸至少满足以下要求：</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椅腿钢架贴地脚管采用30mm×60mm±1mm壁厚不少于1.4mm的椭圆形钢管；</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椅腿部横档采用20mm×40mm±1mm，壁厚不少于1.2mm的椭圆形钢管；</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椅脚上部固定立管采用尺寸30mm×60mm±1mm，壁厚不少于1.4mm的椭圆形钢管；</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椅脚上部活动立管采用尺寸23mm×50mm±1mm，壁厚不少于1.4mm的椭圆形钢管；</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靠背弯管钢管尺寸为椭圆形16.5 mm×34 mm×±1mm，壁厚不少于1.2mm的椭圆形钢管；</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椅座垫下设补强管采用16.5 mm×34 mm×±1mm，壁厚不少于1.2mm的椭圆形钢管。</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技术形状：底坐采用安全牢固的工（或H字)字组合焊接外型结构，内配隐藏式上下升降结构，合理、顺畅、安全。</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表面技术要求：焊接成型的钢管架，表面经除油、脱脂、磷化、皮膜处理后，采用环保处理高温粉体烤漆。涂层无刮伤或脱漆现象，表面光滑均匀，色泽一致，无流挂、疙瘩、皱皮、飞漆等缺陷。涂层整体无明显粒子、涨边现象。</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表面标示至少满足以下要求：</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采用激光镭射标示，字体保证永久不会脱落掉色，方便学校管理使用及产品维护。在可调节的钢制脚架上外侧清晰标记，高度刻度尺按照课桌椅国标（《学校课桌椅功能尺寸》（GB/T3976-2014））用阿拉伯数字作标示。在课椅椅腿上部活动立管(钢制脚架上)外侧上做如下标示：</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标示并标有统一</w:t>
            </w:r>
            <w:r>
              <w:rPr>
                <w:rFonts w:hint="eastAsia" w:ascii="Times New Roman" w:hAnsi="Times New Roman" w:cs="Times New Roman"/>
                <w:szCs w:val="21"/>
              </w:rPr>
              <w:t>校徽（logo）及</w:t>
            </w:r>
            <w:r>
              <w:rPr>
                <w:rFonts w:ascii="Times New Roman" w:hAnsi="Times New Roman" w:cs="Times New Roman"/>
                <w:szCs w:val="21"/>
              </w:rPr>
              <w:t>校名（简称）汉字标识，方便学校财产登记</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并标示并标有生产（出厂）年月日数字标识，方便设备保修售后</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标示并标有产品序列号数字标识，方便学校财产登记。</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标示并标有高度刻度尺数字标识，满足国标要求。</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参考图片（图片仅供参考）：</w:t>
            </w:r>
          </w:p>
          <w:p>
            <w:pPr>
              <w:jc w:val="left"/>
              <w:rPr>
                <w:rFonts w:ascii="Times New Roman" w:hAnsi="Times New Roman" w:cs="Times New Roman"/>
                <w:szCs w:val="21"/>
              </w:rPr>
            </w:pPr>
            <w:r>
              <w:rPr>
                <w:rFonts w:ascii="Times New Roman" w:hAnsi="Times New Roman" w:cs="Times New Roman"/>
                <w:szCs w:val="21"/>
              </w:rPr>
              <w:drawing>
                <wp:inline distT="0" distB="0" distL="0" distR="0">
                  <wp:extent cx="1228725" cy="1714500"/>
                  <wp:effectExtent l="0" t="0" r="952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28725" cy="17145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09" w:type="dxa"/>
            <w:vMerge w:val="continue"/>
            <w:vAlign w:val="center"/>
          </w:tcPr>
          <w:p>
            <w:pPr>
              <w:pStyle w:val="6"/>
              <w:numPr>
                <w:ilvl w:val="2"/>
                <w:numId w:val="5"/>
              </w:numPr>
              <w:ind w:firstLineChars="0"/>
              <w:rPr>
                <w:rFonts w:ascii="Times New Roman" w:hAnsi="Times New Roman" w:cs="Times New Roman"/>
                <w:szCs w:val="21"/>
              </w:rPr>
            </w:pPr>
          </w:p>
        </w:tc>
        <w:tc>
          <w:tcPr>
            <w:tcW w:w="1194" w:type="dxa"/>
            <w:vMerge w:val="continue"/>
            <w:vAlign w:val="center"/>
          </w:tcPr>
          <w:p>
            <w:pPr>
              <w:rPr>
                <w:rFonts w:ascii="Times New Roman" w:hAnsi="Times New Roman" w:cs="Times New Roman"/>
                <w:szCs w:val="21"/>
              </w:rPr>
            </w:pPr>
          </w:p>
        </w:tc>
        <w:tc>
          <w:tcPr>
            <w:tcW w:w="7319" w:type="dxa"/>
            <w:vAlign w:val="center"/>
          </w:tcPr>
          <w:p>
            <w:pPr>
              <w:pStyle w:val="6"/>
              <w:numPr>
                <w:ilvl w:val="3"/>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脚垫</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材质：采用PP塑料一级新料一体成型。桌子前脚垫左右各需配1个水平调节塑钢胶料与螺丝固定，使椅子面保持平衡不倾斜。</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尺寸：长83mm±5mm×宽72mm±5mm×高43mm±5mm,垫跟高10mm±2mm。</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参考图片（图片仅供参考）：</w:t>
            </w:r>
          </w:p>
          <w:p>
            <w:pPr>
              <w:jc w:val="left"/>
              <w:rPr>
                <w:rFonts w:ascii="Times New Roman" w:hAnsi="Times New Roman" w:cs="Times New Roman"/>
                <w:szCs w:val="21"/>
              </w:rPr>
            </w:pPr>
            <w:r>
              <w:rPr>
                <w:rFonts w:ascii="Times New Roman" w:hAnsi="Times New Roman" w:cs="Times New Roman"/>
                <w:szCs w:val="21"/>
              </w:rPr>
              <w:drawing>
                <wp:inline distT="0" distB="0" distL="0" distR="0">
                  <wp:extent cx="1714500" cy="924560"/>
                  <wp:effectExtent l="0" t="0" r="0" b="889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714500" cy="925151"/>
                          </a:xfrm>
                          <a:prstGeom prst="rect">
                            <a:avLst/>
                          </a:prstGeom>
                          <a:noFill/>
                          <a:ln>
                            <a:noFill/>
                          </a:ln>
                        </pic:spPr>
                      </pic:pic>
                    </a:graphicData>
                  </a:graphic>
                </wp:inline>
              </w:drawing>
            </w:r>
            <w:r>
              <w:rPr>
                <w:rFonts w:ascii="Times New Roman" w:hAnsi="Times New Roman" w:cs="Times New Roman"/>
                <w:szCs w:val="21"/>
              </w:rPr>
              <w:drawing>
                <wp:inline distT="0" distB="0" distL="0" distR="0">
                  <wp:extent cx="1314450" cy="953135"/>
                  <wp:effectExtent l="0" t="0" r="0" b="1841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314450" cy="953621"/>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09" w:type="dxa"/>
            <w:vMerge w:val="continue"/>
            <w:vAlign w:val="center"/>
          </w:tcPr>
          <w:p>
            <w:pPr>
              <w:pStyle w:val="6"/>
              <w:numPr>
                <w:ilvl w:val="2"/>
                <w:numId w:val="5"/>
              </w:numPr>
              <w:ind w:firstLineChars="0"/>
              <w:rPr>
                <w:rFonts w:ascii="Times New Roman" w:hAnsi="Times New Roman" w:cs="Times New Roman"/>
                <w:szCs w:val="21"/>
              </w:rPr>
            </w:pPr>
          </w:p>
        </w:tc>
        <w:tc>
          <w:tcPr>
            <w:tcW w:w="1194" w:type="dxa"/>
            <w:vMerge w:val="continue"/>
            <w:vAlign w:val="center"/>
          </w:tcPr>
          <w:p>
            <w:pPr>
              <w:rPr>
                <w:rFonts w:ascii="Times New Roman" w:hAnsi="Times New Roman" w:cs="Times New Roman"/>
                <w:szCs w:val="21"/>
              </w:rPr>
            </w:pPr>
          </w:p>
        </w:tc>
        <w:tc>
          <w:tcPr>
            <w:tcW w:w="7319" w:type="dxa"/>
            <w:vAlign w:val="center"/>
          </w:tcPr>
          <w:p>
            <w:pPr>
              <w:pStyle w:val="6"/>
              <w:numPr>
                <w:ilvl w:val="3"/>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快速升降调节（手摇组件）</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手摇可调式结构：耐用环保材料，由优质钢塑尼龙耐用复合材料组合设计，轻便耐用无噪音并有效防止长期使用生锈后活动受阻卡死，组合成腿部升降器由中间传动軸连接左右腿上部活动立管可以同时升降，采用手摇千斤顶承载式上下安全升降结构原理，由下往上顶可以保证结构高强度和坚固性耐用，使用更顺畅，结构合理、顺畅、安全不夹手无安全隐患。采用由下往上顶升降的手摇千斤顶承载式上下安全升降结构组合成课桌桌腿升降器由中间传动轴连接课桌的左右腿上部活动立管可以同时升降，由下往上顶升高高度，回拉降低高度，可以保证结构高强度和坚固性耐用,使用更顺畅，结构合理、顺畅、安全不夹手无安全隐患。</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手摇组件装置安全性：椅腿外侧外观无外露螺丝五金件，学生使用无安全隐患，左右腿都可以同时调整高度。</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升降技术要求：全手摇升降可调式调节，每张课椅满足手摇升降调节行程不少于10cm，不少于中小学校课椅国标（《学校课桌椅功能尺寸》（GB/T3976-2014））的5个连续的国标标示高度，可调节高度区间为360-460mm、340mm-440mm，每间隔20mm为一段国标标示高度，满足在360-460mm、340mm-440mm区间内可通过手摇升降快速调节到任意的高度，满足不同学生身高体重个性需求，从而达到（《学校课桌椅功能尺寸及技术要求》（GB/T3976-2014））要求。</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一把手摇柄可以满足该批全部课桌椅调节，每班（50套）标配2把。</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课桌选择的具体调节型号范围，中标后可根据使用年级另行确定，存在不同调节范围的情况，中标供应商须无条件配合。</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后期检测验收参考标准：</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QB/T 4071-2010 《课桌椅》</w:t>
            </w:r>
          </w:p>
          <w:p>
            <w:pPr>
              <w:pStyle w:val="6"/>
              <w:numPr>
                <w:ilvl w:val="5"/>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GB 28481-2012 《塑料家具中有害物质限量》</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参考图片（图片仅供参考）：</w:t>
            </w:r>
          </w:p>
          <w:p>
            <w:pPr>
              <w:jc w:val="left"/>
              <w:rPr>
                <w:rFonts w:ascii="Times New Roman" w:hAnsi="Times New Roman" w:cs="Times New Roman"/>
                <w:szCs w:val="21"/>
              </w:rPr>
            </w:pPr>
            <w:r>
              <w:rPr>
                <w:rFonts w:ascii="Times New Roman" w:hAnsi="Times New Roman" w:cs="Times New Roman"/>
                <w:szCs w:val="21"/>
              </w:rPr>
              <w:drawing>
                <wp:inline distT="0" distB="0" distL="0" distR="0">
                  <wp:extent cx="1894205" cy="1264285"/>
                  <wp:effectExtent l="0" t="0" r="10795" b="1206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9">
                            <a:extLst>
                              <a:ext uri="{28A0092B-C50C-407E-A947-70E740481C1C}">
                                <a14:useLocalDpi xmlns:a14="http://schemas.microsoft.com/office/drawing/2010/main" val="0"/>
                              </a:ext>
                            </a:extLst>
                          </a:blip>
                          <a:srcRect t="21204"/>
                          <a:stretch>
                            <a:fillRect/>
                          </a:stretch>
                        </pic:blipFill>
                        <pic:spPr>
                          <a:xfrm>
                            <a:off x="0" y="0"/>
                            <a:ext cx="1894205" cy="1264285"/>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09" w:type="dxa"/>
            <w:vAlign w:val="center"/>
          </w:tcPr>
          <w:p>
            <w:pPr>
              <w:pStyle w:val="6"/>
              <w:numPr>
                <w:ilvl w:val="2"/>
                <w:numId w:val="5"/>
              </w:numPr>
              <w:ind w:firstLineChars="0"/>
              <w:rPr>
                <w:rFonts w:ascii="Times New Roman" w:hAnsi="Times New Roman" w:cs="Times New Roman"/>
                <w:szCs w:val="21"/>
              </w:rPr>
            </w:pPr>
          </w:p>
        </w:tc>
        <w:tc>
          <w:tcPr>
            <w:tcW w:w="1194" w:type="dxa"/>
            <w:vAlign w:val="center"/>
          </w:tcPr>
          <w:p>
            <w:pPr>
              <w:rPr>
                <w:rFonts w:ascii="Times New Roman" w:hAnsi="Times New Roman" w:cs="Times New Roman"/>
                <w:szCs w:val="21"/>
              </w:rPr>
            </w:pPr>
            <w:r>
              <w:rPr>
                <w:rFonts w:ascii="Times New Roman" w:hAnsi="Times New Roman" w:cs="Times New Roman"/>
                <w:szCs w:val="21"/>
              </w:rPr>
              <w:t>安全环保整体要求</w:t>
            </w:r>
          </w:p>
        </w:tc>
        <w:tc>
          <w:tcPr>
            <w:tcW w:w="7319" w:type="dxa"/>
            <w:vAlign w:val="center"/>
          </w:tcPr>
          <w:p>
            <w:pPr>
              <w:pStyle w:val="6"/>
              <w:numPr>
                <w:ilvl w:val="3"/>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▲手摇升降课桌椅的卫生安全环保性符合《室内空气质量标准》GB/T18883-2002甲醛释放量检测合格。</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提供具有“SGS”或“CMA”或“CNAS资质的检测机构出具的合格的检测报告扫描件，原件备查。</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检测报告上有“SGS”或“CMA”或“CNAS”标识，或者提供检测报告出具单位获得的 “SGS”或“CMA”或“CNAS资格认定认可证书；</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检测标准依据采用《室内空气质量标准》GB/T18883-2002；检测方法是两间模拟现场空气实验舱（均为1立方米）其中一间为空白实验舱A，另一间为样品实验舱B，将手摇升降课桌椅放入样品实验舱B中立即关闭舱门。关闭12h后，测定空白实验舱A和实验舱B空气中甲醛浓度，温度，相对湿度，气压，风速，对比实验前后变化。检验结果：实验前后测试舱甲醛释放量数值无变化，</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检测报告体现检测产品为手摇升降课桌椅，检测报告受检（生产）单位须是投标人或投标产品品牌制造商。）</w:t>
            </w:r>
          </w:p>
          <w:p>
            <w:pPr>
              <w:pStyle w:val="6"/>
              <w:numPr>
                <w:ilvl w:val="4"/>
                <w:numId w:val="5"/>
              </w:numPr>
              <w:spacing w:line="400" w:lineRule="exact"/>
              <w:ind w:firstLineChars="0"/>
              <w:jc w:val="left"/>
              <w:rPr>
                <w:rFonts w:ascii="Times New Roman" w:hAnsi="Times New Roman" w:cs="Times New Roman"/>
                <w:szCs w:val="21"/>
              </w:rPr>
            </w:pPr>
            <w:r>
              <w:rPr>
                <w:rFonts w:ascii="Times New Roman" w:hAnsi="Times New Roman" w:cs="Times New Roman"/>
                <w:szCs w:val="21"/>
              </w:rPr>
              <w:t>检测报告出具日期从20</w:t>
            </w:r>
            <w:r>
              <w:rPr>
                <w:rFonts w:hint="eastAsia" w:ascii="Times New Roman" w:hAnsi="Times New Roman" w:cs="Times New Roman"/>
                <w:szCs w:val="21"/>
                <w:lang w:val="en-US" w:eastAsia="zh-CN"/>
              </w:rPr>
              <w:t>20</w:t>
            </w:r>
            <w:r>
              <w:rPr>
                <w:rFonts w:ascii="Times New Roman" w:hAnsi="Times New Roman" w:cs="Times New Roman"/>
                <w:szCs w:val="21"/>
              </w:rPr>
              <w:t>年1月1日至本项目投标截止日前；</w:t>
            </w:r>
          </w:p>
        </w:tc>
      </w:tr>
    </w:tbl>
    <w:p>
      <w:pPr>
        <w:spacing w:line="360" w:lineRule="auto"/>
        <w:rPr>
          <w:rFonts w:ascii="宋体" w:hAnsi="宋体" w:cs="宋体"/>
          <w:b/>
          <w:sz w:val="24"/>
        </w:rPr>
      </w:pPr>
      <w:r>
        <w:rPr>
          <w:rFonts w:hint="eastAsia" w:ascii="宋体" w:hAnsi="宋体" w:cs="宋体"/>
          <w:b/>
          <w:sz w:val="24"/>
        </w:rPr>
        <w:t>特别说明：</w:t>
      </w:r>
    </w:p>
    <w:p>
      <w:pPr>
        <w:adjustRightInd w:val="0"/>
        <w:spacing w:line="360" w:lineRule="auto"/>
        <w:rPr>
          <w:rFonts w:ascii="宋体" w:hAnsi="宋体" w:cs="宋体"/>
          <w:sz w:val="24"/>
        </w:rPr>
      </w:pPr>
      <w:r>
        <w:rPr>
          <w:rFonts w:hint="eastAsia" w:ascii="宋体" w:hAnsi="宋体" w:cs="宋体"/>
          <w:sz w:val="24"/>
        </w:rPr>
        <w:t>1、本配置方案中图片与文字叙述不符的，以文字叙述为准。</w:t>
      </w:r>
    </w:p>
    <w:p>
      <w:pPr>
        <w:adjustRightInd w:val="0"/>
        <w:spacing w:line="360" w:lineRule="auto"/>
        <w:rPr>
          <w:rFonts w:ascii="宋体" w:hAnsi="宋体" w:cs="宋体"/>
          <w:sz w:val="24"/>
        </w:rPr>
      </w:pPr>
      <w:r>
        <w:rPr>
          <w:rFonts w:hint="eastAsia" w:ascii="宋体" w:hAnsi="宋体" w:cs="宋体"/>
          <w:sz w:val="24"/>
        </w:rPr>
        <w:t>2、以上用材环保指标包含但不仅限于上述要求，须完全符合国家及行业相关技术标准。</w:t>
      </w:r>
    </w:p>
    <w:p>
      <w:pPr>
        <w:adjustRightInd w:val="0"/>
        <w:spacing w:line="360" w:lineRule="auto"/>
        <w:rPr>
          <w:rFonts w:ascii="宋体" w:hAnsi="宋体" w:cs="宋体"/>
          <w:kern w:val="0"/>
          <w:sz w:val="24"/>
        </w:rPr>
      </w:pPr>
      <w:r>
        <w:rPr>
          <w:rFonts w:hint="eastAsia" w:ascii="宋体" w:hAnsi="宋体" w:cs="宋体"/>
          <w:kern w:val="0"/>
          <w:sz w:val="24"/>
        </w:rPr>
        <w:t>3、制作过程须接受采购人或委托第三方</w:t>
      </w:r>
      <w:r>
        <w:rPr>
          <w:rFonts w:hint="eastAsia" w:ascii="宋体" w:hAnsi="宋体" w:cs="宋体"/>
          <w:kern w:val="0"/>
          <w:sz w:val="24"/>
          <w:lang w:val="en-US" w:eastAsia="zh-CN"/>
        </w:rPr>
        <w:t>监理单位</w:t>
      </w:r>
      <w:r>
        <w:rPr>
          <w:rFonts w:hint="eastAsia" w:ascii="宋体" w:hAnsi="宋体" w:cs="宋体"/>
          <w:kern w:val="0"/>
          <w:sz w:val="24"/>
        </w:rPr>
        <w:t>到现场对质量监督。</w:t>
      </w:r>
    </w:p>
    <w:p>
      <w:pPr>
        <w:adjustRightInd w:val="0"/>
        <w:spacing w:line="360" w:lineRule="auto"/>
        <w:rPr>
          <w:rFonts w:ascii="宋体" w:hAnsi="宋体" w:cs="宋体"/>
          <w:bCs/>
          <w:sz w:val="24"/>
        </w:rPr>
      </w:pPr>
      <w:r>
        <w:rPr>
          <w:rFonts w:hint="eastAsia" w:ascii="宋体" w:hAnsi="宋体" w:cs="宋体"/>
          <w:kern w:val="0"/>
          <w:sz w:val="24"/>
        </w:rPr>
        <w:t>4、为配合课桌椅使用学校的办学特色，所制作的课桌椅颜色在生产前由使用学校确定，中标人必须无条件予以配合。</w:t>
      </w:r>
    </w:p>
    <w:p>
      <w:pPr>
        <w:adjustRightInd w:val="0"/>
        <w:spacing w:line="360" w:lineRule="auto"/>
        <w:rPr>
          <w:rFonts w:ascii="宋体" w:hAnsi="宋体" w:cs="宋体"/>
          <w:sz w:val="24"/>
        </w:rPr>
      </w:pPr>
      <w:r>
        <w:rPr>
          <w:rFonts w:hint="eastAsia" w:ascii="宋体" w:hAnsi="宋体" w:cs="宋体"/>
          <w:kern w:val="0"/>
          <w:sz w:val="24"/>
        </w:rPr>
        <w:t>5、</w:t>
      </w:r>
      <w:r>
        <w:rPr>
          <w:rFonts w:hint="eastAsia" w:ascii="宋体" w:hAnsi="宋体" w:cs="宋体"/>
          <w:sz w:val="24"/>
        </w:rPr>
        <w:t>参与投标的投标人须提供生产进度计划表。</w:t>
      </w:r>
    </w:p>
    <w:p>
      <w:pPr>
        <w:adjustRightInd w:val="0"/>
        <w:spacing w:line="360" w:lineRule="auto"/>
        <w:rPr>
          <w:rFonts w:ascii="宋体" w:hAnsi="宋体" w:cs="宋体"/>
          <w:sz w:val="24"/>
        </w:rPr>
      </w:pPr>
      <w:r>
        <w:rPr>
          <w:rFonts w:hint="eastAsia" w:ascii="宋体" w:hAnsi="宋体" w:cs="宋体"/>
          <w:sz w:val="24"/>
        </w:rPr>
        <w:t>6、由于新建学校交付时间不能确认，中标人须自行安排堆放场地。</w:t>
      </w:r>
    </w:p>
    <w:p>
      <w:pPr>
        <w:adjustRightInd w:val="0"/>
        <w:spacing w:line="360" w:lineRule="auto"/>
        <w:rPr>
          <w:rFonts w:ascii="宋体" w:hAnsi="宋体" w:cs="宋体"/>
          <w:bCs/>
          <w:sz w:val="24"/>
        </w:rPr>
      </w:pPr>
      <w:r>
        <w:rPr>
          <w:rFonts w:hint="eastAsia" w:ascii="宋体" w:hAnsi="宋体" w:cs="宋体"/>
          <w:sz w:val="24"/>
        </w:rPr>
        <w:t>7、由于新建学校周边道路和施工环境不够完善，请投标人报价时适当考虑增加交通成本和搬运人工成本。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84426"/>
    <w:multiLevelType w:val="multilevel"/>
    <w:tmpl w:val="0F684426"/>
    <w:lvl w:ilvl="0" w:tentative="0">
      <w:start w:val="1"/>
      <w:numFmt w:val="decimal"/>
      <w:lvlText w:val="%1."/>
      <w:lvlJc w:val="left"/>
      <w:pPr>
        <w:tabs>
          <w:tab w:val="left" w:pos="840"/>
        </w:tabs>
        <w:ind w:left="840" w:hanging="420"/>
      </w:pPr>
      <w:rPr>
        <w:color w:val="auto"/>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18925ABF"/>
    <w:multiLevelType w:val="multilevel"/>
    <w:tmpl w:val="18925ABF"/>
    <w:lvl w:ilvl="0" w:tentative="0">
      <w:start w:val="1"/>
      <w:numFmt w:val="chineseCountingThousand"/>
      <w:lvlText w:val="(%1)"/>
      <w:lvlJc w:val="left"/>
      <w:pPr>
        <w:tabs>
          <w:tab w:val="left" w:pos="420"/>
        </w:tabs>
        <w:ind w:left="420" w:hanging="420"/>
      </w:pPr>
      <w:rPr>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color w:val="auto"/>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32B7ADE"/>
    <w:multiLevelType w:val="multilevel"/>
    <w:tmpl w:val="432B7ADE"/>
    <w:lvl w:ilvl="0" w:tentative="0">
      <w:start w:val="1"/>
      <w:numFmt w:val="decimal"/>
      <w:lvlText w:val="%1."/>
      <w:lvlJc w:val="left"/>
      <w:pPr>
        <w:tabs>
          <w:tab w:val="left" w:pos="840"/>
        </w:tabs>
        <w:ind w:left="840" w:hanging="420"/>
      </w:pPr>
      <w:rPr>
        <w:color w:val="auto"/>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46E45DE3"/>
    <w:multiLevelType w:val="multilevel"/>
    <w:tmpl w:val="46E45DE3"/>
    <w:lvl w:ilvl="0" w:tentative="0">
      <w:start w:val="1"/>
      <w:numFmt w:val="decimal"/>
      <w:lvlText w:val="%1"/>
      <w:lvlJc w:val="left"/>
      <w:pPr>
        <w:tabs>
          <w:tab w:val="left" w:pos="992"/>
        </w:tabs>
        <w:ind w:left="992" w:hanging="992"/>
      </w:pPr>
      <w:rPr>
        <w:rFonts w:hint="eastAsia"/>
      </w:rPr>
    </w:lvl>
    <w:lvl w:ilvl="1" w:tentative="0">
      <w:start w:val="1"/>
      <w:numFmt w:val="decimal"/>
      <w:lvlText w:val="%1.%2"/>
      <w:lvlJc w:val="left"/>
      <w:pPr>
        <w:tabs>
          <w:tab w:val="left" w:pos="992"/>
        </w:tabs>
        <w:ind w:left="992" w:hanging="992"/>
      </w:pPr>
      <w:rPr>
        <w:rFonts w:hint="eastAsia"/>
      </w:rPr>
    </w:lvl>
    <w:lvl w:ilvl="2" w:tentative="0">
      <w:start w:val="1"/>
      <w:numFmt w:val="decimal"/>
      <w:lvlText w:val="%1.%2.%3"/>
      <w:lvlJc w:val="left"/>
      <w:pPr>
        <w:tabs>
          <w:tab w:val="left" w:pos="992"/>
        </w:tabs>
        <w:ind w:left="992" w:hanging="992"/>
      </w:pPr>
      <w:rPr>
        <w:rFonts w:hint="eastAsia"/>
        <w:sz w:val="21"/>
        <w:szCs w:val="21"/>
      </w:rPr>
    </w:lvl>
    <w:lvl w:ilvl="3" w:tentative="0">
      <w:start w:val="1"/>
      <w:numFmt w:val="decimal"/>
      <w:lvlText w:val="%1.%2.%3.%4"/>
      <w:lvlJc w:val="left"/>
      <w:pPr>
        <w:tabs>
          <w:tab w:val="left" w:pos="992"/>
        </w:tabs>
        <w:ind w:left="992" w:hanging="992"/>
      </w:pPr>
      <w:rPr>
        <w:rFonts w:hint="eastAsia"/>
      </w:rPr>
    </w:lvl>
    <w:lvl w:ilvl="4" w:tentative="0">
      <w:start w:val="1"/>
      <w:numFmt w:val="decimal"/>
      <w:lvlText w:val="%1.%2.%3.%4.%5"/>
      <w:lvlJc w:val="left"/>
      <w:pPr>
        <w:tabs>
          <w:tab w:val="left" w:pos="992"/>
        </w:tabs>
        <w:ind w:left="992" w:hanging="992"/>
      </w:pPr>
      <w:rPr>
        <w:rFonts w:hint="eastAsia"/>
        <w:sz w:val="21"/>
        <w:szCs w:val="21"/>
      </w:rPr>
    </w:lvl>
    <w:lvl w:ilvl="5" w:tentative="0">
      <w:start w:val="1"/>
      <w:numFmt w:val="decimal"/>
      <w:lvlText w:val="%1.%2.%3.%4.%5.%6"/>
      <w:lvlJc w:val="left"/>
      <w:pPr>
        <w:tabs>
          <w:tab w:val="left" w:pos="992"/>
        </w:tabs>
        <w:ind w:left="992" w:hanging="992"/>
      </w:pPr>
      <w:rPr>
        <w:rFonts w:hint="eastAsia"/>
      </w:rPr>
    </w:lvl>
    <w:lvl w:ilvl="6" w:tentative="0">
      <w:start w:val="1"/>
      <w:numFmt w:val="decimal"/>
      <w:lvlText w:val="%1.%2.%3.%4.%5.%6.%7"/>
      <w:lvlJc w:val="left"/>
      <w:pPr>
        <w:tabs>
          <w:tab w:val="left" w:pos="992"/>
        </w:tabs>
        <w:ind w:left="992" w:hanging="992"/>
      </w:pPr>
      <w:rPr>
        <w:rFonts w:hint="eastAsia"/>
      </w:rPr>
    </w:lvl>
    <w:lvl w:ilvl="7" w:tentative="0">
      <w:start w:val="1"/>
      <w:numFmt w:val="decimal"/>
      <w:lvlText w:val="%1.%2.%3.%4.%5.%6.%7.%8"/>
      <w:lvlJc w:val="left"/>
      <w:pPr>
        <w:tabs>
          <w:tab w:val="left" w:pos="992"/>
        </w:tabs>
        <w:ind w:left="992" w:hanging="992"/>
      </w:pPr>
      <w:rPr>
        <w:rFonts w:hint="eastAsia"/>
      </w:rPr>
    </w:lvl>
    <w:lvl w:ilvl="8" w:tentative="0">
      <w:start w:val="1"/>
      <w:numFmt w:val="decimal"/>
      <w:lvlText w:val="%1.%2.%3.%4.%5.%6.%7.%8.%9"/>
      <w:lvlJc w:val="left"/>
      <w:pPr>
        <w:tabs>
          <w:tab w:val="left" w:pos="992"/>
        </w:tabs>
        <w:ind w:left="992" w:hanging="992"/>
      </w:pPr>
      <w:rPr>
        <w:rFonts w:hint="eastAsia"/>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A20"/>
    <w:rsid w:val="00195422"/>
    <w:rsid w:val="00243A0D"/>
    <w:rsid w:val="004A7677"/>
    <w:rsid w:val="00503A20"/>
    <w:rsid w:val="00510358"/>
    <w:rsid w:val="007A7FD7"/>
    <w:rsid w:val="00825974"/>
    <w:rsid w:val="00947DD7"/>
    <w:rsid w:val="009E32B9"/>
    <w:rsid w:val="00B75AF4"/>
    <w:rsid w:val="00C60FB3"/>
    <w:rsid w:val="00CA3F3F"/>
    <w:rsid w:val="00D70B3F"/>
    <w:rsid w:val="00F84CB4"/>
    <w:rsid w:val="085E7AE4"/>
    <w:rsid w:val="0B2D4982"/>
    <w:rsid w:val="0C370280"/>
    <w:rsid w:val="0FBF7375"/>
    <w:rsid w:val="0FD57709"/>
    <w:rsid w:val="10575132"/>
    <w:rsid w:val="10D725B0"/>
    <w:rsid w:val="15131CB4"/>
    <w:rsid w:val="17AD78A1"/>
    <w:rsid w:val="1CE74326"/>
    <w:rsid w:val="22E5075C"/>
    <w:rsid w:val="23AE0EAC"/>
    <w:rsid w:val="24AF5283"/>
    <w:rsid w:val="282C6458"/>
    <w:rsid w:val="2CA616F3"/>
    <w:rsid w:val="2F5A3E19"/>
    <w:rsid w:val="3B103076"/>
    <w:rsid w:val="45E226D2"/>
    <w:rsid w:val="46D55953"/>
    <w:rsid w:val="4E3E1919"/>
    <w:rsid w:val="4F543AE0"/>
    <w:rsid w:val="51BA6E4E"/>
    <w:rsid w:val="5BE62C03"/>
    <w:rsid w:val="5D41726E"/>
    <w:rsid w:val="600016DD"/>
    <w:rsid w:val="62CA002A"/>
    <w:rsid w:val="64385EAB"/>
    <w:rsid w:val="67F60AA3"/>
    <w:rsid w:val="6C6860E7"/>
    <w:rsid w:val="6C79039B"/>
    <w:rsid w:val="756678A0"/>
    <w:rsid w:val="7D006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10</Pages>
  <Words>965</Words>
  <Characters>5501</Characters>
  <Lines>45</Lines>
  <Paragraphs>12</Paragraphs>
  <TotalTime>11</TotalTime>
  <ScaleCrop>false</ScaleCrop>
  <LinksUpToDate>false</LinksUpToDate>
  <CharactersWithSpaces>6454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2021-05-21T03:43:00Z</dcterms:created>
  <dc:creator>hgh</dc:creator>
  <cp:lastModifiedBy>hgh</cp:lastModifiedBy>
  <cp:lastPrinted>2023-06-07T06:54:00Z</cp:lastPrinted>
  <dcterms:modified xsi:type="dcterms:W3CDTF">2023-06-07T07:12:38Z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B0DCA590DCFC418E93C8457AD0DAE90F</vt:lpwstr>
  </property>
</Properties>
</file>