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2023年深圳市龙岗区城市管理和综合执法局随机抽查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清单</w:t>
      </w:r>
    </w:p>
    <w:bookmarkEnd w:id="0"/>
    <w:tbl>
      <w:tblPr>
        <w:tblStyle w:val="4"/>
        <w:tblpPr w:leftFromText="180" w:rightFromText="180" w:vertAnchor="text" w:horzAnchor="page" w:tblpX="951" w:tblpY="809"/>
        <w:tblOverlap w:val="never"/>
        <w:tblW w:w="15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815"/>
        <w:gridCol w:w="3240"/>
        <w:gridCol w:w="1110"/>
        <w:gridCol w:w="930"/>
        <w:gridCol w:w="1395"/>
        <w:gridCol w:w="1620"/>
        <w:gridCol w:w="924"/>
        <w:gridCol w:w="1470"/>
        <w:gridCol w:w="1376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8"/>
                <w:szCs w:val="28"/>
                <w:lang w:val="en-US" w:eastAsia="zh-CN" w:bidi="ar"/>
              </w:rPr>
              <w:t>随机抽查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8"/>
                <w:szCs w:val="28"/>
                <w:lang w:val="en-US" w:eastAsia="zh-CN" w:bidi="ar"/>
              </w:rPr>
              <w:t>事项名称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抽查内容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抽查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具体内容分类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是否为部门联合事项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检查主体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（市/区/所）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default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方式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依据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检查比例及频次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"/>
              </w:rPr>
              <w:t>责任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</w:trPr>
        <w:tc>
          <w:tcPr>
            <w:tcW w:w="4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911"/>
              </w:tabs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对经批准设置的户外广告未保持完整、美观、安全，对陈旧、残缺、脱落、易倒塌的户外广告，设置单位未及时修复或者拆除的检查。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（一）对经批准设置的户外广告完整、美观、安全的检查</w:t>
            </w:r>
            <w:r>
              <w:rPr>
                <w:rFonts w:hint="eastAsia" w:ascii="仿宋_GB2312" w:hAnsi="仿宋" w:cs="Times New Roman"/>
                <w:color w:val="auto"/>
                <w:sz w:val="24"/>
                <w:szCs w:val="24"/>
                <w:shd w:val="clear" w:color="auto" w:fill="auto"/>
                <w:lang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（二）对陈旧、残缺、脱落、易倒塌的户外广告修复或者拆除情况的检查。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经批准设置的户外广告企业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A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实地检查/书面检查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instrText xml:space="preserve"> HYPERLINK "http://www.gd.gov.cn/zwgk/wjk/zcfgk/content/post_2532228.html" \t "/home/cg0111146/文档\\x/_blank" </w:instrTex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《深圳经济特区市容和环境卫生管理条例》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第三十四条第二、三款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比例：抽查比例不低于3%；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频次：每年至少一次。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法制科、执法事务(监察）科、管理科、各街道办事处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1" w:hRule="exact"/>
        </w:trPr>
        <w:tc>
          <w:tcPr>
            <w:tcW w:w="4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911"/>
              </w:tabs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对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餐厨垃圾收运处理企业收集、运输和处理餐厨垃圾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行为的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检查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bidi="ar"/>
              </w:rPr>
              <w:t>（一）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是否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bidi="ar"/>
              </w:rPr>
              <w:t>将经营权转包给其他企业或者个人经营的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检查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bidi="ar"/>
              </w:rPr>
              <w:t>（二）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是否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bidi="ar"/>
              </w:rPr>
              <w:t>擅自转让、质押经营权的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检查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（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三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）实行完全密闭化运输，在运输过程中不得滴漏、撒落，在转运期间不得裸露存放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的检查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（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四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）设置并定期检测餐厨垃圾计量系统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的检查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（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五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）健全安全管理制度，配备安全设施，制定安全应急预案，确保处理设施安全运行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的检查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（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六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bidi="ar"/>
              </w:rPr>
              <w:t>）维护处置场所的市容环境卫生，在处理过程中应当采取有效的污染防治措施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的检查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eastAsia="zh-CN" w:bidi="ar"/>
              </w:rPr>
              <w:t>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餐厨垃圾收运、处理企业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center"/>
              <w:textAlignment w:val="center"/>
              <w:outlineLvl w:val="9"/>
              <w:rPr>
                <w:rFonts w:hint="default" w:ascii="仿宋_GB2312" w:hAnsi="仿宋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A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center"/>
              <w:textAlignment w:val="center"/>
              <w:outlineLvl w:val="9"/>
              <w:rPr>
                <w:rFonts w:hint="eastAsia" w:ascii="仿宋_GB2312" w:hAnsi="仿宋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实地检查/书面检查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《深圳市餐厨垃圾管理办法》第14、17、18条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比例：抽查比例不低于3%；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频次：每年至少一次。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911"/>
              </w:tabs>
              <w:spacing w:beforeLines="0" w:afterLines="0" w:line="560" w:lineRule="exact"/>
              <w:jc w:val="both"/>
              <w:textAlignment w:val="center"/>
              <w:outlineLvl w:val="9"/>
              <w:rPr>
                <w:rFonts w:hint="eastAsia" w:ascii="仿宋_GB2312" w:hAnsi="仿宋" w:eastAsia="仿宋_GB2312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 w:bidi="ar"/>
              </w:rPr>
              <w:t>法制科、</w:t>
            </w:r>
            <w:r>
              <w:rPr>
                <w:rFonts w:hint="eastAsia" w:ascii="仿宋_GB2312" w:hAnsi="仿宋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执法事务(监察）科、区生活垃圾分类管理事务中心、各街道办事处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330" w:type="dxa"/>
            <w:gridSpan w:val="11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911"/>
              </w:tabs>
              <w:spacing w:beforeLines="0" w:afterLines="0" w:line="560" w:lineRule="exact"/>
              <w:jc w:val="left"/>
              <w:textAlignment w:val="center"/>
              <w:outlineLvl w:val="9"/>
              <w:rPr>
                <w:rFonts w:hint="eastAsia" w:ascii="仿宋_GB2312" w:hAnsi="仿宋" w:eastAsia="仿宋_GB2312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注</w:t>
            </w:r>
            <w:r>
              <w:rPr>
                <w:rFonts w:hint="eastAsia" w:ascii="仿宋_GB2312" w:hAnsi="仿宋" w:eastAsia="仿宋_GB2312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：具体内容分类是指将最小单位抽查事项进行逐一区分，一般检查事项写</w:t>
            </w:r>
            <w:r>
              <w:rPr>
                <w:rFonts w:hint="eastAsia" w:ascii="仿宋_GB2312" w:hAnsi="仿宋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“</w:t>
            </w:r>
            <w:r>
              <w:rPr>
                <w:rFonts w:hint="eastAsia" w:ascii="仿宋_GB2312" w:hAnsi="仿宋" w:eastAsia="仿宋_GB2312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A</w:t>
            </w:r>
            <w:r>
              <w:rPr>
                <w:rFonts w:hint="eastAsia" w:ascii="仿宋_GB2312" w:hAnsi="仿宋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”</w:t>
            </w:r>
            <w:r>
              <w:rPr>
                <w:rFonts w:hint="eastAsia" w:ascii="仿宋_GB2312" w:hAnsi="仿宋" w:eastAsia="仿宋_GB2312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，重点检查事项写B。具体内容分类可按最小单位分类，也可以按最大单位的</w:t>
            </w:r>
            <w:r>
              <w:rPr>
                <w:rFonts w:hint="eastAsia" w:ascii="仿宋_GB2312" w:hAnsi="仿宋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“</w:t>
            </w:r>
            <w:r>
              <w:rPr>
                <w:rFonts w:hint="eastAsia" w:ascii="仿宋_GB2312" w:hAnsi="仿宋" w:eastAsia="仿宋_GB2312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抽查类别</w:t>
            </w:r>
            <w:r>
              <w:rPr>
                <w:rFonts w:hint="eastAsia" w:ascii="仿宋_GB2312" w:hAnsi="仿宋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”</w:t>
            </w:r>
            <w:r>
              <w:rPr>
                <w:rFonts w:hint="eastAsia" w:ascii="仿宋_GB2312" w:hAnsi="仿宋" w:eastAsia="仿宋_GB2312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统一标注为一类</w:t>
            </w:r>
            <w:r>
              <w:rPr>
                <w:rFonts w:hint="eastAsia" w:ascii="仿宋_GB2312" w:hAnsi="仿宋" w:cs="Times New Roman"/>
                <w:i w:val="0"/>
                <w:strike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。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DhkMzMzMDgzZmE3MTA3OGYwMWVkODlhNzQwMDUifQ=="/>
  </w:docVars>
  <w:rsids>
    <w:rsidRoot w:val="44C476CF"/>
    <w:rsid w:val="44C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5"/>
      <w:ind w:left="227"/>
    </w:pPr>
    <w:rPr>
      <w:rFonts w:ascii="仿宋_GB2312" w:hAnsi="仿宋_GB2312" w:eastAsia="仿宋_GB2312" w:cs="仿宋_GB2312"/>
      <w:sz w:val="28"/>
      <w:szCs w:val="28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2023-06-15T09:28:00Z</dcterms:created>
  <dc:creator>法律顾问</dc:creator>
  <cp:lastModifiedBy>法律顾问</cp:lastModifiedBy>
  <cp:lastPrinted>2023-06-15T09:31:32Z</cp:lastPrinted>
  <dcterms:modified xsi:type="dcterms:W3CDTF">2023-06-15T09:34:53Z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021A2AB2911D4A89B83697330B9AC2BE_11</vt:lpwstr>
  </property>
</Properties>
</file>