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龙岗区教育局2023-2024学年公办学校（幼儿园）</w:t>
      </w:r>
    </w:p>
    <w:p>
      <w:pPr>
        <w:spacing w:line="56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大宗食材批量集中采购咨询服务项目招标公告</w:t>
      </w:r>
    </w:p>
    <w:p>
      <w:pPr>
        <w:pStyle w:val="2"/>
        <w:ind w:firstLine="0" w:firstLineChars="0"/>
        <w:jc w:val="center"/>
        <w:rPr>
          <w:rFonts w:hint="eastAsia" w:eastAsia="方正小标宋简体"/>
          <w:sz w:val="32"/>
          <w:szCs w:val="32"/>
          <w:lang w:eastAsia="zh-CN"/>
        </w:rPr>
      </w:pPr>
      <w:r>
        <w:rPr>
          <w:rFonts w:hint="eastAsia" w:ascii="方正小标宋简体" w:hAnsi="方正小标宋简体" w:eastAsia="方正小标宋简体" w:cs="方正小标宋简体"/>
          <w:sz w:val="32"/>
          <w:szCs w:val="32"/>
          <w:highlight w:val="none"/>
          <w:lang w:eastAsia="zh-CN"/>
        </w:rPr>
        <w:t>（</w:t>
      </w:r>
      <w:r>
        <w:rPr>
          <w:rFonts w:hint="eastAsia" w:ascii="方正小标宋简体" w:hAnsi="方正小标宋简体" w:eastAsia="方正小标宋简体" w:cs="方正小标宋简体"/>
          <w:sz w:val="32"/>
          <w:szCs w:val="32"/>
          <w:highlight w:val="none"/>
          <w:lang w:val="en-US" w:eastAsia="zh-CN"/>
        </w:rPr>
        <w:t>三次招标</w:t>
      </w:r>
      <w:r>
        <w:rPr>
          <w:rFonts w:hint="eastAsia" w:ascii="方正小标宋简体" w:hAnsi="方正小标宋简体" w:eastAsia="方正小标宋简体" w:cs="方正小标宋简体"/>
          <w:sz w:val="32"/>
          <w:szCs w:val="32"/>
          <w:highlight w:val="none"/>
          <w:lang w:eastAsia="zh-CN"/>
        </w:rPr>
        <w:t>）</w:t>
      </w:r>
    </w:p>
    <w:p>
      <w:pPr>
        <w:spacing w:line="560" w:lineRule="exact"/>
        <w:rPr>
          <w:rFonts w:hint="eastAsia" w:ascii="仿宋_GB2312" w:hAnsi="仿宋_GB2312" w:eastAsia="仿宋_GB2312" w:cs="仿宋_GB2312"/>
          <w:color w:val="0000FF"/>
          <w:sz w:val="30"/>
          <w:szCs w:val="30"/>
          <w:highlight w:val="none"/>
        </w:rPr>
      </w:pPr>
      <w:r>
        <w:rPr>
          <w:rFonts w:hint="eastAsia" w:ascii="仿宋_GB2312" w:hAnsi="仿宋_GB2312" w:eastAsia="仿宋_GB2312" w:cs="仿宋_GB2312"/>
          <w:sz w:val="30"/>
          <w:szCs w:val="30"/>
          <w:highlight w:val="none"/>
        </w:rPr>
        <w:t>各投标人：</w:t>
      </w:r>
    </w:p>
    <w:p>
      <w:pPr>
        <w:spacing w:line="56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依据《中华人民共和国政府采购法》、《中华人民共和国政府采购法实施条例》、《深圳经济特区政府采购条例》、《深圳经济特区政府采购条例实施细则》等相关规定，因业务需要，龙岗区教育局就2023-2024学年公办学校及幼儿园大宗食材批量集中采购项目聘请咨询服务，该项目通过自行采购方式进行公开招标。现就本项目的有关采购招标事项进行公告。</w:t>
      </w:r>
    </w:p>
    <w:p>
      <w:pPr>
        <w:spacing w:line="560" w:lineRule="exact"/>
        <w:ind w:left="0" w:leftChars="0" w:firstLine="600" w:firstLineChars="200"/>
        <w:jc w:val="left"/>
        <w:rPr>
          <w:rFonts w:ascii="仿宋" w:hAnsi="仿宋" w:eastAsia="仿宋" w:cs="仿宋"/>
          <w:bCs/>
          <w:sz w:val="30"/>
          <w:szCs w:val="30"/>
          <w:highlight w:val="none"/>
        </w:rPr>
      </w:pPr>
      <w:r>
        <w:rPr>
          <w:rFonts w:hint="eastAsia" w:ascii="仿宋_GB2312" w:hAnsi="仿宋_GB2312" w:eastAsia="仿宋_GB2312" w:cs="仿宋_GB2312"/>
          <w:sz w:val="30"/>
          <w:szCs w:val="30"/>
          <w:highlight w:val="none"/>
        </w:rPr>
        <w:t>请有意向的投标人按照本项目的《采购需求书》（附件1）有关要求编制投标文件，按</w:t>
      </w:r>
      <w:r>
        <w:rPr>
          <w:rFonts w:hint="eastAsia" w:ascii="仿宋_GB2312" w:hAnsi="仿宋_GB2312" w:eastAsia="仿宋_GB2312" w:cs="仿宋_GB2312"/>
          <w:bCs/>
          <w:sz w:val="30"/>
          <w:szCs w:val="30"/>
          <w:highlight w:val="none"/>
        </w:rPr>
        <w:t>《供应商应标需提交的材料》（附件2）要求于2023年</w:t>
      </w:r>
      <w:r>
        <w:rPr>
          <w:rFonts w:hint="eastAsia" w:ascii="仿宋_GB2312" w:hAnsi="仿宋_GB2312" w:eastAsia="仿宋_GB2312" w:cs="仿宋_GB2312"/>
          <w:bCs/>
          <w:sz w:val="30"/>
          <w:szCs w:val="30"/>
          <w:highlight w:val="none"/>
          <w:lang w:val="en-US" w:eastAsia="zh-CN"/>
        </w:rPr>
        <w:t>6</w:t>
      </w:r>
      <w:r>
        <w:rPr>
          <w:rFonts w:hint="eastAsia" w:ascii="仿宋_GB2312" w:hAnsi="仿宋_GB2312" w:eastAsia="仿宋_GB2312" w:cs="仿宋_GB2312"/>
          <w:bCs/>
          <w:sz w:val="30"/>
          <w:szCs w:val="30"/>
          <w:highlight w:val="none"/>
        </w:rPr>
        <w:t>月</w:t>
      </w:r>
      <w:r>
        <w:rPr>
          <w:rFonts w:hint="eastAsia" w:ascii="仿宋_GB2312" w:hAnsi="仿宋_GB2312" w:eastAsia="仿宋_GB2312" w:cs="仿宋_GB2312"/>
          <w:bCs/>
          <w:sz w:val="30"/>
          <w:szCs w:val="30"/>
          <w:highlight w:val="none"/>
          <w:lang w:val="en-US" w:eastAsia="zh-CN"/>
        </w:rPr>
        <w:t>5</w:t>
      </w:r>
      <w:r>
        <w:rPr>
          <w:rFonts w:hint="eastAsia" w:ascii="仿宋_GB2312" w:hAnsi="仿宋_GB2312" w:eastAsia="仿宋_GB2312" w:cs="仿宋_GB2312"/>
          <w:bCs/>
          <w:sz w:val="30"/>
          <w:szCs w:val="30"/>
          <w:highlight w:val="none"/>
        </w:rPr>
        <w:t>日14</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rPr>
        <w:t>10前到深圳市龙岗区教育局（307办公室），递交投标文件和有关材料（含《政府采购投标及履约承诺函》（附件3））</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lang w:val="en-US" w:eastAsia="zh-CN"/>
        </w:rPr>
        <w:t>如条件允许，请</w:t>
      </w:r>
      <w:r>
        <w:rPr>
          <w:rFonts w:hint="eastAsia" w:ascii="仿宋_GB2312" w:hAnsi="仿宋_GB2312" w:eastAsia="仿宋_GB2312" w:cs="仿宋_GB2312"/>
          <w:bCs/>
          <w:sz w:val="30"/>
          <w:szCs w:val="30"/>
          <w:highlight w:val="none"/>
        </w:rPr>
        <w:t>将投标文件扫描成PDF文档</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lang w:val="en-US" w:eastAsia="zh-CN"/>
        </w:rPr>
        <w:t>标注好公司名称后打包</w:t>
      </w:r>
      <w:r>
        <w:rPr>
          <w:rFonts w:hint="eastAsia" w:ascii="仿宋_GB2312" w:hAnsi="仿宋_GB2312" w:eastAsia="仿宋_GB2312" w:cs="仿宋_GB2312"/>
          <w:bCs/>
          <w:sz w:val="30"/>
          <w:szCs w:val="30"/>
          <w:highlight w:val="none"/>
        </w:rPr>
        <w:t>发送至邮箱</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lang w:val="en-US" w:eastAsia="zh-CN"/>
        </w:rPr>
        <w:t>不作为投标硬性要求</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rPr>
        <w:t>lgjyjjyxxzx@lg.gov.cn</w:t>
      </w:r>
    </w:p>
    <w:p>
      <w:pPr>
        <w:spacing w:line="560" w:lineRule="exact"/>
        <w:ind w:left="1380" w:leftChars="0" w:hanging="1380" w:hangingChars="460"/>
        <w:jc w:val="left"/>
        <w:rPr>
          <w:rFonts w:hint="eastAsia" w:ascii="仿宋_GB2312" w:hAnsi="仿宋_GB2312" w:eastAsia="仿宋_GB2312" w:cs="仿宋_GB2312"/>
          <w:bCs/>
          <w:sz w:val="30"/>
          <w:szCs w:val="30"/>
          <w:highlight w:val="none"/>
        </w:rPr>
      </w:pPr>
    </w:p>
    <w:p>
      <w:pPr>
        <w:spacing w:line="560" w:lineRule="exact"/>
        <w:ind w:left="1380" w:leftChars="0" w:hanging="1380" w:hangingChars="460"/>
        <w:jc w:val="left"/>
        <w:rPr>
          <w:rFonts w:hint="eastAsia"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附件：</w:t>
      </w:r>
      <w:r>
        <w:rPr>
          <w:rFonts w:hint="eastAsia" w:ascii="仿宋_GB2312" w:hAnsi="仿宋_GB2312" w:eastAsia="仿宋_GB2312" w:cs="仿宋_GB2312"/>
          <w:bCs/>
          <w:sz w:val="30"/>
          <w:szCs w:val="30"/>
          <w:highlight w:val="none"/>
          <w:lang w:val="en-US" w:eastAsia="zh-CN"/>
        </w:rPr>
        <w:t xml:space="preserve">  </w:t>
      </w:r>
      <w:r>
        <w:rPr>
          <w:rFonts w:hint="eastAsia" w:ascii="仿宋_GB2312" w:hAnsi="仿宋_GB2312" w:eastAsia="仿宋_GB2312" w:cs="仿宋_GB2312"/>
          <w:bCs/>
          <w:sz w:val="30"/>
          <w:szCs w:val="30"/>
          <w:highlight w:val="none"/>
        </w:rPr>
        <w:t>1.龙岗区教育局2023-2024学年公办学校（幼儿园）大宗食材批量集中采购咨询服务项目采购需求书</w:t>
      </w:r>
    </w:p>
    <w:p>
      <w:pPr>
        <w:spacing w:line="560" w:lineRule="exact"/>
        <w:ind w:left="204" w:leftChars="97" w:firstLine="900" w:firstLineChars="300"/>
        <w:jc w:val="left"/>
        <w:rPr>
          <w:rFonts w:hint="eastAsia"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lang w:val="en-US" w:eastAsia="zh-CN"/>
        </w:rPr>
        <w:t>2.</w:t>
      </w:r>
      <w:r>
        <w:rPr>
          <w:rFonts w:hint="eastAsia" w:ascii="仿宋_GB2312" w:hAnsi="仿宋_GB2312" w:eastAsia="仿宋_GB2312" w:cs="仿宋_GB2312"/>
          <w:bCs/>
          <w:sz w:val="30"/>
          <w:szCs w:val="30"/>
          <w:highlight w:val="none"/>
        </w:rPr>
        <w:t>供应商应标需提交的材料</w:t>
      </w:r>
    </w:p>
    <w:p>
      <w:pPr>
        <w:spacing w:line="560" w:lineRule="exact"/>
        <w:ind w:left="204" w:leftChars="97" w:right="0" w:firstLine="900" w:firstLineChars="300"/>
        <w:jc w:val="left"/>
        <w:rPr>
          <w:rFonts w:hint="eastAsia"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3.政府采购投标及履约承诺函</w:t>
      </w:r>
    </w:p>
    <w:p>
      <w:pPr>
        <w:spacing w:line="560" w:lineRule="exact"/>
        <w:jc w:val="center"/>
        <w:rPr>
          <w:rFonts w:hint="eastAsia"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 xml:space="preserve">                          </w:t>
      </w:r>
      <w:r>
        <w:rPr>
          <w:rFonts w:hint="eastAsia" w:ascii="仿宋_GB2312" w:hAnsi="仿宋_GB2312" w:eastAsia="仿宋_GB2312" w:cs="仿宋_GB2312"/>
          <w:bCs/>
          <w:sz w:val="30"/>
          <w:szCs w:val="30"/>
          <w:highlight w:val="none"/>
          <w:lang w:val="en-US" w:eastAsia="zh-CN"/>
        </w:rPr>
        <w:t xml:space="preserve">          </w:t>
      </w:r>
      <w:r>
        <w:rPr>
          <w:rFonts w:hint="eastAsia" w:ascii="仿宋_GB2312" w:hAnsi="仿宋_GB2312" w:eastAsia="仿宋_GB2312" w:cs="仿宋_GB2312"/>
          <w:bCs/>
          <w:sz w:val="30"/>
          <w:szCs w:val="30"/>
          <w:highlight w:val="none"/>
        </w:rPr>
        <w:t>龙岗区教育局</w:t>
      </w:r>
    </w:p>
    <w:p>
      <w:pPr>
        <w:spacing w:line="560" w:lineRule="exact"/>
        <w:jc w:val="center"/>
        <w:rPr>
          <w:rFonts w:hint="eastAsia"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 xml:space="preserve">                          </w:t>
      </w:r>
      <w:r>
        <w:rPr>
          <w:rFonts w:hint="eastAsia" w:ascii="仿宋_GB2312" w:hAnsi="仿宋_GB2312" w:eastAsia="仿宋_GB2312" w:cs="仿宋_GB2312"/>
          <w:bCs/>
          <w:sz w:val="30"/>
          <w:szCs w:val="30"/>
          <w:highlight w:val="none"/>
          <w:lang w:val="en-US" w:eastAsia="zh-CN"/>
        </w:rPr>
        <w:t xml:space="preserve">           </w:t>
      </w:r>
      <w:r>
        <w:rPr>
          <w:rFonts w:hint="eastAsia" w:ascii="仿宋_GB2312" w:hAnsi="仿宋_GB2312" w:eastAsia="仿宋_GB2312" w:cs="仿宋_GB2312"/>
          <w:bCs/>
          <w:sz w:val="30"/>
          <w:szCs w:val="30"/>
          <w:highlight w:val="none"/>
        </w:rPr>
        <w:t>2023年</w:t>
      </w:r>
      <w:r>
        <w:rPr>
          <w:rFonts w:hint="eastAsia" w:ascii="仿宋_GB2312" w:hAnsi="仿宋_GB2312" w:eastAsia="仿宋_GB2312" w:cs="仿宋_GB2312"/>
          <w:bCs/>
          <w:sz w:val="30"/>
          <w:szCs w:val="30"/>
          <w:highlight w:val="none"/>
          <w:lang w:val="en-US" w:eastAsia="zh-CN"/>
        </w:rPr>
        <w:t>6</w:t>
      </w:r>
      <w:r>
        <w:rPr>
          <w:rFonts w:hint="eastAsia" w:ascii="仿宋_GB2312" w:hAnsi="仿宋_GB2312" w:eastAsia="仿宋_GB2312" w:cs="仿宋_GB2312"/>
          <w:bCs/>
          <w:sz w:val="30"/>
          <w:szCs w:val="30"/>
          <w:highlight w:val="none"/>
        </w:rPr>
        <w:t>月</w:t>
      </w:r>
      <w:r>
        <w:rPr>
          <w:rFonts w:hint="eastAsia" w:ascii="仿宋_GB2312" w:hAnsi="仿宋_GB2312" w:eastAsia="仿宋_GB2312" w:cs="仿宋_GB2312"/>
          <w:bCs/>
          <w:sz w:val="30"/>
          <w:szCs w:val="30"/>
          <w:highlight w:val="none"/>
          <w:lang w:val="en-US" w:eastAsia="zh-CN"/>
        </w:rPr>
        <w:t>1</w:t>
      </w:r>
      <w:r>
        <w:rPr>
          <w:rFonts w:hint="eastAsia" w:ascii="仿宋_GB2312" w:hAnsi="仿宋_GB2312" w:eastAsia="仿宋_GB2312" w:cs="仿宋_GB2312"/>
          <w:bCs/>
          <w:sz w:val="30"/>
          <w:szCs w:val="30"/>
          <w:highlight w:val="none"/>
        </w:rPr>
        <w:t>日</w:t>
      </w:r>
    </w:p>
    <w:p>
      <w:pPr>
        <w:pStyle w:val="3"/>
        <w:spacing w:line="560" w:lineRule="exact"/>
        <w:rPr>
          <w:rFonts w:ascii="黑体" w:hAnsi="黑体" w:eastAsia="黑体"/>
          <w:sz w:val="32"/>
          <w:szCs w:val="32"/>
          <w:highlight w:val="none"/>
        </w:rPr>
      </w:pPr>
      <w:r>
        <w:rPr>
          <w:rFonts w:hint="eastAsia" w:ascii="黑体" w:hAnsi="黑体" w:eastAsia="黑体" w:cs="宋体"/>
          <w:bCs/>
          <w:kern w:val="2"/>
          <w:sz w:val="32"/>
          <w:szCs w:val="32"/>
          <w:highlight w:val="none"/>
        </w:rPr>
        <w:t>附件1：</w:t>
      </w:r>
    </w:p>
    <w:p>
      <w:pPr>
        <w:spacing w:line="560" w:lineRule="exact"/>
        <w:jc w:val="center"/>
        <w:rPr>
          <w:rFonts w:hint="eastAsia" w:ascii="方正小标宋简体" w:hAnsi="宋体" w:eastAsia="方正小标宋简体" w:cs="宋体"/>
          <w:b w:val="0"/>
          <w:bCs w:val="0"/>
          <w:sz w:val="44"/>
          <w:szCs w:val="44"/>
          <w:highlight w:val="none"/>
        </w:rPr>
      </w:pPr>
      <w:r>
        <w:rPr>
          <w:rFonts w:hint="eastAsia" w:ascii="方正小标宋简体" w:hAnsi="宋体" w:eastAsia="方正小标宋简体" w:cs="宋体"/>
          <w:b w:val="0"/>
          <w:bCs w:val="0"/>
          <w:sz w:val="44"/>
          <w:szCs w:val="44"/>
          <w:highlight w:val="none"/>
        </w:rPr>
        <w:t>龙岗区教育局</w:t>
      </w:r>
      <w:bookmarkStart w:id="0" w:name="_Hlk134086850"/>
      <w:r>
        <w:rPr>
          <w:rFonts w:hint="eastAsia" w:ascii="方正小标宋简体" w:hAnsi="宋体" w:eastAsia="方正小标宋简体" w:cs="宋体"/>
          <w:b w:val="0"/>
          <w:bCs w:val="0"/>
          <w:sz w:val="44"/>
          <w:szCs w:val="44"/>
          <w:highlight w:val="none"/>
        </w:rPr>
        <w:t>2023-2024学年公办学校</w:t>
      </w:r>
    </w:p>
    <w:p>
      <w:pPr>
        <w:spacing w:line="560" w:lineRule="exact"/>
        <w:jc w:val="center"/>
        <w:rPr>
          <w:rFonts w:hint="eastAsia" w:ascii="方正小标宋简体" w:hAnsi="宋体" w:eastAsia="方正小标宋简体" w:cs="宋体"/>
          <w:b w:val="0"/>
          <w:bCs w:val="0"/>
          <w:sz w:val="44"/>
          <w:szCs w:val="44"/>
          <w:highlight w:val="none"/>
        </w:rPr>
      </w:pPr>
      <w:r>
        <w:rPr>
          <w:rFonts w:hint="eastAsia" w:ascii="方正小标宋简体" w:hAnsi="宋体" w:eastAsia="方正小标宋简体" w:cs="宋体"/>
          <w:b w:val="0"/>
          <w:bCs w:val="0"/>
          <w:sz w:val="44"/>
          <w:szCs w:val="44"/>
          <w:highlight w:val="none"/>
        </w:rPr>
        <w:t>（幼儿园）大宗食材批量集中采购</w:t>
      </w:r>
      <w:bookmarkEnd w:id="0"/>
    </w:p>
    <w:p>
      <w:pPr>
        <w:spacing w:line="560" w:lineRule="exact"/>
        <w:jc w:val="center"/>
        <w:rPr>
          <w:rFonts w:hint="eastAsia" w:ascii="方正小标宋简体" w:hAnsi="宋体" w:eastAsia="方正小标宋简体" w:cs="宋体"/>
          <w:b w:val="0"/>
          <w:bCs w:val="0"/>
          <w:sz w:val="44"/>
          <w:szCs w:val="44"/>
          <w:highlight w:val="none"/>
        </w:rPr>
      </w:pPr>
      <w:r>
        <w:rPr>
          <w:rFonts w:hint="eastAsia" w:ascii="方正小标宋简体" w:hAnsi="宋体" w:eastAsia="方正小标宋简体" w:cs="宋体"/>
          <w:b w:val="0"/>
          <w:bCs w:val="0"/>
          <w:sz w:val="44"/>
          <w:szCs w:val="44"/>
          <w:highlight w:val="none"/>
        </w:rPr>
        <w:t>咨询服务项目采购需求书</w:t>
      </w:r>
    </w:p>
    <w:p>
      <w:pPr>
        <w:spacing w:line="560" w:lineRule="exact"/>
        <w:rPr>
          <w:rFonts w:ascii="黑体" w:hAnsi="黑体" w:eastAsia="黑体"/>
          <w:sz w:val="32"/>
          <w:szCs w:val="32"/>
          <w:highlight w:val="none"/>
        </w:rPr>
      </w:pPr>
    </w:p>
    <w:p>
      <w:pPr>
        <w:pStyle w:val="4"/>
        <w:spacing w:before="0" w:after="0" w:line="560" w:lineRule="exact"/>
        <w:ind w:firstLine="640" w:firstLineChars="200"/>
        <w:rPr>
          <w:b w:val="0"/>
          <w:bCs/>
          <w:highlight w:val="none"/>
        </w:rPr>
      </w:pPr>
      <w:r>
        <w:rPr>
          <w:rFonts w:hint="eastAsia"/>
          <w:b w:val="0"/>
          <w:bCs/>
          <w:highlight w:val="none"/>
        </w:rPr>
        <w:t>一、项目概况及预算</w:t>
      </w:r>
      <w:r>
        <w:rPr>
          <w:b w:val="0"/>
          <w:bCs/>
          <w:highlight w:val="none"/>
        </w:rPr>
        <w:t>控制金额</w:t>
      </w:r>
    </w:p>
    <w:p>
      <w:pPr>
        <w:spacing w:line="560" w:lineRule="exact"/>
        <w:ind w:firstLine="643" w:firstLineChars="200"/>
        <w:rPr>
          <w:rFonts w:ascii="仿宋" w:hAnsi="仿宋" w:eastAsia="仿宋"/>
          <w:b/>
          <w:bCs/>
          <w:sz w:val="32"/>
          <w:szCs w:val="32"/>
          <w:highlight w:val="none"/>
        </w:rPr>
      </w:pPr>
      <w:r>
        <w:rPr>
          <w:rFonts w:hint="eastAsia" w:ascii="仿宋" w:hAnsi="仿宋" w:eastAsia="仿宋"/>
          <w:b/>
          <w:bCs/>
          <w:sz w:val="32"/>
          <w:szCs w:val="32"/>
          <w:highlight w:val="none"/>
        </w:rPr>
        <w:t>（一）项目概况</w:t>
      </w:r>
    </w:p>
    <w:p>
      <w:pPr>
        <w:spacing w:line="560" w:lineRule="exact"/>
        <w:ind w:firstLine="640" w:firstLineChars="200"/>
        <w:rPr>
          <w:rFonts w:ascii="仿宋_GB2312" w:hAnsi="宋体" w:eastAsia="仿宋_GB2312"/>
          <w:sz w:val="32"/>
          <w:szCs w:val="32"/>
          <w:highlight w:val="none"/>
        </w:rPr>
      </w:pPr>
      <w:r>
        <w:rPr>
          <w:rFonts w:hint="eastAsia" w:ascii="仿宋" w:hAnsi="仿宋" w:eastAsia="仿宋"/>
          <w:sz w:val="32"/>
          <w:szCs w:val="32"/>
          <w:highlight w:val="none"/>
        </w:rPr>
        <w:t>本项目为</w:t>
      </w:r>
      <w:r>
        <w:rPr>
          <w:rFonts w:ascii="仿宋" w:hAnsi="仿宋" w:eastAsia="仿宋"/>
          <w:sz w:val="32"/>
          <w:szCs w:val="32"/>
          <w:highlight w:val="none"/>
        </w:rPr>
        <w:t>龙岗区</w:t>
      </w:r>
      <w:r>
        <w:rPr>
          <w:rFonts w:hint="eastAsia" w:ascii="仿宋" w:hAnsi="仿宋" w:eastAsia="仿宋"/>
          <w:sz w:val="32"/>
          <w:szCs w:val="32"/>
          <w:highlight w:val="none"/>
        </w:rPr>
        <w:t>教育局2023-2024学年公办学校（幼儿园）大宗食材批量集中采购项目提供相关咨询服务。因时间紧、任务重，</w:t>
      </w:r>
      <w:r>
        <w:rPr>
          <w:rFonts w:hint="eastAsia" w:ascii="仿宋_GB2312" w:hAnsi="仿宋_GB2312" w:eastAsia="仿宋_GB2312" w:cs="仿宋_GB2312"/>
          <w:sz w:val="32"/>
          <w:szCs w:val="32"/>
          <w:highlight w:val="none"/>
        </w:rPr>
        <w:t>为更好开展本项目工作</w:t>
      </w:r>
      <w:r>
        <w:rPr>
          <w:rFonts w:hint="eastAsia" w:ascii="仿宋_GB2312" w:hAnsi="宋体" w:eastAsia="仿宋_GB2312"/>
          <w:sz w:val="32"/>
          <w:szCs w:val="32"/>
          <w:highlight w:val="none"/>
        </w:rPr>
        <w:t>，拟聘请第三方公司负责咨询服务相关工作。</w:t>
      </w:r>
    </w:p>
    <w:p>
      <w:pPr>
        <w:tabs>
          <w:tab w:val="left" w:pos="3817"/>
        </w:tabs>
        <w:spacing w:line="560" w:lineRule="exact"/>
        <w:ind w:firstLine="643" w:firstLineChars="200"/>
        <w:rPr>
          <w:rFonts w:ascii="仿宋" w:hAnsi="仿宋" w:eastAsia="仿宋"/>
          <w:b/>
          <w:bCs/>
          <w:sz w:val="32"/>
          <w:szCs w:val="32"/>
          <w:highlight w:val="none"/>
        </w:rPr>
      </w:pPr>
      <w:r>
        <w:rPr>
          <w:rFonts w:hint="eastAsia" w:ascii="仿宋" w:hAnsi="仿宋" w:eastAsia="仿宋"/>
          <w:b/>
          <w:bCs/>
          <w:sz w:val="32"/>
          <w:szCs w:val="32"/>
          <w:highlight w:val="none"/>
        </w:rPr>
        <w:t>（二）预算控制金额</w:t>
      </w:r>
    </w:p>
    <w:p>
      <w:pPr>
        <w:spacing w:line="560" w:lineRule="exact"/>
        <w:ind w:firstLine="640" w:firstLineChars="200"/>
        <w:rPr>
          <w:rFonts w:ascii="仿宋_GB2312" w:hAnsi="宋体" w:eastAsia="仿宋_GB2312"/>
          <w:sz w:val="32"/>
          <w:szCs w:val="32"/>
          <w:highlight w:val="none"/>
        </w:rPr>
      </w:pPr>
      <w:bookmarkStart w:id="1" w:name="_Hlk104186473"/>
      <w:r>
        <w:rPr>
          <w:rFonts w:hint="eastAsia" w:ascii="仿宋_GB2312" w:hAnsi="宋体" w:eastAsia="仿宋_GB2312"/>
          <w:sz w:val="32"/>
          <w:szCs w:val="32"/>
          <w:highlight w:val="none"/>
        </w:rPr>
        <w:t>人民币1</w:t>
      </w:r>
      <w:r>
        <w:rPr>
          <w:rFonts w:ascii="仿宋_GB2312" w:hAnsi="宋体" w:eastAsia="仿宋_GB2312"/>
          <w:sz w:val="32"/>
          <w:szCs w:val="32"/>
          <w:highlight w:val="none"/>
        </w:rPr>
        <w:t>2</w:t>
      </w:r>
      <w:r>
        <w:rPr>
          <w:rFonts w:hint="eastAsia" w:ascii="仿宋_GB2312" w:hAnsi="宋体" w:eastAsia="仿宋_GB2312"/>
          <w:sz w:val="32"/>
          <w:szCs w:val="32"/>
          <w:highlight w:val="none"/>
        </w:rPr>
        <w:t>万元。</w:t>
      </w:r>
      <w:bookmarkEnd w:id="1"/>
    </w:p>
    <w:p>
      <w:pPr>
        <w:spacing w:line="560" w:lineRule="exact"/>
        <w:ind w:firstLine="640" w:firstLineChars="200"/>
        <w:rPr>
          <w:rFonts w:ascii="仿宋" w:hAnsi="仿宋" w:eastAsia="仿宋"/>
          <w:b/>
          <w:bCs/>
          <w:sz w:val="32"/>
          <w:szCs w:val="32"/>
          <w:highlight w:val="none"/>
        </w:rPr>
      </w:pPr>
      <w:r>
        <w:rPr>
          <w:rFonts w:hint="eastAsia" w:ascii="仿宋_GB2312" w:hAnsi="宋体" w:eastAsia="仿宋_GB2312"/>
          <w:sz w:val="32"/>
          <w:szCs w:val="32"/>
          <w:highlight w:val="none"/>
        </w:rPr>
        <w:t>说明：</w:t>
      </w:r>
      <w:r>
        <w:rPr>
          <w:rFonts w:hint="eastAsia" w:ascii="仿宋_GB2312" w:hAnsi="宋体" w:eastAsia="仿宋_GB2312"/>
          <w:b/>
          <w:bCs/>
          <w:sz w:val="32"/>
          <w:szCs w:val="32"/>
          <w:highlight w:val="none"/>
        </w:rPr>
        <w:t>供应商报价超过</w:t>
      </w:r>
      <w:r>
        <w:rPr>
          <w:rFonts w:ascii="仿宋_GB2312" w:hAnsi="宋体" w:eastAsia="仿宋_GB2312"/>
          <w:b/>
          <w:bCs/>
          <w:sz w:val="32"/>
          <w:szCs w:val="32"/>
          <w:highlight w:val="none"/>
        </w:rPr>
        <w:t>12</w:t>
      </w:r>
      <w:r>
        <w:rPr>
          <w:rFonts w:hint="eastAsia" w:ascii="仿宋_GB2312" w:hAnsi="宋体" w:eastAsia="仿宋_GB2312"/>
          <w:b/>
          <w:bCs/>
          <w:sz w:val="32"/>
          <w:szCs w:val="32"/>
          <w:highlight w:val="none"/>
        </w:rPr>
        <w:t>万元作无效应标处理。</w:t>
      </w:r>
    </w:p>
    <w:p>
      <w:pPr>
        <w:pStyle w:val="4"/>
        <w:spacing w:before="0" w:after="0" w:line="560" w:lineRule="exact"/>
        <w:ind w:firstLine="643" w:firstLineChars="200"/>
        <w:rPr>
          <w:highlight w:val="none"/>
        </w:rPr>
      </w:pPr>
      <w:r>
        <w:rPr>
          <w:rFonts w:hint="eastAsia"/>
          <w:highlight w:val="none"/>
        </w:rPr>
        <w:t>二、服务需求</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负责我区2023-2024学年公办学校（幼儿园）大宗食材批量集中采购项目</w:t>
      </w:r>
      <w:r>
        <w:rPr>
          <w:rFonts w:ascii="仿宋" w:hAnsi="仿宋" w:eastAsia="仿宋"/>
          <w:sz w:val="32"/>
          <w:szCs w:val="32"/>
          <w:highlight w:val="none"/>
        </w:rPr>
        <w:t>的</w:t>
      </w:r>
      <w:r>
        <w:rPr>
          <w:rFonts w:hint="eastAsia" w:ascii="仿宋" w:hAnsi="仿宋" w:eastAsia="仿宋"/>
          <w:sz w:val="32"/>
          <w:szCs w:val="32"/>
          <w:highlight w:val="none"/>
        </w:rPr>
        <w:t>咨询服务等相关工作，工作范围及内容</w:t>
      </w:r>
      <w:bookmarkStart w:id="2" w:name="_Hlk104186507"/>
      <w:r>
        <w:rPr>
          <w:rFonts w:hint="eastAsia" w:ascii="仿宋" w:hAnsi="仿宋" w:eastAsia="仿宋"/>
          <w:sz w:val="32"/>
          <w:szCs w:val="32"/>
          <w:highlight w:val="none"/>
        </w:rPr>
        <w:t>包括但不限于市场调研、采购需求编制、协助采购实施计划编制、采购文件编制</w:t>
      </w:r>
      <w:bookmarkEnd w:id="2"/>
      <w:r>
        <w:rPr>
          <w:rFonts w:hint="eastAsia" w:ascii="仿宋" w:hAnsi="仿宋" w:eastAsia="仿宋"/>
          <w:sz w:val="32"/>
          <w:szCs w:val="32"/>
          <w:highlight w:val="none"/>
        </w:rPr>
        <w:t>、合同起草及管理、履约过程管理与数据收集分析等。</w:t>
      </w:r>
    </w:p>
    <w:p>
      <w:pPr>
        <w:pStyle w:val="2"/>
        <w:spacing w:line="56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（一）服务内容</w:t>
      </w:r>
    </w:p>
    <w:p>
      <w:pPr>
        <w:tabs>
          <w:tab w:val="left" w:pos="426"/>
        </w:tabs>
        <w:spacing w:line="560" w:lineRule="exact"/>
        <w:ind w:firstLine="643" w:firstLineChars="200"/>
        <w:rPr>
          <w:rFonts w:ascii="仿宋" w:hAnsi="仿宋" w:eastAsia="仿宋" w:cs="仿宋"/>
          <w:b/>
          <w:bCs/>
          <w:sz w:val="32"/>
          <w:szCs w:val="32"/>
          <w:highlight w:val="none"/>
        </w:rPr>
      </w:pPr>
      <w:r>
        <w:rPr>
          <w:rFonts w:hint="eastAsia" w:ascii="仿宋" w:hAnsi="仿宋" w:eastAsia="仿宋" w:cs="仿宋"/>
          <w:b/>
          <w:bCs/>
          <w:sz w:val="32"/>
          <w:szCs w:val="32"/>
          <w:highlight w:val="none"/>
        </w:rPr>
        <w:t>1.采购需求编制</w:t>
      </w:r>
    </w:p>
    <w:p>
      <w:pPr>
        <w:tabs>
          <w:tab w:val="left" w:pos="426"/>
        </w:tabs>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（1）需求编制摸底。了解采购单位项目需求，确认项目类型（货物类、服务类或工程类），明确项目要求，整理项目需求特征和需求信息，分析项目采购需求编制重点和难点。</w:t>
      </w:r>
    </w:p>
    <w:p>
      <w:pPr>
        <w:tabs>
          <w:tab w:val="left" w:pos="426"/>
        </w:tabs>
        <w:spacing w:line="560" w:lineRule="exact"/>
        <w:ind w:firstLine="640" w:firstLineChars="200"/>
        <w:rPr>
          <w:rFonts w:hint="eastAsia" w:asciiTheme="minorHAnsi" w:hAnsiTheme="minorHAnsi" w:eastAsiaTheme="minorEastAsia" w:cstheme="minorBidi"/>
          <w:sz w:val="21"/>
          <w:szCs w:val="22"/>
          <w:highlight w:val="none"/>
        </w:rPr>
      </w:pPr>
      <w:r>
        <w:rPr>
          <w:rFonts w:hint="eastAsia" w:ascii="仿宋" w:hAnsi="仿宋" w:eastAsia="仿宋" w:cs="仿宋"/>
          <w:sz w:val="32"/>
          <w:szCs w:val="32"/>
          <w:highlight w:val="none"/>
        </w:rPr>
        <w:t>（</w:t>
      </w:r>
      <w:r>
        <w:rPr>
          <w:rFonts w:ascii="仿宋" w:hAnsi="仿宋" w:eastAsia="仿宋" w:cs="仿宋"/>
          <w:sz w:val="32"/>
          <w:szCs w:val="32"/>
          <w:highlight w:val="none"/>
        </w:rPr>
        <w:t>2</w:t>
      </w:r>
      <w:r>
        <w:rPr>
          <w:rFonts w:hint="eastAsia" w:ascii="仿宋" w:hAnsi="仿宋" w:eastAsia="仿宋" w:cs="仿宋"/>
          <w:sz w:val="32"/>
          <w:szCs w:val="32"/>
          <w:highlight w:val="none"/>
        </w:rPr>
        <w:t>）采购需求编制。根据项目特点编制项目技术要求、商务要求、以及协助做好本项目的包组和标段划分，形成采购需求书。其中包括采购项目预（概）算、最高限价，开展采购活动的时间安排，采购组织形式和委托代理安排，供应商资格条件，采购方式、竞争范围和评审规则等。</w:t>
      </w:r>
    </w:p>
    <w:p>
      <w:pPr>
        <w:tabs>
          <w:tab w:val="left" w:pos="426"/>
        </w:tabs>
        <w:spacing w:line="560" w:lineRule="exact"/>
        <w:ind w:firstLine="643" w:firstLineChars="200"/>
        <w:rPr>
          <w:rFonts w:ascii="仿宋" w:hAnsi="仿宋" w:eastAsia="仿宋" w:cs="仿宋"/>
          <w:b/>
          <w:bCs/>
          <w:sz w:val="32"/>
          <w:szCs w:val="32"/>
          <w:highlight w:val="none"/>
        </w:rPr>
      </w:pPr>
      <w:r>
        <w:rPr>
          <w:rFonts w:hint="eastAsia" w:ascii="仿宋" w:hAnsi="仿宋" w:eastAsia="仿宋" w:cs="仿宋"/>
          <w:b/>
          <w:bCs/>
          <w:sz w:val="32"/>
          <w:szCs w:val="32"/>
          <w:highlight w:val="none"/>
        </w:rPr>
        <w:t>2</w:t>
      </w:r>
      <w:r>
        <w:rPr>
          <w:rFonts w:ascii="仿宋" w:hAnsi="仿宋" w:eastAsia="仿宋" w:cs="仿宋"/>
          <w:b/>
          <w:bCs/>
          <w:sz w:val="32"/>
          <w:szCs w:val="32"/>
          <w:highlight w:val="none"/>
        </w:rPr>
        <w:t>.</w:t>
      </w:r>
      <w:r>
        <w:rPr>
          <w:rFonts w:hint="eastAsia" w:ascii="仿宋" w:hAnsi="仿宋" w:eastAsia="仿宋" w:cs="仿宋"/>
          <w:b/>
          <w:bCs/>
          <w:sz w:val="32"/>
          <w:szCs w:val="32"/>
          <w:highlight w:val="none"/>
        </w:rPr>
        <w:t>采购需求调查</w:t>
      </w:r>
    </w:p>
    <w:p>
      <w:pPr>
        <w:pStyle w:val="2"/>
        <w:spacing w:line="560" w:lineRule="exact"/>
        <w:ind w:firstLine="960" w:firstLineChars="300"/>
        <w:rPr>
          <w:rFonts w:hint="eastAsia" w:ascii="仿宋" w:hAnsi="仿宋" w:eastAsia="仿宋" w:cs="仿宋"/>
          <w:sz w:val="32"/>
          <w:szCs w:val="32"/>
          <w:highlight w:val="none"/>
        </w:rPr>
      </w:pPr>
      <w:r>
        <w:rPr>
          <w:rFonts w:hint="eastAsia" w:ascii="仿宋" w:hAnsi="仿宋" w:eastAsia="仿宋" w:cs="仿宋"/>
          <w:sz w:val="32"/>
          <w:szCs w:val="32"/>
          <w:highlight w:val="none"/>
        </w:rPr>
        <w:t>了解项目相关产业发展、市场供给、同类采购项目历史成交信息情况，并形成书面调研报告。</w:t>
      </w:r>
    </w:p>
    <w:p>
      <w:pPr>
        <w:tabs>
          <w:tab w:val="left" w:pos="426"/>
        </w:tabs>
        <w:spacing w:line="560" w:lineRule="exact"/>
        <w:ind w:firstLine="643" w:firstLineChars="200"/>
        <w:rPr>
          <w:rFonts w:ascii="仿宋" w:hAnsi="仿宋" w:eastAsia="仿宋" w:cs="仿宋"/>
          <w:b/>
          <w:bCs/>
          <w:sz w:val="32"/>
          <w:szCs w:val="32"/>
          <w:highlight w:val="none"/>
        </w:rPr>
      </w:pPr>
      <w:r>
        <w:rPr>
          <w:rFonts w:ascii="仿宋" w:hAnsi="仿宋" w:eastAsia="仿宋" w:cs="仿宋"/>
          <w:b/>
          <w:bCs/>
          <w:sz w:val="32"/>
          <w:szCs w:val="32"/>
          <w:highlight w:val="none"/>
        </w:rPr>
        <w:t>3.</w:t>
      </w:r>
      <w:r>
        <w:rPr>
          <w:rFonts w:hint="eastAsia" w:ascii="仿宋" w:hAnsi="仿宋" w:eastAsia="仿宋" w:cs="仿宋"/>
          <w:b/>
          <w:bCs/>
          <w:sz w:val="32"/>
          <w:szCs w:val="32"/>
          <w:highlight w:val="none"/>
        </w:rPr>
        <w:t>采购实施计划编制</w:t>
      </w:r>
    </w:p>
    <w:p>
      <w:pPr>
        <w:tabs>
          <w:tab w:val="left" w:pos="426"/>
        </w:tabs>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（1）计划编制摸底。了解采购单位项目实施时间进度安排，确认合同订立和管理的大致意向，分析项目采购实施计划编制的重点和难点，初步评估实施技术难度及承接能力，以及其他相关情况。</w:t>
      </w:r>
    </w:p>
    <w:p>
      <w:pPr>
        <w:tabs>
          <w:tab w:val="left" w:pos="426"/>
        </w:tabs>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（2）采购实施计划编制。根据法律法规、政府采购政策和国家有关规定，结合本项目特点，充分考虑采购活动所需时间和可能影响采购活动进行的因素，合理安排采购活动实施时间，最终形成采购实施计划。</w:t>
      </w:r>
    </w:p>
    <w:p>
      <w:pPr>
        <w:tabs>
          <w:tab w:val="left" w:pos="426"/>
        </w:tabs>
        <w:spacing w:line="560" w:lineRule="exact"/>
        <w:ind w:firstLine="643" w:firstLineChars="200"/>
        <w:rPr>
          <w:rFonts w:ascii="仿宋" w:hAnsi="仿宋" w:eastAsia="仿宋" w:cs="仿宋"/>
          <w:b/>
          <w:bCs/>
          <w:sz w:val="32"/>
          <w:szCs w:val="32"/>
          <w:highlight w:val="none"/>
        </w:rPr>
      </w:pPr>
      <w:r>
        <w:rPr>
          <w:rFonts w:hint="eastAsia" w:ascii="仿宋" w:hAnsi="仿宋" w:eastAsia="仿宋" w:cs="仿宋"/>
          <w:b/>
          <w:bCs/>
          <w:sz w:val="32"/>
          <w:szCs w:val="32"/>
          <w:highlight w:val="none"/>
        </w:rPr>
        <w:t>4.采购文件编制</w:t>
      </w:r>
    </w:p>
    <w:p>
      <w:pPr>
        <w:pStyle w:val="8"/>
        <w:spacing w:line="560" w:lineRule="exact"/>
        <w:ind w:firstLine="640" w:firstLineChars="200"/>
        <w:rPr>
          <w:rFonts w:ascii="仿宋" w:hAnsi="仿宋" w:eastAsia="仿宋"/>
          <w:sz w:val="32"/>
          <w:szCs w:val="32"/>
          <w:highlight w:val="none"/>
        </w:rPr>
      </w:pPr>
      <w:r>
        <w:rPr>
          <w:rFonts w:hint="eastAsia" w:ascii="仿宋" w:hAnsi="仿宋" w:eastAsia="仿宋" w:cs="仿宋"/>
          <w:sz w:val="32"/>
          <w:szCs w:val="32"/>
          <w:highlight w:val="none"/>
        </w:rPr>
        <w:t>根据确定的采购需求及实施计划，负责编制项目采购文件，满足项目招标挂网要求、同时协助采购单位处理招标过程中可能发生的异议、质疑和投诉等事项。</w:t>
      </w:r>
    </w:p>
    <w:p>
      <w:pPr>
        <w:pStyle w:val="2"/>
        <w:spacing w:line="560" w:lineRule="exact"/>
        <w:ind w:firstLine="643"/>
        <w:rPr>
          <w:rFonts w:hint="eastAsia" w:ascii="仿宋" w:hAnsi="仿宋" w:eastAsia="仿宋" w:cs="仿宋"/>
          <w:b/>
          <w:bCs/>
          <w:sz w:val="32"/>
          <w:szCs w:val="32"/>
          <w:highlight w:val="none"/>
        </w:rPr>
      </w:pPr>
      <w:r>
        <w:rPr>
          <w:rFonts w:ascii="仿宋" w:hAnsi="仿宋" w:eastAsia="仿宋" w:cs="仿宋"/>
          <w:b/>
          <w:bCs/>
          <w:sz w:val="32"/>
          <w:szCs w:val="32"/>
          <w:highlight w:val="none"/>
        </w:rPr>
        <w:t>5</w:t>
      </w:r>
      <w:r>
        <w:rPr>
          <w:rFonts w:hint="eastAsia" w:ascii="仿宋" w:hAnsi="仿宋" w:eastAsia="仿宋" w:cs="仿宋"/>
          <w:b/>
          <w:bCs/>
          <w:sz w:val="32"/>
          <w:szCs w:val="32"/>
          <w:highlight w:val="none"/>
        </w:rPr>
        <w:t>.合同起草及管理</w:t>
      </w:r>
    </w:p>
    <w:p>
      <w:pPr>
        <w:tabs>
          <w:tab w:val="left" w:pos="426"/>
        </w:tabs>
        <w:spacing w:line="560" w:lineRule="exact"/>
        <w:ind w:firstLine="640" w:firstLineChars="200"/>
        <w:rPr>
          <w:rFonts w:ascii="仿宋" w:hAnsi="仿宋" w:eastAsia="仿宋"/>
          <w:sz w:val="32"/>
          <w:szCs w:val="32"/>
          <w:highlight w:val="none"/>
        </w:rPr>
      </w:pPr>
      <w:r>
        <w:rPr>
          <w:rFonts w:hint="eastAsia" w:ascii="仿宋" w:hAnsi="仿宋" w:eastAsia="仿宋" w:cs="仿宋"/>
          <w:sz w:val="32"/>
          <w:szCs w:val="32"/>
          <w:highlight w:val="none"/>
        </w:rPr>
        <w:t>协助处理合同管理，包括合同类型、定价方式、合同文本的主要条款、履约验收方案、供应商履约考核方案、风险管控措施等。</w:t>
      </w:r>
    </w:p>
    <w:p>
      <w:pPr>
        <w:pStyle w:val="8"/>
        <w:spacing w:line="560" w:lineRule="exact"/>
        <w:ind w:firstLine="643" w:firstLineChars="200"/>
        <w:rPr>
          <w:rFonts w:ascii="仿宋" w:hAnsi="仿宋" w:eastAsia="仿宋" w:cs="仿宋"/>
          <w:b/>
          <w:bCs/>
          <w:kern w:val="2"/>
          <w:sz w:val="32"/>
          <w:szCs w:val="32"/>
          <w:highlight w:val="none"/>
        </w:rPr>
      </w:pPr>
      <w:r>
        <w:rPr>
          <w:rFonts w:ascii="仿宋" w:hAnsi="仿宋" w:eastAsia="仿宋" w:cs="仿宋"/>
          <w:b/>
          <w:bCs/>
          <w:kern w:val="2"/>
          <w:sz w:val="32"/>
          <w:szCs w:val="32"/>
          <w:highlight w:val="none"/>
        </w:rPr>
        <w:t>6.</w:t>
      </w:r>
      <w:r>
        <w:rPr>
          <w:rFonts w:hint="eastAsia" w:ascii="仿宋" w:hAnsi="仿宋" w:eastAsia="仿宋" w:cs="仿宋"/>
          <w:b/>
          <w:bCs/>
          <w:kern w:val="2"/>
          <w:sz w:val="32"/>
          <w:szCs w:val="32"/>
          <w:highlight w:val="none"/>
        </w:rPr>
        <w:t>其他</w:t>
      </w:r>
    </w:p>
    <w:p>
      <w:pPr>
        <w:pStyle w:val="8"/>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在</w:t>
      </w:r>
      <w:r>
        <w:rPr>
          <w:rFonts w:hint="eastAsia" w:ascii="仿宋" w:hAnsi="仿宋" w:eastAsia="仿宋"/>
          <w:sz w:val="32"/>
          <w:szCs w:val="32"/>
          <w:highlight w:val="none"/>
          <w:lang w:val="en-US" w:eastAsia="zh-CN"/>
        </w:rPr>
        <w:t>采购人</w:t>
      </w:r>
      <w:r>
        <w:rPr>
          <w:rFonts w:hint="eastAsia" w:ascii="仿宋" w:hAnsi="仿宋" w:eastAsia="仿宋"/>
          <w:sz w:val="32"/>
          <w:szCs w:val="32"/>
          <w:highlight w:val="none"/>
        </w:rPr>
        <w:t>项目执行期内的合同管理、履约过程中期跟踪动态调整、数据收集分析等，协助</w:t>
      </w:r>
      <w:r>
        <w:rPr>
          <w:rFonts w:hint="eastAsia" w:ascii="仿宋" w:hAnsi="仿宋" w:eastAsia="仿宋"/>
          <w:sz w:val="32"/>
          <w:szCs w:val="32"/>
          <w:highlight w:val="none"/>
          <w:lang w:eastAsia="zh-CN"/>
        </w:rPr>
        <w:t>采购人</w:t>
      </w:r>
      <w:r>
        <w:rPr>
          <w:rFonts w:hint="eastAsia" w:ascii="仿宋" w:hAnsi="仿宋" w:eastAsia="仿宋"/>
          <w:sz w:val="32"/>
          <w:szCs w:val="32"/>
          <w:highlight w:val="none"/>
        </w:rPr>
        <w:t>做好相关管理文档起草和管理</w:t>
      </w:r>
      <w:r>
        <w:rPr>
          <w:rFonts w:hint="eastAsia" w:ascii="仿宋" w:hAnsi="仿宋" w:eastAsia="仿宋"/>
          <w:sz w:val="32"/>
          <w:szCs w:val="32"/>
          <w:highlight w:val="none"/>
          <w:lang w:eastAsia="zh-CN"/>
        </w:rPr>
        <w:t>，</w:t>
      </w:r>
      <w:r>
        <w:rPr>
          <w:rFonts w:hint="eastAsia" w:ascii="仿宋" w:hAnsi="仿宋" w:eastAsia="仿宋" w:cs="仿宋"/>
          <w:sz w:val="32"/>
          <w:szCs w:val="32"/>
          <w:highlight w:val="none"/>
        </w:rPr>
        <w:t>并形成书面</w:t>
      </w:r>
      <w:r>
        <w:rPr>
          <w:rFonts w:hint="eastAsia" w:ascii="仿宋" w:hAnsi="仿宋" w:eastAsia="仿宋" w:cs="仿宋"/>
          <w:sz w:val="32"/>
          <w:szCs w:val="32"/>
          <w:highlight w:val="none"/>
          <w:lang w:val="en-US" w:eastAsia="zh-CN"/>
        </w:rPr>
        <w:t>月度运行报告、季度评议报告</w:t>
      </w:r>
      <w:r>
        <w:rPr>
          <w:rFonts w:hint="eastAsia" w:ascii="仿宋" w:hAnsi="仿宋" w:eastAsia="仿宋"/>
          <w:sz w:val="32"/>
          <w:szCs w:val="32"/>
          <w:highlight w:val="none"/>
        </w:rPr>
        <w:t>。</w:t>
      </w:r>
    </w:p>
    <w:p>
      <w:pPr>
        <w:pStyle w:val="8"/>
        <w:spacing w:line="560" w:lineRule="exact"/>
        <w:ind w:firstLine="562" w:firstLineChars="200"/>
        <w:rPr>
          <w:rFonts w:hint="eastAsia"/>
          <w:i/>
          <w:iCs/>
          <w:highlight w:val="none"/>
        </w:rPr>
      </w:pPr>
      <w:r>
        <w:rPr>
          <w:rFonts w:hint="eastAsia" w:hAnsi="宋体" w:cs="宋体"/>
          <w:b/>
          <w:color w:val="FF0000"/>
          <w:sz w:val="28"/>
          <w:szCs w:val="28"/>
          <w:highlight w:val="none"/>
        </w:rPr>
        <w:t>★</w:t>
      </w:r>
      <w:r>
        <w:rPr>
          <w:rFonts w:hint="eastAsia" w:ascii="仿宋" w:hAnsi="仿宋" w:eastAsia="仿宋"/>
          <w:i/>
          <w:iCs/>
          <w:sz w:val="32"/>
          <w:szCs w:val="32"/>
          <w:highlight w:val="none"/>
        </w:rPr>
        <w:t>特别说明：在服务期限内，如有新一轮同类项目招标采购活动，中标供应商须提供以上服务。</w:t>
      </w:r>
    </w:p>
    <w:p>
      <w:pPr>
        <w:spacing w:line="560" w:lineRule="exact"/>
        <w:ind w:firstLine="643" w:firstLineChars="200"/>
        <w:rPr>
          <w:highlight w:val="none"/>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二</w:t>
      </w:r>
      <w:r>
        <w:rPr>
          <w:rFonts w:hint="eastAsia" w:ascii="仿宋" w:hAnsi="仿宋" w:eastAsia="仿宋"/>
          <w:b/>
          <w:sz w:val="32"/>
          <w:szCs w:val="32"/>
          <w:highlight w:val="none"/>
        </w:rPr>
        <w:t>)人员安排要求</w:t>
      </w:r>
    </w:p>
    <w:tbl>
      <w:tblPr>
        <w:tblStyle w:val="15"/>
        <w:tblW w:w="9132" w:type="dxa"/>
        <w:jc w:val="center"/>
        <w:tblLayout w:type="fixed"/>
        <w:tblCellMar>
          <w:top w:w="0" w:type="dxa"/>
          <w:left w:w="108" w:type="dxa"/>
          <w:bottom w:w="0" w:type="dxa"/>
          <w:right w:w="108" w:type="dxa"/>
        </w:tblCellMar>
      </w:tblPr>
      <w:tblGrid>
        <w:gridCol w:w="1142"/>
        <w:gridCol w:w="1861"/>
        <w:gridCol w:w="1245"/>
        <w:gridCol w:w="4884"/>
      </w:tblGrid>
      <w:tr>
        <w:tblPrEx>
          <w:tblCellMar>
            <w:top w:w="0" w:type="dxa"/>
            <w:left w:w="108" w:type="dxa"/>
            <w:bottom w:w="0" w:type="dxa"/>
            <w:right w:w="108" w:type="dxa"/>
          </w:tblCellMar>
        </w:tblPrEx>
        <w:trPr>
          <w:trHeight w:val="844" w:hRule="atLeast"/>
          <w:jc w:val="center"/>
        </w:trPr>
        <w:tc>
          <w:tcPr>
            <w:tcW w:w="11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textAlignment w:val="center"/>
              <w:rPr>
                <w:rFonts w:ascii="宋体" w:hAnsi="宋体" w:cs="宋体"/>
                <w:sz w:val="28"/>
                <w:szCs w:val="28"/>
                <w:highlight w:val="none"/>
              </w:rPr>
            </w:pPr>
            <w:r>
              <w:rPr>
                <w:rFonts w:hint="eastAsia" w:ascii="宋体" w:hAnsi="宋体" w:cs="宋体"/>
                <w:b/>
                <w:sz w:val="28"/>
                <w:szCs w:val="28"/>
                <w:highlight w:val="none"/>
              </w:rPr>
              <w:t>序号</w:t>
            </w:r>
          </w:p>
        </w:tc>
        <w:tc>
          <w:tcPr>
            <w:tcW w:w="186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textAlignment w:val="center"/>
              <w:rPr>
                <w:rFonts w:ascii="宋体" w:hAnsi="宋体" w:cs="宋体"/>
                <w:b/>
                <w:color w:val="FF0000"/>
                <w:sz w:val="28"/>
                <w:szCs w:val="28"/>
                <w:highlight w:val="none"/>
              </w:rPr>
            </w:pPr>
            <w:r>
              <w:rPr>
                <w:rFonts w:hint="eastAsia" w:ascii="宋体" w:hAnsi="宋体" w:cs="宋体"/>
                <w:b/>
                <w:color w:val="FF0000"/>
                <w:sz w:val="28"/>
                <w:szCs w:val="28"/>
                <w:highlight w:val="none"/>
              </w:rPr>
              <w:t>★人员类别</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textAlignment w:val="center"/>
              <w:rPr>
                <w:rFonts w:ascii="宋体" w:hAnsi="宋体" w:cs="宋体"/>
                <w:b/>
                <w:color w:val="FF0000"/>
                <w:sz w:val="28"/>
                <w:szCs w:val="28"/>
                <w:highlight w:val="none"/>
              </w:rPr>
            </w:pPr>
            <w:r>
              <w:rPr>
                <w:rFonts w:hint="eastAsia" w:ascii="宋体" w:hAnsi="宋体" w:cs="宋体"/>
                <w:b/>
                <w:color w:val="FF0000"/>
                <w:sz w:val="28"/>
                <w:szCs w:val="28"/>
                <w:highlight w:val="none"/>
              </w:rPr>
              <w:t>★数量</w:t>
            </w:r>
          </w:p>
        </w:tc>
        <w:tc>
          <w:tcPr>
            <w:tcW w:w="48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textAlignment w:val="center"/>
              <w:rPr>
                <w:rFonts w:ascii="宋体" w:hAnsi="宋体" w:cs="宋体"/>
                <w:b/>
                <w:color w:val="FF0000"/>
                <w:sz w:val="28"/>
                <w:szCs w:val="28"/>
                <w:highlight w:val="none"/>
              </w:rPr>
            </w:pPr>
            <w:r>
              <w:rPr>
                <w:rFonts w:hint="eastAsia" w:ascii="宋体" w:hAnsi="宋体" w:cs="宋体"/>
                <w:b/>
                <w:color w:val="FF0000"/>
                <w:sz w:val="28"/>
                <w:szCs w:val="28"/>
                <w:highlight w:val="none"/>
              </w:rPr>
              <w:t>★人员必须具备条件</w:t>
            </w:r>
          </w:p>
        </w:tc>
      </w:tr>
      <w:tr>
        <w:tblPrEx>
          <w:tblCellMar>
            <w:top w:w="0" w:type="dxa"/>
            <w:left w:w="108" w:type="dxa"/>
            <w:bottom w:w="0" w:type="dxa"/>
            <w:right w:w="108" w:type="dxa"/>
          </w:tblCellMar>
        </w:tblPrEx>
        <w:trPr>
          <w:trHeight w:val="511" w:hRule="atLeast"/>
          <w:jc w:val="center"/>
        </w:trPr>
        <w:tc>
          <w:tcPr>
            <w:tcW w:w="11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textAlignment w:val="center"/>
              <w:rPr>
                <w:rFonts w:ascii="宋体" w:hAnsi="宋体" w:cs="宋体"/>
                <w:sz w:val="28"/>
                <w:szCs w:val="28"/>
                <w:highlight w:val="none"/>
              </w:rPr>
            </w:pPr>
            <w:r>
              <w:rPr>
                <w:rFonts w:hint="eastAsia" w:ascii="宋体" w:hAnsi="宋体" w:cs="宋体"/>
                <w:sz w:val="28"/>
                <w:szCs w:val="28"/>
                <w:highlight w:val="none"/>
              </w:rPr>
              <w:t>1</w:t>
            </w:r>
          </w:p>
        </w:tc>
        <w:tc>
          <w:tcPr>
            <w:tcW w:w="186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textAlignment w:val="center"/>
              <w:rPr>
                <w:rFonts w:ascii="宋体" w:hAnsi="宋体" w:cs="宋体"/>
                <w:sz w:val="28"/>
                <w:szCs w:val="28"/>
                <w:highlight w:val="none"/>
              </w:rPr>
            </w:pPr>
            <w:r>
              <w:rPr>
                <w:rFonts w:hint="eastAsia" w:ascii="仿宋" w:hAnsi="仿宋" w:eastAsia="仿宋"/>
                <w:sz w:val="28"/>
                <w:szCs w:val="28"/>
                <w:highlight w:val="none"/>
              </w:rPr>
              <w:t>项目经理</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textAlignment w:val="center"/>
              <w:rPr>
                <w:rFonts w:ascii="宋体" w:hAnsi="宋体" w:cs="宋体"/>
                <w:sz w:val="28"/>
                <w:szCs w:val="28"/>
                <w:highlight w:val="none"/>
              </w:rPr>
            </w:pPr>
            <w:r>
              <w:rPr>
                <w:rFonts w:hint="eastAsia" w:ascii="仿宋" w:hAnsi="仿宋" w:eastAsia="仿宋"/>
                <w:sz w:val="28"/>
                <w:szCs w:val="28"/>
                <w:highlight w:val="none"/>
              </w:rPr>
              <w:t>1</w:t>
            </w:r>
          </w:p>
        </w:tc>
        <w:tc>
          <w:tcPr>
            <w:tcW w:w="48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left"/>
              <w:textAlignment w:val="center"/>
              <w:rPr>
                <w:rFonts w:ascii="宋体" w:hAnsi="宋体" w:cs="宋体"/>
                <w:sz w:val="28"/>
                <w:szCs w:val="28"/>
                <w:highlight w:val="none"/>
              </w:rPr>
            </w:pPr>
            <w:r>
              <w:rPr>
                <w:rFonts w:hint="eastAsia" w:ascii="仿宋" w:hAnsi="仿宋" w:eastAsia="仿宋"/>
                <w:sz w:val="28"/>
                <w:szCs w:val="28"/>
                <w:highlight w:val="none"/>
              </w:rPr>
              <w:t>具备5年或以上相关咨询工作经历，本科以上学历</w:t>
            </w:r>
          </w:p>
        </w:tc>
      </w:tr>
      <w:tr>
        <w:tblPrEx>
          <w:tblCellMar>
            <w:top w:w="0" w:type="dxa"/>
            <w:left w:w="108" w:type="dxa"/>
            <w:bottom w:w="0" w:type="dxa"/>
            <w:right w:w="108" w:type="dxa"/>
          </w:tblCellMar>
        </w:tblPrEx>
        <w:trPr>
          <w:trHeight w:val="724" w:hRule="atLeast"/>
          <w:jc w:val="center"/>
        </w:trPr>
        <w:tc>
          <w:tcPr>
            <w:tcW w:w="11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textAlignment w:val="center"/>
              <w:rPr>
                <w:rFonts w:ascii="宋体" w:hAnsi="宋体" w:cs="宋体"/>
                <w:sz w:val="28"/>
                <w:szCs w:val="28"/>
                <w:highlight w:val="none"/>
              </w:rPr>
            </w:pPr>
            <w:r>
              <w:rPr>
                <w:rFonts w:hint="eastAsia" w:ascii="宋体" w:hAnsi="宋体" w:cs="宋体"/>
                <w:sz w:val="28"/>
                <w:szCs w:val="28"/>
                <w:highlight w:val="none"/>
              </w:rPr>
              <w:t>2</w:t>
            </w:r>
          </w:p>
        </w:tc>
        <w:tc>
          <w:tcPr>
            <w:tcW w:w="186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textAlignment w:val="center"/>
              <w:rPr>
                <w:rFonts w:ascii="仿宋" w:hAnsi="仿宋" w:eastAsia="仿宋"/>
                <w:sz w:val="28"/>
                <w:szCs w:val="28"/>
                <w:highlight w:val="none"/>
              </w:rPr>
            </w:pPr>
            <w:r>
              <w:rPr>
                <w:rFonts w:hint="eastAsia" w:ascii="仿宋" w:hAnsi="仿宋" w:eastAsia="仿宋"/>
                <w:sz w:val="28"/>
                <w:szCs w:val="28"/>
                <w:highlight w:val="none"/>
              </w:rPr>
              <w:t>团队成员</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textAlignment w:val="center"/>
              <w:rPr>
                <w:rFonts w:hint="eastAsia" w:ascii="宋体" w:hAnsi="宋体" w:eastAsia="仿宋" w:cs="宋体"/>
                <w:sz w:val="28"/>
                <w:szCs w:val="28"/>
                <w:highlight w:val="none"/>
              </w:rPr>
            </w:pPr>
            <w:r>
              <w:rPr>
                <w:rFonts w:hint="eastAsia" w:ascii="仿宋" w:hAnsi="仿宋" w:eastAsia="仿宋"/>
                <w:sz w:val="28"/>
                <w:szCs w:val="28"/>
                <w:highlight w:val="none"/>
                <w:lang w:eastAsia="zh-CN"/>
              </w:rPr>
              <w:t>3</w:t>
            </w:r>
          </w:p>
        </w:tc>
        <w:tc>
          <w:tcPr>
            <w:tcW w:w="48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left"/>
              <w:textAlignment w:val="center"/>
              <w:rPr>
                <w:rFonts w:hint="eastAsia" w:ascii="仿宋" w:hAnsi="仿宋" w:eastAsia="仿宋"/>
                <w:sz w:val="28"/>
                <w:szCs w:val="28"/>
                <w:highlight w:val="none"/>
              </w:rPr>
            </w:pPr>
            <w:r>
              <w:rPr>
                <w:rFonts w:hint="eastAsia" w:ascii="仿宋" w:hAnsi="仿宋" w:eastAsia="仿宋"/>
                <w:sz w:val="28"/>
                <w:szCs w:val="28"/>
                <w:highlight w:val="none"/>
                <w:lang w:val="en-US" w:eastAsia="zh-CN"/>
              </w:rPr>
              <w:t>成员</w:t>
            </w:r>
            <w:r>
              <w:rPr>
                <w:rFonts w:hint="eastAsia" w:ascii="仿宋" w:hAnsi="仿宋" w:eastAsia="仿宋"/>
                <w:b/>
                <w:bCs/>
                <w:sz w:val="28"/>
                <w:szCs w:val="28"/>
                <w:highlight w:val="none"/>
                <w:lang w:val="en-US" w:eastAsia="zh-CN"/>
              </w:rPr>
              <w:t>均</w:t>
            </w:r>
            <w:r>
              <w:rPr>
                <w:rFonts w:hint="eastAsia" w:ascii="仿宋" w:hAnsi="仿宋" w:eastAsia="仿宋"/>
                <w:sz w:val="28"/>
                <w:szCs w:val="28"/>
                <w:highlight w:val="none"/>
                <w:lang w:val="en-US" w:eastAsia="zh-CN"/>
              </w:rPr>
              <w:t>需</w:t>
            </w:r>
            <w:r>
              <w:rPr>
                <w:rFonts w:hint="eastAsia" w:ascii="仿宋" w:hAnsi="仿宋" w:eastAsia="仿宋"/>
                <w:sz w:val="28"/>
                <w:szCs w:val="28"/>
                <w:highlight w:val="none"/>
              </w:rPr>
              <w:t>具备</w:t>
            </w:r>
            <w:r>
              <w:rPr>
                <w:rFonts w:ascii="仿宋" w:hAnsi="仿宋" w:eastAsia="仿宋"/>
                <w:sz w:val="28"/>
                <w:szCs w:val="28"/>
                <w:highlight w:val="none"/>
              </w:rPr>
              <w:t>3</w:t>
            </w:r>
            <w:r>
              <w:rPr>
                <w:rFonts w:hint="eastAsia" w:ascii="仿宋" w:hAnsi="仿宋" w:eastAsia="仿宋"/>
                <w:sz w:val="28"/>
                <w:szCs w:val="28"/>
                <w:highlight w:val="none"/>
              </w:rPr>
              <w:t>年或以上相关咨询工作经历，本科以上学历</w:t>
            </w: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至少1名固定工作人员</w:t>
            </w:r>
          </w:p>
        </w:tc>
      </w:tr>
    </w:tbl>
    <w:p>
      <w:pPr>
        <w:pStyle w:val="8"/>
        <w:spacing w:line="560" w:lineRule="exact"/>
        <w:ind w:firstLine="643" w:firstLineChars="200"/>
        <w:rPr>
          <w:rFonts w:ascii="仿宋" w:hAnsi="仿宋" w:eastAsia="仿宋" w:cstheme="minorBidi"/>
          <w:b/>
          <w:bCs/>
          <w:kern w:val="2"/>
          <w:sz w:val="32"/>
          <w:szCs w:val="32"/>
          <w:highlight w:val="none"/>
        </w:rPr>
      </w:pPr>
      <w:r>
        <w:rPr>
          <w:rFonts w:hint="eastAsia" w:ascii="仿宋" w:hAnsi="仿宋" w:eastAsia="仿宋" w:cstheme="minorBidi"/>
          <w:b/>
          <w:bCs/>
          <w:kern w:val="2"/>
          <w:sz w:val="32"/>
          <w:szCs w:val="32"/>
          <w:highlight w:val="none"/>
        </w:rPr>
        <w:t>（</w:t>
      </w:r>
      <w:r>
        <w:rPr>
          <w:rFonts w:hint="eastAsia" w:ascii="仿宋" w:hAnsi="仿宋" w:eastAsia="仿宋" w:cstheme="minorBidi"/>
          <w:b/>
          <w:bCs/>
          <w:kern w:val="2"/>
          <w:sz w:val="32"/>
          <w:szCs w:val="32"/>
          <w:highlight w:val="none"/>
          <w:lang w:val="en-US" w:eastAsia="zh-CN"/>
        </w:rPr>
        <w:t>三</w:t>
      </w:r>
      <w:r>
        <w:rPr>
          <w:rFonts w:hint="eastAsia" w:ascii="仿宋" w:hAnsi="仿宋" w:eastAsia="仿宋" w:cstheme="minorBidi"/>
          <w:b/>
          <w:bCs/>
          <w:kern w:val="2"/>
          <w:sz w:val="32"/>
          <w:szCs w:val="32"/>
          <w:highlight w:val="none"/>
        </w:rPr>
        <w:t>）服务期限</w:t>
      </w:r>
    </w:p>
    <w:p>
      <w:pPr>
        <w:spacing w:line="560" w:lineRule="exact"/>
        <w:ind w:firstLine="641"/>
        <w:rPr>
          <w:highlight w:val="none"/>
        </w:rPr>
      </w:pPr>
      <w:r>
        <w:rPr>
          <w:rFonts w:hint="eastAsia" w:ascii="仿宋" w:hAnsi="仿宋" w:eastAsia="仿宋"/>
          <w:sz w:val="32"/>
          <w:szCs w:val="32"/>
          <w:highlight w:val="none"/>
        </w:rPr>
        <w:t>1年，服务期涵盖整个项目执行期。</w:t>
      </w:r>
    </w:p>
    <w:p>
      <w:pPr>
        <w:pStyle w:val="4"/>
        <w:spacing w:before="0" w:after="0" w:line="560" w:lineRule="exact"/>
        <w:ind w:firstLine="643" w:firstLineChars="200"/>
        <w:rPr>
          <w:highlight w:val="none"/>
        </w:rPr>
      </w:pPr>
      <w:r>
        <w:rPr>
          <w:rFonts w:hint="eastAsia"/>
          <w:highlight w:val="none"/>
        </w:rPr>
        <w:t>三、招标和定标方法</w:t>
      </w:r>
    </w:p>
    <w:p>
      <w:pPr>
        <w:adjustRightInd w:val="0"/>
        <w:snapToGrid w:val="0"/>
        <w:spacing w:line="560" w:lineRule="exact"/>
        <w:ind w:left="640"/>
        <w:rPr>
          <w:rFonts w:ascii="仿宋" w:hAnsi="仿宋" w:eastAsia="仿宋"/>
          <w:b/>
          <w:sz w:val="32"/>
          <w:szCs w:val="32"/>
          <w:highlight w:val="none"/>
        </w:rPr>
      </w:pPr>
      <w:r>
        <w:rPr>
          <w:rFonts w:hint="eastAsia" w:ascii="仿宋" w:hAnsi="仿宋" w:eastAsia="仿宋"/>
          <w:b/>
          <w:sz w:val="32"/>
          <w:szCs w:val="32"/>
          <w:highlight w:val="none"/>
        </w:rPr>
        <w:t>（一）采购方式</w:t>
      </w:r>
    </w:p>
    <w:p>
      <w:pPr>
        <w:adjustRightInd w:val="0"/>
        <w:snapToGrid w:val="0"/>
        <w:spacing w:line="560" w:lineRule="exact"/>
        <w:ind w:left="420" w:left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自行采购</w:t>
      </w:r>
      <w:r>
        <w:rPr>
          <w:rFonts w:ascii="仿宋" w:hAnsi="仿宋" w:eastAsia="仿宋" w:cs="仿宋"/>
          <w:sz w:val="32"/>
          <w:szCs w:val="32"/>
          <w:highlight w:val="none"/>
        </w:rPr>
        <w:t>—</w:t>
      </w:r>
      <w:r>
        <w:rPr>
          <w:rFonts w:hint="eastAsia" w:ascii="仿宋" w:hAnsi="仿宋" w:eastAsia="仿宋" w:cs="仿宋"/>
          <w:sz w:val="32"/>
          <w:szCs w:val="32"/>
          <w:highlight w:val="none"/>
        </w:rPr>
        <w:t>公开招标</w:t>
      </w:r>
      <w:r>
        <w:rPr>
          <w:rFonts w:hint="eastAsia" w:ascii="仿宋" w:hAnsi="仿宋" w:eastAsia="仿宋" w:cs="仿宋"/>
          <w:sz w:val="32"/>
          <w:szCs w:val="32"/>
          <w:highlight w:val="none"/>
          <w:lang w:eastAsia="zh-CN"/>
        </w:rPr>
        <w:t>。</w:t>
      </w:r>
    </w:p>
    <w:p>
      <w:pPr>
        <w:adjustRightInd w:val="0"/>
        <w:snapToGrid w:val="0"/>
        <w:spacing w:line="560" w:lineRule="exact"/>
        <w:ind w:left="640"/>
        <w:rPr>
          <w:rFonts w:ascii="仿宋" w:hAnsi="仿宋" w:eastAsia="仿宋"/>
          <w:b/>
          <w:sz w:val="32"/>
          <w:szCs w:val="32"/>
          <w:highlight w:val="none"/>
        </w:rPr>
      </w:pPr>
      <w:r>
        <w:rPr>
          <w:rFonts w:hint="eastAsia" w:ascii="仿宋" w:hAnsi="仿宋" w:eastAsia="仿宋"/>
          <w:b/>
          <w:sz w:val="32"/>
          <w:szCs w:val="32"/>
          <w:highlight w:val="none"/>
        </w:rPr>
        <w:t>（二）评标方法</w:t>
      </w:r>
    </w:p>
    <w:tbl>
      <w:tblPr>
        <w:tblStyle w:val="15"/>
        <w:tblW w:w="8826" w:type="dxa"/>
        <w:jc w:val="center"/>
        <w:tblCellSpacing w:w="0" w:type="dxa"/>
        <w:tblLayout w:type="fixed"/>
        <w:tblCellMar>
          <w:top w:w="45" w:type="dxa"/>
          <w:left w:w="45" w:type="dxa"/>
          <w:bottom w:w="45" w:type="dxa"/>
          <w:right w:w="45" w:type="dxa"/>
        </w:tblCellMar>
      </w:tblPr>
      <w:tblGrid>
        <w:gridCol w:w="8826"/>
      </w:tblGrid>
      <w:tr>
        <w:tblPrEx>
          <w:tblCellMar>
            <w:top w:w="45" w:type="dxa"/>
            <w:left w:w="45" w:type="dxa"/>
            <w:bottom w:w="45" w:type="dxa"/>
            <w:right w:w="45" w:type="dxa"/>
          </w:tblCellMar>
        </w:tblPrEx>
        <w:trPr>
          <w:tblCellSpacing w:w="0" w:type="dxa"/>
          <w:jc w:val="center"/>
        </w:trPr>
        <w:tc>
          <w:tcPr>
            <w:tcW w:w="8826" w:type="dxa"/>
            <w:tcBorders>
              <w:top w:val="nil"/>
              <w:left w:val="nil"/>
              <w:bottom w:val="nil"/>
              <w:right w:val="nil"/>
            </w:tcBorders>
            <w:vAlign w:val="center"/>
          </w:tcPr>
          <w:p>
            <w:pPr>
              <w:spacing w:line="560" w:lineRule="exact"/>
              <w:ind w:firstLine="640" w:firstLineChars="200"/>
              <w:rPr>
                <w:rFonts w:cs="宋体" w:asciiTheme="minorEastAsia" w:hAnsiTheme="minorEastAsia"/>
                <w:b/>
                <w:bCs/>
                <w:sz w:val="24"/>
                <w:highlight w:val="none"/>
              </w:rPr>
            </w:pPr>
            <w:r>
              <w:rPr>
                <w:rFonts w:hint="eastAsia" w:ascii="仿宋_GB2312" w:hAnsi="宋体" w:eastAsia="仿宋_GB2312"/>
                <w:sz w:val="32"/>
                <w:szCs w:val="32"/>
                <w:highlight w:val="none"/>
              </w:rPr>
              <w:t>采用综合评分法，当符合性审核合格的供应商为3家及以上时，得分最高</w:t>
            </w:r>
            <w:r>
              <w:rPr>
                <w:rFonts w:hint="eastAsia" w:ascii="仿宋_GB2312" w:hAnsi="宋体" w:eastAsia="仿宋_GB2312"/>
                <w:sz w:val="32"/>
                <w:szCs w:val="32"/>
                <w:highlight w:val="none"/>
                <w:lang w:val="en-US" w:eastAsia="zh-CN"/>
              </w:rPr>
              <w:t>者</w:t>
            </w:r>
            <w:r>
              <w:rPr>
                <w:rFonts w:hint="eastAsia" w:ascii="仿宋_GB2312" w:hAnsi="宋体" w:eastAsia="仿宋_GB2312"/>
                <w:sz w:val="32"/>
                <w:szCs w:val="32"/>
                <w:highlight w:val="none"/>
              </w:rPr>
              <w:t>为中标</w:t>
            </w:r>
            <w:r>
              <w:rPr>
                <w:rFonts w:hint="eastAsia" w:ascii="仿宋_GB2312" w:hAnsi="宋体" w:eastAsia="仿宋_GB2312"/>
                <w:sz w:val="32"/>
                <w:szCs w:val="32"/>
                <w:highlight w:val="none"/>
                <w:lang w:val="en-US" w:eastAsia="zh-CN"/>
              </w:rPr>
              <w:t>供应商</w:t>
            </w:r>
            <w:r>
              <w:rPr>
                <w:rFonts w:hint="eastAsia" w:ascii="仿宋_GB2312" w:hAnsi="宋体" w:eastAsia="仿宋_GB2312"/>
                <w:sz w:val="32"/>
                <w:szCs w:val="32"/>
                <w:highlight w:val="none"/>
              </w:rPr>
              <w:t>。</w:t>
            </w:r>
          </w:p>
        </w:tc>
      </w:tr>
      <w:tr>
        <w:tblPrEx>
          <w:tblCellMar>
            <w:top w:w="45" w:type="dxa"/>
            <w:left w:w="45" w:type="dxa"/>
            <w:bottom w:w="45" w:type="dxa"/>
            <w:right w:w="45" w:type="dxa"/>
          </w:tblCellMar>
        </w:tblPrEx>
        <w:trPr>
          <w:tblCellSpacing w:w="0" w:type="dxa"/>
          <w:jc w:val="center"/>
        </w:trPr>
        <w:tc>
          <w:tcPr>
            <w:tcW w:w="8826" w:type="dxa"/>
            <w:tcBorders>
              <w:top w:val="nil"/>
              <w:left w:val="nil"/>
              <w:bottom w:val="nil"/>
              <w:right w:val="nil"/>
            </w:tcBorders>
            <w:vAlign w:val="center"/>
          </w:tcPr>
          <w:p>
            <w:pPr>
              <w:spacing w:line="560" w:lineRule="exact"/>
              <w:ind w:firstLine="600" w:firstLineChars="200"/>
              <w:rPr>
                <w:rFonts w:ascii="仿宋_GB2312" w:hAnsi="宋体" w:eastAsia="仿宋_GB2312"/>
                <w:sz w:val="32"/>
                <w:szCs w:val="32"/>
                <w:highlight w:val="none"/>
              </w:rPr>
            </w:pPr>
            <w:r>
              <w:rPr>
                <w:rFonts w:hint="eastAsia" w:ascii="仿宋_GB2312" w:hAnsi="宋体" w:eastAsia="仿宋_GB2312"/>
                <w:i/>
                <w:iCs/>
                <w:sz w:val="30"/>
                <w:szCs w:val="30"/>
                <w:highlight w:val="none"/>
              </w:rPr>
              <w:t>综合评分法，是指投标文件满足招标文件全部实质性要求，且按照评审因素的量化指标评审得分最高的投标人为中标候选人的评标方法。</w:t>
            </w:r>
            <w:r>
              <w:rPr>
                <w:rFonts w:ascii="仿宋_GB2312" w:hAnsi="宋体" w:eastAsia="仿宋_GB2312"/>
                <w:i/>
                <w:iCs/>
                <w:sz w:val="30"/>
                <w:szCs w:val="30"/>
                <w:highlight w:val="none"/>
              </w:rPr>
              <w:t xml:space="preserve"> </w:t>
            </w:r>
          </w:p>
        </w:tc>
      </w:tr>
    </w:tbl>
    <w:tbl>
      <w:tblPr>
        <w:tblStyle w:val="15"/>
        <w:tblpPr w:leftFromText="180" w:rightFromText="180" w:vertAnchor="text" w:horzAnchor="margin" w:tblpY="76"/>
        <w:tblOverlap w:val="never"/>
        <w:tblW w:w="863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80"/>
        <w:gridCol w:w="680"/>
        <w:gridCol w:w="1392"/>
        <w:gridCol w:w="750"/>
        <w:gridCol w:w="51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序号</w:t>
            </w:r>
          </w:p>
        </w:tc>
        <w:tc>
          <w:tcPr>
            <w:tcW w:w="2822"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评分项</w:t>
            </w:r>
          </w:p>
        </w:tc>
        <w:tc>
          <w:tcPr>
            <w:tcW w:w="5135"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000000" w:sz="8" w:space="0"/>
              <w:left w:val="single" w:color="000000" w:sz="8" w:space="0"/>
              <w:bottom w:val="single" w:color="000000" w:sz="8" w:space="0"/>
              <w:right w:val="single" w:color="000000" w:sz="8" w:space="0"/>
            </w:tcBorders>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1</w:t>
            </w:r>
          </w:p>
        </w:tc>
        <w:tc>
          <w:tcPr>
            <w:tcW w:w="2822" w:type="dxa"/>
            <w:gridSpan w:val="3"/>
            <w:tcBorders>
              <w:top w:val="single" w:color="000000" w:sz="8" w:space="0"/>
              <w:left w:val="single" w:color="000000" w:sz="8" w:space="0"/>
              <w:bottom w:val="single" w:color="000000" w:sz="8" w:space="0"/>
              <w:right w:val="single" w:color="000000" w:sz="8" w:space="0"/>
            </w:tcBorders>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价格</w:t>
            </w:r>
          </w:p>
        </w:tc>
        <w:tc>
          <w:tcPr>
            <w:tcW w:w="5135" w:type="dxa"/>
            <w:tcBorders>
              <w:top w:val="single" w:color="000000" w:sz="8" w:space="0"/>
              <w:left w:val="single" w:color="000000" w:sz="8" w:space="0"/>
              <w:bottom w:val="single" w:color="000000" w:sz="8" w:space="0"/>
              <w:right w:val="single" w:color="000000" w:sz="8" w:space="0"/>
            </w:tcBorders>
          </w:tcPr>
          <w:p>
            <w:pPr>
              <w:spacing w:line="560" w:lineRule="exact"/>
              <w:jc w:val="center"/>
              <w:rPr>
                <w:rFonts w:ascii="仿宋" w:hAnsi="仿宋" w:eastAsia="仿宋" w:cs="宋体"/>
                <w:b/>
                <w:bCs/>
                <w:sz w:val="24"/>
                <w:szCs w:val="24"/>
                <w:highlight w:val="none"/>
              </w:rPr>
            </w:pPr>
            <w:r>
              <w:rPr>
                <w:rFonts w:ascii="仿宋" w:hAnsi="仿宋" w:eastAsia="仿宋" w:cs="宋体"/>
                <w:b/>
                <w:bCs/>
                <w:sz w:val="24"/>
                <w:szCs w:val="24"/>
                <w:highlight w:val="none"/>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057" w:hRule="atLeast"/>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pStyle w:val="13"/>
              <w:widowControl w:val="0"/>
              <w:spacing w:before="0" w:beforeAutospacing="0" w:after="0" w:afterAutospacing="0" w:line="560" w:lineRule="exact"/>
              <w:ind w:firstLine="420"/>
              <w:jc w:val="both"/>
              <w:rPr>
                <w:rFonts w:ascii="仿宋" w:hAnsi="仿宋" w:eastAsia="仿宋"/>
                <w:kern w:val="2"/>
                <w:highlight w:val="none"/>
              </w:rPr>
            </w:pPr>
          </w:p>
        </w:tc>
        <w:tc>
          <w:tcPr>
            <w:tcW w:w="7957" w:type="dxa"/>
            <w:gridSpan w:val="4"/>
            <w:tcBorders>
              <w:top w:val="single" w:color="000000" w:sz="8" w:space="0"/>
              <w:left w:val="single" w:color="000000" w:sz="8" w:space="0"/>
              <w:bottom w:val="single" w:color="000000" w:sz="8" w:space="0"/>
              <w:right w:val="single" w:color="000000" w:sz="8" w:space="0"/>
            </w:tcBorders>
            <w:vAlign w:val="center"/>
          </w:tcPr>
          <w:p>
            <w:pPr>
              <w:pStyle w:val="13"/>
              <w:widowControl w:val="0"/>
              <w:spacing w:before="0" w:beforeAutospacing="0" w:after="0" w:afterAutospacing="0" w:line="560" w:lineRule="exact"/>
              <w:jc w:val="both"/>
              <w:rPr>
                <w:rFonts w:ascii="仿宋" w:hAnsi="仿宋" w:eastAsia="仿宋"/>
                <w:kern w:val="2"/>
                <w:highlight w:val="none"/>
              </w:rPr>
            </w:pPr>
            <w:r>
              <w:rPr>
                <w:rFonts w:hint="eastAsia" w:ascii="仿宋" w:hAnsi="仿宋" w:eastAsia="仿宋"/>
                <w:kern w:val="2"/>
                <w:highlight w:val="none"/>
              </w:rPr>
              <w:t>满足采购文件要求且投标价格最低的投标报价为评标基准价，其价格分为满分。其他投标人的价格分统一按照下列公式计算：</w:t>
            </w:r>
          </w:p>
          <w:p>
            <w:pPr>
              <w:pStyle w:val="13"/>
              <w:widowControl w:val="0"/>
              <w:spacing w:before="0" w:beforeAutospacing="0" w:after="0" w:afterAutospacing="0" w:line="560" w:lineRule="exact"/>
              <w:jc w:val="both"/>
              <w:rPr>
                <w:rFonts w:ascii="仿宋" w:hAnsi="仿宋" w:eastAsia="仿宋"/>
                <w:kern w:val="2"/>
                <w:highlight w:val="none"/>
              </w:rPr>
            </w:pPr>
            <w:r>
              <w:rPr>
                <w:rFonts w:hint="eastAsia" w:ascii="仿宋" w:hAnsi="仿宋" w:eastAsia="仿宋"/>
                <w:kern w:val="2"/>
                <w:highlight w:val="none"/>
              </w:rPr>
              <w:t>投标报价得分=(评标基准价／投标报价)×价格分值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000000" w:sz="8" w:space="0"/>
              <w:left w:val="single" w:color="000000" w:sz="8" w:space="0"/>
              <w:bottom w:val="single" w:color="000000" w:sz="8" w:space="0"/>
              <w:right w:val="single" w:color="000000" w:sz="8" w:space="0"/>
            </w:tcBorders>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2</w:t>
            </w:r>
          </w:p>
        </w:tc>
        <w:tc>
          <w:tcPr>
            <w:tcW w:w="2822" w:type="dxa"/>
            <w:gridSpan w:val="3"/>
            <w:tcBorders>
              <w:top w:val="single" w:color="000000" w:sz="8" w:space="0"/>
              <w:left w:val="single" w:color="000000" w:sz="8" w:space="0"/>
              <w:bottom w:val="single" w:color="000000" w:sz="8" w:space="0"/>
              <w:right w:val="single" w:color="000000" w:sz="8" w:space="0"/>
            </w:tcBorders>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综合实力</w:t>
            </w:r>
          </w:p>
        </w:tc>
        <w:tc>
          <w:tcPr>
            <w:tcW w:w="5135" w:type="dxa"/>
            <w:tcBorders>
              <w:top w:val="single" w:color="000000" w:sz="8" w:space="0"/>
              <w:left w:val="single" w:color="000000" w:sz="8" w:space="0"/>
              <w:bottom w:val="single" w:color="000000" w:sz="8" w:space="0"/>
              <w:right w:val="single" w:color="000000" w:sz="8" w:space="0"/>
            </w:tcBorders>
          </w:tcPr>
          <w:p>
            <w:pPr>
              <w:spacing w:line="560" w:lineRule="exact"/>
              <w:jc w:val="center"/>
              <w:rPr>
                <w:rFonts w:ascii="仿宋" w:hAnsi="仿宋" w:eastAsia="仿宋" w:cs="宋体"/>
                <w:b/>
                <w:bCs/>
                <w:sz w:val="24"/>
                <w:szCs w:val="24"/>
                <w:highlight w:val="none"/>
              </w:rPr>
            </w:pPr>
            <w:r>
              <w:rPr>
                <w:rFonts w:ascii="仿宋" w:hAnsi="仿宋" w:eastAsia="仿宋" w:cs="宋体"/>
                <w:b/>
                <w:bCs/>
                <w:sz w:val="24"/>
                <w:szCs w:val="24"/>
                <w:highlight w:val="none"/>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560" w:lineRule="exact"/>
              <w:rPr>
                <w:rFonts w:ascii="仿宋" w:hAnsi="仿宋" w:eastAsia="仿宋" w:cs="宋体"/>
                <w:b/>
                <w:bCs/>
                <w:sz w:val="24"/>
                <w:szCs w:val="24"/>
                <w:highlight w:val="none"/>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序号</w:t>
            </w:r>
          </w:p>
        </w:tc>
        <w:tc>
          <w:tcPr>
            <w:tcW w:w="1392"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评分因素</w:t>
            </w:r>
          </w:p>
        </w:tc>
        <w:tc>
          <w:tcPr>
            <w:tcW w:w="75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分值</w:t>
            </w:r>
          </w:p>
        </w:tc>
        <w:tc>
          <w:tcPr>
            <w:tcW w:w="51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spacing w:line="560" w:lineRule="exact"/>
              <w:rPr>
                <w:rFonts w:ascii="仿宋" w:hAnsi="仿宋" w:eastAsia="仿宋" w:cs="宋体"/>
                <w:b/>
                <w:bCs/>
                <w:sz w:val="24"/>
                <w:szCs w:val="24"/>
                <w:highlight w:val="none"/>
              </w:rPr>
            </w:pPr>
          </w:p>
        </w:tc>
        <w:tc>
          <w:tcPr>
            <w:tcW w:w="680"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hint="eastAsia" w:ascii="仿宋" w:hAnsi="仿宋" w:eastAsia="仿宋" w:cs="宋体"/>
                <w:sz w:val="24"/>
                <w:szCs w:val="24"/>
                <w:highlight w:val="none"/>
              </w:rPr>
              <w:t>1</w:t>
            </w:r>
          </w:p>
        </w:tc>
        <w:tc>
          <w:tcPr>
            <w:tcW w:w="1392"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hint="eastAsia" w:ascii="仿宋" w:hAnsi="仿宋" w:eastAsia="仿宋" w:cs="宋体"/>
                <w:sz w:val="24"/>
                <w:szCs w:val="24"/>
                <w:highlight w:val="none"/>
              </w:rPr>
              <w:t>投标人荣誉情况</w:t>
            </w:r>
          </w:p>
        </w:tc>
        <w:tc>
          <w:tcPr>
            <w:tcW w:w="750"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ascii="仿宋" w:hAnsi="仿宋" w:eastAsia="仿宋" w:cs="宋体"/>
                <w:sz w:val="24"/>
                <w:szCs w:val="24"/>
                <w:highlight w:val="none"/>
              </w:rPr>
              <w:t>10</w:t>
            </w:r>
          </w:p>
        </w:tc>
        <w:tc>
          <w:tcPr>
            <w:tcW w:w="5135" w:type="dxa"/>
            <w:tcBorders>
              <w:top w:val="single" w:color="000000" w:sz="8" w:space="0"/>
              <w:left w:val="single" w:color="000000" w:sz="8" w:space="0"/>
              <w:bottom w:val="single" w:color="000000" w:sz="8" w:space="0"/>
              <w:right w:val="single" w:color="000000" w:sz="8" w:space="0"/>
            </w:tcBorders>
          </w:tcPr>
          <w:p>
            <w:pPr>
              <w:numPr>
                <w:ilvl w:val="255"/>
                <w:numId w:val="0"/>
              </w:numPr>
              <w:spacing w:line="560" w:lineRule="exact"/>
              <w:jc w:val="left"/>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（一）评分内容：</w:t>
            </w:r>
          </w:p>
          <w:p>
            <w:pPr>
              <w:numPr>
                <w:ilvl w:val="255"/>
                <w:numId w:val="0"/>
              </w:numPr>
              <w:spacing w:line="560" w:lineRule="exact"/>
              <w:jc w:val="left"/>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投标人2020年1月1日至投标截止日获得的荣誉情况：</w:t>
            </w:r>
          </w:p>
          <w:p>
            <w:pPr>
              <w:numPr>
                <w:ilvl w:val="255"/>
                <w:numId w:val="0"/>
              </w:numPr>
              <w:spacing w:line="560" w:lineRule="exact"/>
              <w:jc w:val="left"/>
              <w:rPr>
                <w:rFonts w:hint="eastAsia" w:ascii="仿宋" w:hAnsi="仿宋" w:eastAsia="仿宋" w:cs="宋体"/>
                <w:color w:val="000000"/>
                <w:sz w:val="24"/>
                <w:szCs w:val="24"/>
                <w:highlight w:val="none"/>
              </w:rPr>
            </w:pPr>
            <w:r>
              <w:rPr>
                <w:rFonts w:hint="eastAsia" w:ascii="仿宋" w:hAnsi="仿宋" w:eastAsia="仿宋" w:cs="宋体"/>
                <w:color w:val="000000"/>
                <w:sz w:val="24"/>
                <w:szCs w:val="24"/>
                <w:highlight w:val="none"/>
              </w:rPr>
              <w:t>投标人具有</w:t>
            </w:r>
            <w:r>
              <w:rPr>
                <w:rFonts w:hint="eastAsia" w:ascii="仿宋" w:hAnsi="仿宋" w:eastAsia="仿宋" w:cs="宋体"/>
                <w:color w:val="000000"/>
                <w:sz w:val="24"/>
                <w:szCs w:val="24"/>
                <w:highlight w:val="none"/>
                <w:lang w:val="en-US" w:eastAsia="zh-CN"/>
              </w:rPr>
              <w:t>市级</w:t>
            </w:r>
            <w:r>
              <w:rPr>
                <w:rFonts w:hint="eastAsia" w:ascii="仿宋" w:hAnsi="仿宋" w:eastAsia="仿宋" w:cs="宋体"/>
                <w:color w:val="000000"/>
                <w:sz w:val="24"/>
                <w:szCs w:val="24"/>
                <w:highlight w:val="none"/>
              </w:rPr>
              <w:t>及以上招投标协会或政府采购协会颁发的荣誉证书（奖项）（</w:t>
            </w:r>
            <w:r>
              <w:rPr>
                <w:rFonts w:hint="eastAsia" w:ascii="仿宋" w:hAnsi="仿宋" w:eastAsia="仿宋" w:cs="宋体"/>
                <w:color w:val="000000"/>
                <w:sz w:val="24"/>
                <w:szCs w:val="24"/>
                <w:highlight w:val="none"/>
                <w:lang w:val="en-US" w:eastAsia="zh-CN"/>
              </w:rPr>
              <w:t>国家级每</w:t>
            </w:r>
            <w:r>
              <w:rPr>
                <w:rFonts w:hint="eastAsia" w:ascii="仿宋" w:hAnsi="仿宋" w:eastAsia="仿宋" w:cs="宋体"/>
                <w:color w:val="000000"/>
                <w:sz w:val="24"/>
                <w:szCs w:val="24"/>
                <w:highlight w:val="none"/>
              </w:rPr>
              <w:t>项</w:t>
            </w:r>
            <w:r>
              <w:rPr>
                <w:rFonts w:hint="eastAsia" w:ascii="仿宋" w:hAnsi="仿宋" w:eastAsia="仿宋" w:cs="宋体"/>
                <w:color w:val="000000"/>
                <w:sz w:val="24"/>
                <w:szCs w:val="24"/>
                <w:highlight w:val="none"/>
                <w:lang w:val="en-US" w:eastAsia="zh-CN"/>
              </w:rPr>
              <w:t>得5分，副省级/省级每</w:t>
            </w:r>
            <w:r>
              <w:rPr>
                <w:rFonts w:hint="eastAsia" w:ascii="仿宋" w:hAnsi="仿宋" w:eastAsia="仿宋" w:cs="宋体"/>
                <w:color w:val="000000"/>
                <w:sz w:val="24"/>
                <w:szCs w:val="24"/>
                <w:highlight w:val="none"/>
              </w:rPr>
              <w:t>项</w:t>
            </w:r>
            <w:r>
              <w:rPr>
                <w:rFonts w:hint="eastAsia" w:ascii="仿宋" w:hAnsi="仿宋" w:eastAsia="仿宋" w:cs="宋体"/>
                <w:color w:val="000000"/>
                <w:sz w:val="24"/>
                <w:szCs w:val="24"/>
                <w:highlight w:val="none"/>
                <w:lang w:val="en-US" w:eastAsia="zh-CN"/>
              </w:rPr>
              <w:t>得4分，市级每</w:t>
            </w:r>
            <w:r>
              <w:rPr>
                <w:rFonts w:hint="eastAsia" w:ascii="仿宋" w:hAnsi="仿宋" w:eastAsia="仿宋" w:cs="宋体"/>
                <w:color w:val="000000"/>
                <w:sz w:val="24"/>
                <w:szCs w:val="24"/>
                <w:highlight w:val="none"/>
              </w:rPr>
              <w:t>项得</w:t>
            </w:r>
            <w:r>
              <w:rPr>
                <w:rFonts w:hint="eastAsia" w:ascii="仿宋" w:hAnsi="仿宋" w:eastAsia="仿宋" w:cs="宋体"/>
                <w:color w:val="000000"/>
                <w:sz w:val="24"/>
                <w:szCs w:val="24"/>
                <w:highlight w:val="none"/>
                <w:lang w:val="en-US" w:eastAsia="zh-CN"/>
              </w:rPr>
              <w:t>3</w:t>
            </w:r>
            <w:r>
              <w:rPr>
                <w:rFonts w:hint="eastAsia" w:ascii="仿宋" w:hAnsi="仿宋" w:eastAsia="仿宋" w:cs="宋体"/>
                <w:color w:val="000000"/>
                <w:sz w:val="24"/>
                <w:szCs w:val="24"/>
                <w:highlight w:val="none"/>
              </w:rPr>
              <w:t>分，本小项最高得</w:t>
            </w:r>
            <w:r>
              <w:rPr>
                <w:rFonts w:ascii="仿宋" w:hAnsi="仿宋" w:eastAsia="仿宋" w:cs="宋体"/>
                <w:color w:val="000000"/>
                <w:sz w:val="24"/>
                <w:szCs w:val="24"/>
                <w:highlight w:val="none"/>
              </w:rPr>
              <w:t>10</w:t>
            </w:r>
            <w:r>
              <w:rPr>
                <w:rFonts w:hint="eastAsia" w:ascii="仿宋" w:hAnsi="仿宋" w:eastAsia="仿宋" w:cs="宋体"/>
                <w:color w:val="000000"/>
                <w:sz w:val="24"/>
                <w:szCs w:val="24"/>
                <w:highlight w:val="none"/>
              </w:rPr>
              <w:t>分。</w:t>
            </w:r>
            <w:r>
              <w:rPr>
                <w:rFonts w:hint="eastAsia" w:ascii="仿宋" w:hAnsi="仿宋" w:eastAsia="仿宋" w:cs="宋体"/>
                <w:color w:val="000000"/>
                <w:sz w:val="24"/>
                <w:szCs w:val="24"/>
                <w:highlight w:val="none"/>
                <w:lang w:eastAsia="zh-CN"/>
              </w:rPr>
              <w:t>）</w:t>
            </w:r>
          </w:p>
          <w:p>
            <w:pPr>
              <w:spacing w:line="560" w:lineRule="exact"/>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（二）评分依据：</w:t>
            </w:r>
          </w:p>
          <w:p>
            <w:pPr>
              <w:numPr>
                <w:ilvl w:val="255"/>
                <w:numId w:val="0"/>
              </w:numPr>
              <w:spacing w:line="560" w:lineRule="exact"/>
              <w:jc w:val="left"/>
              <w:rPr>
                <w:rFonts w:ascii="仿宋" w:hAnsi="仿宋" w:eastAsia="仿宋" w:cs="宋体"/>
                <w:b/>
                <w:sz w:val="24"/>
                <w:szCs w:val="24"/>
                <w:highlight w:val="none"/>
              </w:rPr>
            </w:pPr>
            <w:r>
              <w:rPr>
                <w:rFonts w:hint="eastAsia" w:ascii="仿宋" w:hAnsi="仿宋" w:eastAsia="仿宋" w:cs="宋体"/>
                <w:color w:val="000000"/>
                <w:sz w:val="24"/>
                <w:szCs w:val="24"/>
                <w:highlight w:val="none"/>
              </w:rPr>
              <w:t>投标人须提供荣誉证书（奖项）复印件加盖公章，原件备查，未按要求提供或提供不清晰导致无法判断的不得分。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spacing w:line="560" w:lineRule="exact"/>
              <w:rPr>
                <w:rFonts w:ascii="仿宋" w:hAnsi="仿宋" w:eastAsia="仿宋" w:cs="宋体"/>
                <w:b/>
                <w:bCs/>
                <w:sz w:val="24"/>
                <w:szCs w:val="24"/>
                <w:highlight w:val="none"/>
              </w:rPr>
            </w:pPr>
          </w:p>
        </w:tc>
        <w:tc>
          <w:tcPr>
            <w:tcW w:w="680"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hint="eastAsia" w:ascii="仿宋" w:hAnsi="仿宋" w:eastAsia="仿宋" w:cs="宋体"/>
                <w:sz w:val="24"/>
                <w:szCs w:val="24"/>
                <w:highlight w:val="none"/>
              </w:rPr>
              <w:t>2</w:t>
            </w:r>
          </w:p>
        </w:tc>
        <w:tc>
          <w:tcPr>
            <w:tcW w:w="1392"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hint="eastAsia" w:ascii="仿宋" w:hAnsi="仿宋" w:eastAsia="仿宋" w:cs="宋体"/>
                <w:sz w:val="24"/>
                <w:szCs w:val="24"/>
                <w:highlight w:val="none"/>
              </w:rPr>
              <w:t>同类项目业绩情况</w:t>
            </w:r>
          </w:p>
        </w:tc>
        <w:tc>
          <w:tcPr>
            <w:tcW w:w="750"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ascii="仿宋" w:hAnsi="仿宋" w:eastAsia="仿宋" w:cs="宋体"/>
                <w:sz w:val="24"/>
                <w:szCs w:val="24"/>
                <w:highlight w:val="none"/>
              </w:rPr>
              <w:t>10</w:t>
            </w:r>
          </w:p>
        </w:tc>
        <w:tc>
          <w:tcPr>
            <w:tcW w:w="5135" w:type="dxa"/>
            <w:tcBorders>
              <w:top w:val="single" w:color="000000" w:sz="8" w:space="0"/>
              <w:left w:val="single" w:color="000000" w:sz="8" w:space="0"/>
              <w:bottom w:val="single" w:color="000000" w:sz="8" w:space="0"/>
              <w:right w:val="single" w:color="000000" w:sz="8" w:space="0"/>
            </w:tcBorders>
          </w:tcPr>
          <w:p>
            <w:pPr>
              <w:spacing w:line="560" w:lineRule="exact"/>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（一）评分内容：</w:t>
            </w:r>
          </w:p>
          <w:p>
            <w:pPr>
              <w:spacing w:line="560" w:lineRule="exact"/>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投标人20</w:t>
            </w:r>
            <w:r>
              <w:rPr>
                <w:rFonts w:ascii="仿宋" w:hAnsi="仿宋" w:eastAsia="仿宋" w:cs="宋体"/>
                <w:color w:val="000000"/>
                <w:sz w:val="24"/>
                <w:szCs w:val="24"/>
                <w:highlight w:val="none"/>
              </w:rPr>
              <w:t>20</w:t>
            </w:r>
            <w:r>
              <w:rPr>
                <w:rFonts w:hint="eastAsia" w:ascii="仿宋" w:hAnsi="仿宋" w:eastAsia="仿宋" w:cs="宋体"/>
                <w:color w:val="000000"/>
                <w:sz w:val="24"/>
                <w:szCs w:val="24"/>
                <w:highlight w:val="none"/>
              </w:rPr>
              <w:t>年1月1日至投标截止日（以合同签订日期为准），投标人具有重大项目的政府采购咨询项目或招标咨询项目的，每提供一个得</w:t>
            </w:r>
            <w:r>
              <w:rPr>
                <w:rFonts w:ascii="仿宋" w:hAnsi="仿宋" w:eastAsia="仿宋" w:cs="宋体"/>
                <w:color w:val="000000"/>
                <w:sz w:val="24"/>
                <w:szCs w:val="24"/>
                <w:highlight w:val="none"/>
              </w:rPr>
              <w:t>2</w:t>
            </w:r>
            <w:r>
              <w:rPr>
                <w:rFonts w:hint="eastAsia" w:ascii="仿宋" w:hAnsi="仿宋" w:eastAsia="仿宋" w:cs="宋体"/>
                <w:color w:val="000000"/>
                <w:sz w:val="24"/>
                <w:szCs w:val="24"/>
                <w:highlight w:val="none"/>
              </w:rPr>
              <w:t>分，最多得</w:t>
            </w:r>
            <w:r>
              <w:rPr>
                <w:rFonts w:ascii="仿宋" w:hAnsi="仿宋" w:eastAsia="仿宋" w:cs="宋体"/>
                <w:color w:val="000000"/>
                <w:sz w:val="24"/>
                <w:szCs w:val="24"/>
                <w:highlight w:val="none"/>
              </w:rPr>
              <w:t>1</w:t>
            </w:r>
            <w:r>
              <w:rPr>
                <w:rFonts w:hint="eastAsia" w:ascii="仿宋" w:hAnsi="仿宋" w:eastAsia="仿宋" w:cs="宋体"/>
                <w:color w:val="000000"/>
                <w:sz w:val="24"/>
                <w:szCs w:val="24"/>
                <w:highlight w:val="none"/>
              </w:rPr>
              <w:t>0分。</w:t>
            </w:r>
          </w:p>
          <w:p>
            <w:pPr>
              <w:spacing w:line="560" w:lineRule="exact"/>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（二）评分依据：</w:t>
            </w:r>
          </w:p>
          <w:p>
            <w:pPr>
              <w:spacing w:line="560" w:lineRule="exact"/>
              <w:jc w:val="left"/>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提供合同关键页（应包含但不限于合同甲乙双方名称、服务项目名称、涉及业绩的服务内容、签订合同时间、甲乙双方签字及公章等信息）。证明资料提供加盖公章的复印件，原件备查，未按要求提供或提供不清晰导致专家无法判断的不得分。</w:t>
            </w:r>
          </w:p>
          <w:p>
            <w:pPr>
              <w:spacing w:line="560" w:lineRule="exact"/>
              <w:jc w:val="left"/>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注：</w:t>
            </w:r>
            <w:r>
              <w:rPr>
                <w:rFonts w:hint="eastAsia" w:ascii="仿宋" w:hAnsi="仿宋" w:eastAsia="仿宋" w:cs="仿宋"/>
                <w:highlight w:val="none"/>
                <w:shd w:val="clear" w:color="auto" w:fill="FFFFFF"/>
              </w:rPr>
              <w:t>重大项目是指单个项目预算金额或打包采购项目预算总金额一千万元（含）以上的项目，以及预算金额未达到一千万元但涉及民生、社会影响较大的项目。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spacing w:line="560" w:lineRule="exact"/>
              <w:rPr>
                <w:rFonts w:ascii="仿宋" w:hAnsi="仿宋" w:eastAsia="仿宋" w:cs="宋体"/>
                <w:b/>
                <w:bCs/>
                <w:sz w:val="24"/>
                <w:szCs w:val="24"/>
                <w:highlight w:val="none"/>
              </w:rPr>
            </w:pPr>
          </w:p>
        </w:tc>
        <w:tc>
          <w:tcPr>
            <w:tcW w:w="680" w:type="dxa"/>
            <w:tcBorders>
              <w:top w:val="single" w:color="000000" w:sz="8" w:space="0"/>
              <w:left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hint="eastAsia" w:ascii="仿宋" w:hAnsi="仿宋" w:eastAsia="仿宋" w:cs="宋体"/>
                <w:sz w:val="24"/>
                <w:szCs w:val="24"/>
                <w:highlight w:val="none"/>
              </w:rPr>
              <w:t>3</w:t>
            </w:r>
          </w:p>
        </w:tc>
        <w:tc>
          <w:tcPr>
            <w:tcW w:w="1392" w:type="dxa"/>
            <w:tcBorders>
              <w:top w:val="single" w:color="000000" w:sz="8" w:space="0"/>
              <w:left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hint="eastAsia" w:ascii="仿宋" w:hAnsi="仿宋" w:eastAsia="仿宋" w:cs="宋体"/>
                <w:sz w:val="24"/>
                <w:szCs w:val="24"/>
                <w:highlight w:val="none"/>
              </w:rPr>
              <w:t>拟安排的</w:t>
            </w:r>
            <w:r>
              <w:rPr>
                <w:rFonts w:hint="eastAsia" w:ascii="仿宋" w:hAnsi="仿宋" w:eastAsia="仿宋" w:cs="宋体"/>
                <w:sz w:val="24"/>
                <w:szCs w:val="24"/>
                <w:highlight w:val="none"/>
                <w:lang w:val="en-US" w:eastAsia="zh-CN"/>
              </w:rPr>
              <w:t>项目经理</w:t>
            </w:r>
            <w:r>
              <w:rPr>
                <w:rFonts w:hint="eastAsia" w:ascii="仿宋" w:hAnsi="仿宋" w:eastAsia="仿宋" w:cs="宋体"/>
                <w:sz w:val="24"/>
                <w:szCs w:val="24"/>
                <w:highlight w:val="none"/>
              </w:rPr>
              <w:t>情况</w:t>
            </w:r>
          </w:p>
        </w:tc>
        <w:tc>
          <w:tcPr>
            <w:tcW w:w="750" w:type="dxa"/>
            <w:tcBorders>
              <w:top w:val="single" w:color="000000" w:sz="8" w:space="0"/>
              <w:left w:val="single" w:color="000000" w:sz="8" w:space="0"/>
              <w:right w:val="single" w:color="000000" w:sz="8" w:space="0"/>
            </w:tcBorders>
            <w:vAlign w:val="center"/>
          </w:tcPr>
          <w:p>
            <w:pPr>
              <w:spacing w:line="560" w:lineRule="exact"/>
              <w:jc w:val="center"/>
              <w:rPr>
                <w:rFonts w:hint="default" w:ascii="仿宋" w:hAnsi="仿宋" w:eastAsia="仿宋" w:cs="宋体"/>
                <w:sz w:val="24"/>
                <w:szCs w:val="24"/>
                <w:highlight w:val="none"/>
              </w:rPr>
            </w:pPr>
            <w:r>
              <w:rPr>
                <w:rFonts w:hint="eastAsia" w:ascii="仿宋" w:hAnsi="仿宋" w:eastAsia="仿宋" w:cs="宋体"/>
                <w:sz w:val="24"/>
                <w:szCs w:val="24"/>
                <w:highlight w:val="none"/>
                <w:lang w:eastAsia="zh-CN"/>
              </w:rPr>
              <w:t>1</w:t>
            </w:r>
            <w:r>
              <w:rPr>
                <w:rFonts w:hint="eastAsia" w:ascii="仿宋" w:hAnsi="仿宋" w:eastAsia="仿宋" w:cs="宋体"/>
                <w:sz w:val="24"/>
                <w:szCs w:val="24"/>
                <w:highlight w:val="none"/>
                <w:lang w:val="en-US" w:eastAsia="zh-CN"/>
              </w:rPr>
              <w:t>2</w:t>
            </w:r>
          </w:p>
        </w:tc>
        <w:tc>
          <w:tcPr>
            <w:tcW w:w="5135"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（一）评</w:t>
            </w:r>
            <w:r>
              <w:rPr>
                <w:rFonts w:hint="eastAsia" w:ascii="仿宋_GB2312" w:hAnsi="仿宋_GB2312" w:eastAsia="仿宋_GB2312" w:cs="仿宋_GB2312"/>
                <w:sz w:val="24"/>
                <w:szCs w:val="24"/>
                <w:highlight w:val="none"/>
                <w:lang w:val="en-US" w:eastAsia="zh-CN"/>
              </w:rPr>
              <w:t>分</w:t>
            </w:r>
            <w:r>
              <w:rPr>
                <w:rFonts w:hint="eastAsia" w:ascii="仿宋_GB2312" w:hAnsi="仿宋_GB2312" w:eastAsia="仿宋_GB2312" w:cs="仿宋_GB2312"/>
                <w:sz w:val="24"/>
                <w:szCs w:val="24"/>
                <w:highlight w:val="none"/>
              </w:rPr>
              <w:t>内容：</w:t>
            </w:r>
          </w:p>
          <w:p>
            <w:pPr>
              <w:spacing w:line="560" w:lineRule="exact"/>
              <w:jc w:val="left"/>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具有</w:t>
            </w:r>
            <w:r>
              <w:rPr>
                <w:rFonts w:hint="eastAsia" w:ascii="仿宋_GB2312" w:hAnsi="仿宋_GB2312" w:eastAsia="仿宋_GB2312" w:cs="仿宋_GB2312"/>
                <w:b/>
                <w:bCs/>
                <w:sz w:val="24"/>
                <w:szCs w:val="24"/>
                <w:highlight w:val="none"/>
                <w:lang w:val="en-US" w:eastAsia="zh-CN"/>
              </w:rPr>
              <w:t>中级及以上</w:t>
            </w:r>
            <w:r>
              <w:rPr>
                <w:rFonts w:hint="eastAsia" w:ascii="仿宋_GB2312" w:hAnsi="仿宋_GB2312" w:eastAsia="仿宋_GB2312" w:cs="仿宋_GB2312"/>
                <w:color w:val="000000"/>
                <w:sz w:val="24"/>
                <w:szCs w:val="24"/>
                <w:highlight w:val="none"/>
              </w:rPr>
              <w:t>招采人员</w:t>
            </w:r>
            <w:r>
              <w:rPr>
                <w:rFonts w:hint="eastAsia" w:ascii="仿宋_GB2312" w:hAnsi="仿宋_GB2312" w:eastAsia="仿宋_GB2312" w:cs="仿宋_GB2312"/>
                <w:color w:val="000000"/>
                <w:sz w:val="24"/>
                <w:szCs w:val="24"/>
                <w:highlight w:val="none"/>
                <w:lang w:val="en-US" w:eastAsia="zh-CN"/>
              </w:rPr>
              <w:t>能力</w:t>
            </w:r>
            <w:r>
              <w:rPr>
                <w:rFonts w:hint="eastAsia" w:ascii="仿宋_GB2312" w:hAnsi="仿宋_GB2312" w:eastAsia="仿宋_GB2312" w:cs="仿宋_GB2312"/>
                <w:color w:val="000000"/>
                <w:sz w:val="24"/>
                <w:szCs w:val="24"/>
                <w:highlight w:val="none"/>
              </w:rPr>
              <w:t>评价证书</w:t>
            </w:r>
            <w:r>
              <w:rPr>
                <w:rFonts w:hint="eastAsia" w:ascii="仿宋_GB2312" w:hAnsi="仿宋_GB2312" w:eastAsia="仿宋_GB2312" w:cs="仿宋_GB2312"/>
                <w:color w:val="000000"/>
                <w:sz w:val="24"/>
                <w:szCs w:val="24"/>
                <w:highlight w:val="none"/>
                <w:lang w:eastAsia="zh-CN"/>
              </w:rPr>
              <w:t>、</w:t>
            </w:r>
            <w:r>
              <w:rPr>
                <w:rFonts w:hint="eastAsia" w:ascii="仿宋_GB2312" w:hAnsi="仿宋_GB2312" w:eastAsia="仿宋_GB2312" w:cs="仿宋_GB2312"/>
                <w:b/>
                <w:bCs/>
                <w:sz w:val="24"/>
                <w:szCs w:val="24"/>
                <w:highlight w:val="none"/>
                <w:lang w:val="en-US" w:eastAsia="zh-CN"/>
              </w:rPr>
              <w:t>中级及以上</w:t>
            </w:r>
            <w:r>
              <w:rPr>
                <w:rFonts w:hint="eastAsia" w:ascii="仿宋_GB2312" w:hAnsi="仿宋_GB2312" w:eastAsia="仿宋_GB2312" w:cs="仿宋_GB2312"/>
                <w:sz w:val="24"/>
                <w:szCs w:val="24"/>
                <w:highlight w:val="none"/>
                <w:lang w:val="en-US" w:eastAsia="zh-CN"/>
              </w:rPr>
              <w:t>注册咨询师（投资）、</w:t>
            </w:r>
            <w:r>
              <w:rPr>
                <w:rFonts w:hint="eastAsia" w:ascii="仿宋_GB2312" w:hAnsi="仿宋_GB2312" w:eastAsia="仿宋_GB2312" w:cs="仿宋_GB2312"/>
                <w:b/>
                <w:bCs/>
                <w:sz w:val="24"/>
                <w:szCs w:val="24"/>
                <w:highlight w:val="none"/>
                <w:lang w:val="en-US" w:eastAsia="zh-CN"/>
              </w:rPr>
              <w:t>高级</w:t>
            </w:r>
            <w:r>
              <w:rPr>
                <w:rFonts w:hint="eastAsia" w:ascii="仿宋_GB2312" w:hAnsi="仿宋_GB2312" w:eastAsia="仿宋_GB2312" w:cs="仿宋_GB2312"/>
                <w:sz w:val="24"/>
                <w:szCs w:val="24"/>
                <w:highlight w:val="none"/>
                <w:lang w:val="en-US" w:eastAsia="zh-CN"/>
              </w:rPr>
              <w:t>工程师职称</w:t>
            </w:r>
            <w:r>
              <w:rPr>
                <w:rFonts w:hint="eastAsia" w:ascii="仿宋_GB2312" w:hAnsi="仿宋_GB2312" w:eastAsia="仿宋_GB2312" w:cs="仿宋_GB2312"/>
                <w:sz w:val="24"/>
                <w:szCs w:val="24"/>
                <w:highlight w:val="none"/>
                <w:lang w:eastAsia="zh-CN"/>
              </w:rPr>
              <w:t>：</w:t>
            </w:r>
          </w:p>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1.同时具备三类证书</w:t>
            </w:r>
            <w:r>
              <w:rPr>
                <w:rFonts w:hint="eastAsia" w:ascii="仿宋_GB2312" w:hAnsi="仿宋_GB2312" w:eastAsia="仿宋_GB2312" w:cs="仿宋_GB2312"/>
                <w:sz w:val="24"/>
                <w:szCs w:val="24"/>
                <w:highlight w:val="none"/>
              </w:rPr>
              <w:t>的，得</w:t>
            </w:r>
            <w:r>
              <w:rPr>
                <w:rFonts w:hint="eastAsia" w:ascii="仿宋_GB2312" w:hAnsi="仿宋_GB2312" w:eastAsia="仿宋_GB2312" w:cs="仿宋_GB2312"/>
                <w:sz w:val="24"/>
                <w:szCs w:val="24"/>
                <w:highlight w:val="none"/>
                <w:lang w:val="en-US" w:eastAsia="zh-CN"/>
              </w:rPr>
              <w:t>12</w:t>
            </w:r>
            <w:r>
              <w:rPr>
                <w:rFonts w:hint="eastAsia" w:ascii="仿宋_GB2312" w:hAnsi="仿宋_GB2312" w:eastAsia="仿宋_GB2312" w:cs="仿宋_GB2312"/>
                <w:sz w:val="24"/>
                <w:szCs w:val="24"/>
                <w:highlight w:val="none"/>
              </w:rPr>
              <w:t>分；</w:t>
            </w:r>
          </w:p>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2.具备其中两类证书</w:t>
            </w:r>
            <w:r>
              <w:rPr>
                <w:rFonts w:hint="eastAsia" w:ascii="仿宋_GB2312" w:hAnsi="仿宋_GB2312" w:eastAsia="仿宋_GB2312" w:cs="仿宋_GB2312"/>
                <w:sz w:val="24"/>
                <w:szCs w:val="24"/>
                <w:highlight w:val="none"/>
              </w:rPr>
              <w:t>的，得</w:t>
            </w:r>
            <w:r>
              <w:rPr>
                <w:rFonts w:hint="eastAsia" w:ascii="仿宋_GB2312" w:hAnsi="仿宋_GB2312" w:eastAsia="仿宋_GB2312" w:cs="仿宋_GB2312"/>
                <w:sz w:val="24"/>
                <w:szCs w:val="24"/>
                <w:highlight w:val="none"/>
                <w:lang w:val="en-US" w:eastAsia="zh-CN"/>
              </w:rPr>
              <w:t>8</w:t>
            </w:r>
            <w:r>
              <w:rPr>
                <w:rFonts w:hint="eastAsia" w:ascii="仿宋_GB2312" w:hAnsi="仿宋_GB2312" w:eastAsia="仿宋_GB2312" w:cs="仿宋_GB2312"/>
                <w:sz w:val="24"/>
                <w:szCs w:val="24"/>
                <w:highlight w:val="none"/>
              </w:rPr>
              <w:t>分；</w:t>
            </w:r>
          </w:p>
          <w:p>
            <w:pPr>
              <w:spacing w:line="560" w:lineRule="exact"/>
              <w:jc w:val="left"/>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3.具备其中一类证书</w:t>
            </w:r>
            <w:r>
              <w:rPr>
                <w:rFonts w:hint="eastAsia" w:ascii="仿宋_GB2312" w:hAnsi="仿宋_GB2312" w:eastAsia="仿宋_GB2312" w:cs="仿宋_GB2312"/>
                <w:sz w:val="24"/>
                <w:szCs w:val="24"/>
                <w:highlight w:val="none"/>
              </w:rPr>
              <w:t>的，得</w:t>
            </w:r>
            <w:r>
              <w:rPr>
                <w:rFonts w:hint="eastAsia" w:ascii="仿宋_GB2312" w:hAnsi="仿宋_GB2312" w:eastAsia="仿宋_GB2312" w:cs="仿宋_GB2312"/>
                <w:sz w:val="24"/>
                <w:szCs w:val="24"/>
                <w:highlight w:val="none"/>
                <w:lang w:val="en-US" w:eastAsia="zh-CN"/>
              </w:rPr>
              <w:t>4</w:t>
            </w:r>
            <w:r>
              <w:rPr>
                <w:rFonts w:hint="eastAsia" w:ascii="仿宋_GB2312" w:hAnsi="仿宋_GB2312" w:eastAsia="仿宋_GB2312" w:cs="仿宋_GB2312"/>
                <w:sz w:val="24"/>
                <w:szCs w:val="24"/>
                <w:highlight w:val="none"/>
              </w:rPr>
              <w:t>分；</w:t>
            </w:r>
          </w:p>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4.没有上述证书的，不得分。</w:t>
            </w:r>
          </w:p>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（二）评分依据：</w:t>
            </w:r>
          </w:p>
          <w:p>
            <w:pPr>
              <w:spacing w:line="56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需提供相关证书、职称证</w:t>
            </w:r>
            <w:r>
              <w:rPr>
                <w:rFonts w:hint="eastAsia" w:ascii="仿宋_GB2312" w:hAnsi="仿宋_GB2312" w:eastAsia="仿宋_GB2312" w:cs="仿宋_GB2312"/>
                <w:kern w:val="0"/>
                <w:sz w:val="24"/>
                <w:szCs w:val="24"/>
                <w:highlight w:val="none"/>
                <w:lang w:val="en-US" w:eastAsia="zh-CN"/>
              </w:rPr>
              <w:t>明</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职业资格认证</w:t>
            </w:r>
            <w:r>
              <w:rPr>
                <w:rFonts w:hint="eastAsia" w:ascii="仿宋_GB2312" w:hAnsi="仿宋_GB2312" w:eastAsia="仿宋_GB2312" w:cs="仿宋_GB2312"/>
                <w:kern w:val="0"/>
                <w:sz w:val="24"/>
                <w:szCs w:val="24"/>
                <w:highlight w:val="none"/>
              </w:rPr>
              <w:t>复印件、投标人近一个月（投标截止时间前1个月）为其缴纳社保证明复印件加盖公章，原件备查，未按要求提供或提供不清晰导致专家无法判断的不得分。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640" w:hRule="atLeast"/>
        </w:trPr>
        <w:tc>
          <w:tcPr>
            <w:tcW w:w="680" w:type="dxa"/>
            <w:tcBorders>
              <w:left w:val="single" w:color="000000" w:sz="8" w:space="0"/>
              <w:bottom w:val="single" w:color="000000" w:sz="8" w:space="0"/>
              <w:right w:val="single" w:color="000000" w:sz="8" w:space="0"/>
            </w:tcBorders>
            <w:vAlign w:val="center"/>
          </w:tcPr>
          <w:p>
            <w:pPr>
              <w:spacing w:line="560" w:lineRule="exact"/>
            </w:pPr>
          </w:p>
        </w:tc>
        <w:tc>
          <w:tcPr>
            <w:tcW w:w="680" w:type="dxa"/>
            <w:tcBorders>
              <w:left w:val="single" w:color="000000" w:sz="8" w:space="0"/>
              <w:bottom w:val="single" w:color="000000" w:sz="8" w:space="0"/>
              <w:right w:val="single" w:color="000000" w:sz="8" w:space="0"/>
            </w:tcBorders>
            <w:vAlign w:val="center"/>
          </w:tcPr>
          <w:p>
            <w:pPr>
              <w:spacing w:line="560" w:lineRule="exact"/>
              <w:rPr>
                <w:rFonts w:hint="eastAsia" w:eastAsiaTheme="minorEastAsia"/>
                <w:lang w:val="en-US" w:eastAsia="zh-CN"/>
              </w:rPr>
            </w:pPr>
            <w:r>
              <w:rPr>
                <w:rFonts w:hint="eastAsia" w:ascii="仿宋_GB2312" w:hAnsi="仿宋_GB2312" w:eastAsia="仿宋_GB2312" w:cs="仿宋_GB2312"/>
                <w:sz w:val="24"/>
                <w:szCs w:val="28"/>
                <w:lang w:val="en-US" w:eastAsia="zh-CN"/>
              </w:rPr>
              <w:t>4</w:t>
            </w:r>
          </w:p>
        </w:tc>
        <w:tc>
          <w:tcPr>
            <w:tcW w:w="1392" w:type="dxa"/>
            <w:tcBorders>
              <w:left w:val="single" w:color="000000" w:sz="8" w:space="0"/>
              <w:bottom w:val="single" w:color="000000" w:sz="8" w:space="0"/>
              <w:right w:val="single" w:color="000000" w:sz="8" w:space="0"/>
            </w:tcBorders>
            <w:vAlign w:val="center"/>
          </w:tcPr>
          <w:p>
            <w:pPr>
              <w:spacing w:line="560" w:lineRule="exact"/>
            </w:pPr>
            <w:r>
              <w:rPr>
                <w:rFonts w:hint="eastAsia" w:ascii="仿宋" w:hAnsi="仿宋" w:eastAsia="仿宋" w:cs="宋体"/>
                <w:sz w:val="24"/>
                <w:szCs w:val="24"/>
                <w:highlight w:val="none"/>
              </w:rPr>
              <w:t>拟安排的</w:t>
            </w:r>
            <w:r>
              <w:rPr>
                <w:rFonts w:hint="eastAsia" w:ascii="仿宋" w:hAnsi="仿宋" w:eastAsia="仿宋" w:cs="宋体"/>
                <w:sz w:val="24"/>
                <w:szCs w:val="24"/>
                <w:highlight w:val="none"/>
                <w:lang w:val="en-US" w:eastAsia="zh-CN"/>
              </w:rPr>
              <w:t>团队成员</w:t>
            </w:r>
            <w:r>
              <w:rPr>
                <w:rFonts w:hint="eastAsia" w:ascii="仿宋" w:hAnsi="仿宋" w:eastAsia="仿宋" w:cs="宋体"/>
                <w:sz w:val="24"/>
                <w:szCs w:val="24"/>
                <w:highlight w:val="none"/>
              </w:rPr>
              <w:t>情况</w:t>
            </w:r>
          </w:p>
        </w:tc>
        <w:tc>
          <w:tcPr>
            <w:tcW w:w="750" w:type="dxa"/>
            <w:tcBorders>
              <w:left w:val="single" w:color="000000" w:sz="8" w:space="0"/>
              <w:bottom w:val="single" w:color="000000" w:sz="8" w:space="0"/>
              <w:right w:val="single" w:color="000000" w:sz="8" w:space="0"/>
            </w:tcBorders>
            <w:vAlign w:val="center"/>
          </w:tcPr>
          <w:p>
            <w:pPr>
              <w:spacing w:line="560" w:lineRule="exact"/>
              <w:rPr>
                <w:rFonts w:hint="default" w:eastAsiaTheme="minorEastAsia"/>
                <w:lang w:val="en-US" w:eastAsia="zh-CN"/>
              </w:rPr>
            </w:pPr>
            <w:r>
              <w:rPr>
                <w:rFonts w:hint="eastAsia" w:ascii="仿宋_GB2312" w:hAnsi="仿宋_GB2312" w:eastAsia="仿宋_GB2312" w:cs="仿宋_GB2312"/>
                <w:sz w:val="24"/>
                <w:szCs w:val="28"/>
                <w:lang w:val="en-US" w:eastAsia="zh-CN"/>
              </w:rPr>
              <w:t>18</w:t>
            </w:r>
          </w:p>
        </w:tc>
        <w:tc>
          <w:tcPr>
            <w:tcW w:w="5135"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（一）评</w:t>
            </w:r>
            <w:r>
              <w:rPr>
                <w:rFonts w:hint="eastAsia" w:ascii="仿宋_GB2312" w:hAnsi="仿宋_GB2312" w:eastAsia="仿宋_GB2312" w:cs="仿宋_GB2312"/>
                <w:sz w:val="24"/>
                <w:szCs w:val="24"/>
                <w:highlight w:val="none"/>
                <w:lang w:val="en-US" w:eastAsia="zh-CN"/>
              </w:rPr>
              <w:t>分</w:t>
            </w:r>
            <w:r>
              <w:rPr>
                <w:rFonts w:hint="eastAsia" w:ascii="仿宋_GB2312" w:hAnsi="仿宋_GB2312" w:eastAsia="仿宋_GB2312" w:cs="仿宋_GB2312"/>
                <w:sz w:val="24"/>
                <w:szCs w:val="24"/>
                <w:highlight w:val="none"/>
              </w:rPr>
              <w:t>内容：</w:t>
            </w:r>
          </w:p>
          <w:p>
            <w:pPr>
              <w:spacing w:line="56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1.</w:t>
            </w:r>
            <w:r>
              <w:rPr>
                <w:rFonts w:hint="eastAsia" w:ascii="仿宋_GB2312" w:hAnsi="仿宋_GB2312" w:eastAsia="仿宋_GB2312" w:cs="仿宋_GB2312"/>
                <w:kern w:val="0"/>
                <w:sz w:val="24"/>
                <w:szCs w:val="24"/>
                <w:highlight w:val="none"/>
              </w:rPr>
              <w:t>具有已完成的重大项目的政府采购咨询项目或招标咨询项目的项目业绩</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b/>
                <w:bCs/>
                <w:kern w:val="0"/>
                <w:sz w:val="24"/>
                <w:szCs w:val="24"/>
                <w:highlight w:val="none"/>
                <w:lang w:val="en-US" w:eastAsia="zh-CN"/>
              </w:rPr>
              <w:t>且作为团队核心成员的</w:t>
            </w:r>
            <w:r>
              <w:rPr>
                <w:rFonts w:hint="eastAsia" w:ascii="仿宋_GB2312" w:hAnsi="仿宋_GB2312" w:eastAsia="仿宋_GB2312" w:cs="仿宋_GB2312"/>
                <w:kern w:val="0"/>
                <w:sz w:val="24"/>
                <w:szCs w:val="24"/>
                <w:highlight w:val="none"/>
                <w:lang w:val="en-US" w:eastAsia="zh-CN"/>
              </w:rPr>
              <w:t>，</w:t>
            </w:r>
            <w:r>
              <w:rPr>
                <w:rFonts w:hint="eastAsia" w:ascii="仿宋_GB2312" w:hAnsi="仿宋_GB2312" w:eastAsia="仿宋_GB2312" w:cs="仿宋_GB2312"/>
                <w:kern w:val="0"/>
                <w:sz w:val="24"/>
                <w:szCs w:val="24"/>
                <w:highlight w:val="none"/>
              </w:rPr>
              <w:t>每</w:t>
            </w:r>
            <w:r>
              <w:rPr>
                <w:rFonts w:hint="eastAsia" w:ascii="仿宋_GB2312" w:hAnsi="仿宋_GB2312" w:eastAsia="仿宋_GB2312" w:cs="仿宋_GB2312"/>
                <w:kern w:val="0"/>
                <w:sz w:val="24"/>
                <w:szCs w:val="24"/>
                <w:highlight w:val="none"/>
                <w:lang w:val="en-US" w:eastAsia="zh-CN"/>
              </w:rPr>
              <w:t>人每份</w:t>
            </w:r>
            <w:r>
              <w:rPr>
                <w:rFonts w:hint="eastAsia" w:ascii="仿宋_GB2312" w:hAnsi="仿宋_GB2312" w:eastAsia="仿宋_GB2312" w:cs="仿宋_GB2312"/>
                <w:kern w:val="0"/>
                <w:sz w:val="24"/>
                <w:szCs w:val="24"/>
                <w:highlight w:val="none"/>
              </w:rPr>
              <w:t>得</w:t>
            </w:r>
            <w:r>
              <w:rPr>
                <w:rFonts w:hint="eastAsia" w:ascii="仿宋_GB2312" w:hAnsi="仿宋_GB2312" w:eastAsia="仿宋_GB2312" w:cs="仿宋_GB2312"/>
                <w:kern w:val="0"/>
                <w:sz w:val="24"/>
                <w:szCs w:val="24"/>
                <w:highlight w:val="none"/>
                <w:lang w:eastAsia="zh-CN"/>
              </w:rPr>
              <w:t>2</w:t>
            </w:r>
            <w:r>
              <w:rPr>
                <w:rFonts w:hint="eastAsia" w:ascii="仿宋_GB2312" w:hAnsi="仿宋_GB2312" w:eastAsia="仿宋_GB2312" w:cs="仿宋_GB2312"/>
                <w:kern w:val="0"/>
                <w:sz w:val="24"/>
                <w:szCs w:val="24"/>
                <w:highlight w:val="none"/>
              </w:rPr>
              <w:t>分</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三</w:t>
            </w:r>
            <w:r>
              <w:rPr>
                <w:rFonts w:hint="eastAsia" w:ascii="仿宋_GB2312" w:hAnsi="仿宋_GB2312" w:eastAsia="仿宋_GB2312" w:cs="仿宋_GB2312"/>
                <w:kern w:val="0"/>
                <w:sz w:val="24"/>
                <w:szCs w:val="24"/>
                <w:highlight w:val="none"/>
              </w:rPr>
              <w:t>人</w:t>
            </w:r>
            <w:r>
              <w:rPr>
                <w:rFonts w:hint="eastAsia" w:ascii="仿宋_GB2312" w:hAnsi="仿宋_GB2312" w:eastAsia="仿宋_GB2312" w:cs="仿宋_GB2312"/>
                <w:kern w:val="0"/>
                <w:sz w:val="24"/>
                <w:szCs w:val="24"/>
                <w:highlight w:val="none"/>
                <w:lang w:val="en-US" w:eastAsia="zh-CN"/>
              </w:rPr>
              <w:t>最高得</w:t>
            </w:r>
            <w:r>
              <w:rPr>
                <w:rFonts w:hint="eastAsia" w:ascii="仿宋_GB2312" w:hAnsi="仿宋_GB2312" w:eastAsia="仿宋_GB2312" w:cs="仿宋_GB2312"/>
                <w:kern w:val="0"/>
                <w:sz w:val="24"/>
                <w:szCs w:val="24"/>
                <w:highlight w:val="none"/>
                <w:lang w:eastAsia="zh-CN"/>
              </w:rPr>
              <w:t>6</w:t>
            </w:r>
            <w:r>
              <w:rPr>
                <w:rFonts w:hint="eastAsia" w:ascii="仿宋_GB2312" w:hAnsi="仿宋_GB2312" w:eastAsia="仿宋_GB2312" w:cs="仿宋_GB2312"/>
                <w:kern w:val="0"/>
                <w:sz w:val="24"/>
                <w:szCs w:val="24"/>
                <w:highlight w:val="none"/>
              </w:rPr>
              <w:t>分</w:t>
            </w:r>
            <w:r>
              <w:rPr>
                <w:rFonts w:hint="eastAsia" w:ascii="仿宋_GB2312" w:hAnsi="仿宋_GB2312" w:eastAsia="仿宋_GB2312" w:cs="仿宋_GB2312"/>
                <w:kern w:val="0"/>
                <w:sz w:val="24"/>
                <w:szCs w:val="24"/>
                <w:highlight w:val="none"/>
                <w:lang w:eastAsia="zh-CN"/>
              </w:rPr>
              <w:t>。</w:t>
            </w:r>
          </w:p>
          <w:p>
            <w:pPr>
              <w:numPr>
                <w:ilvl w:val="0"/>
                <w:numId w:val="1"/>
              </w:numPr>
              <w:spacing w:line="560" w:lineRule="exact"/>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具备</w:t>
            </w:r>
            <w:r>
              <w:rPr>
                <w:rFonts w:hint="eastAsia" w:ascii="仿宋_GB2312" w:hAnsi="仿宋_GB2312" w:eastAsia="仿宋_GB2312" w:cs="仿宋_GB2312"/>
                <w:b/>
                <w:bCs/>
                <w:kern w:val="0"/>
                <w:sz w:val="24"/>
                <w:szCs w:val="24"/>
                <w:highlight w:val="none"/>
              </w:rPr>
              <w:t>招标采购</w:t>
            </w:r>
            <w:r>
              <w:rPr>
                <w:rFonts w:hint="eastAsia" w:ascii="仿宋_GB2312" w:hAnsi="仿宋_GB2312" w:eastAsia="仿宋_GB2312" w:cs="仿宋_GB2312"/>
                <w:b/>
                <w:bCs/>
                <w:kern w:val="0"/>
                <w:sz w:val="24"/>
                <w:szCs w:val="24"/>
                <w:highlight w:val="none"/>
                <w:lang w:val="en-US" w:eastAsia="zh-CN"/>
              </w:rPr>
              <w:t>和咨询领域</w:t>
            </w:r>
            <w:r>
              <w:rPr>
                <w:rFonts w:hint="eastAsia" w:ascii="仿宋_GB2312" w:hAnsi="仿宋_GB2312" w:eastAsia="仿宋_GB2312" w:cs="仿宋_GB2312"/>
                <w:kern w:val="0"/>
                <w:sz w:val="24"/>
                <w:szCs w:val="24"/>
                <w:highlight w:val="none"/>
                <w:lang w:val="en-US" w:eastAsia="zh-CN"/>
              </w:rPr>
              <w:t>相关职业资格</w:t>
            </w:r>
            <w:r>
              <w:rPr>
                <w:rFonts w:hint="eastAsia" w:ascii="仿宋_GB2312" w:hAnsi="仿宋_GB2312" w:eastAsia="仿宋_GB2312" w:cs="仿宋_GB2312"/>
                <w:kern w:val="0"/>
                <w:sz w:val="24"/>
                <w:szCs w:val="24"/>
                <w:highlight w:val="none"/>
              </w:rPr>
              <w:t>证书</w:t>
            </w:r>
            <w:r>
              <w:rPr>
                <w:rFonts w:hint="eastAsia" w:ascii="仿宋_GB2312" w:hAnsi="仿宋_GB2312" w:eastAsia="仿宋_GB2312" w:cs="仿宋_GB2312"/>
                <w:kern w:val="0"/>
                <w:sz w:val="24"/>
                <w:szCs w:val="24"/>
                <w:highlight w:val="none"/>
                <w:lang w:eastAsia="zh-CN"/>
              </w:rPr>
              <w:t>：</w:t>
            </w:r>
          </w:p>
          <w:p>
            <w:pPr>
              <w:numPr>
                <w:ilvl w:val="0"/>
                <w:numId w:val="2"/>
              </w:numPr>
              <w:spacing w:line="56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具有</w:t>
            </w:r>
            <w:r>
              <w:rPr>
                <w:rFonts w:hint="eastAsia" w:ascii="仿宋_GB2312" w:hAnsi="仿宋_GB2312" w:eastAsia="仿宋_GB2312" w:cs="仿宋_GB2312"/>
                <w:kern w:val="0"/>
                <w:sz w:val="24"/>
                <w:szCs w:val="24"/>
                <w:highlight w:val="none"/>
                <w:lang w:val="en-US" w:eastAsia="zh-CN"/>
              </w:rPr>
              <w:t>高</w:t>
            </w:r>
            <w:r>
              <w:rPr>
                <w:rFonts w:hint="eastAsia" w:ascii="仿宋_GB2312" w:hAnsi="仿宋_GB2312" w:eastAsia="仿宋_GB2312" w:cs="仿宋_GB2312"/>
                <w:kern w:val="0"/>
                <w:sz w:val="24"/>
                <w:szCs w:val="24"/>
                <w:highlight w:val="none"/>
              </w:rPr>
              <w:t>级</w:t>
            </w:r>
            <w:r>
              <w:rPr>
                <w:rFonts w:hint="eastAsia" w:ascii="仿宋_GB2312" w:hAnsi="仿宋_GB2312" w:eastAsia="仿宋_GB2312" w:cs="仿宋_GB2312"/>
                <w:kern w:val="0"/>
                <w:sz w:val="24"/>
                <w:szCs w:val="24"/>
                <w:highlight w:val="none"/>
                <w:lang w:val="en-US" w:eastAsia="zh-CN"/>
              </w:rPr>
              <w:t>职业资格</w:t>
            </w:r>
            <w:r>
              <w:rPr>
                <w:rFonts w:hint="eastAsia" w:ascii="仿宋_GB2312" w:hAnsi="仿宋_GB2312" w:eastAsia="仿宋_GB2312" w:cs="仿宋_GB2312"/>
                <w:kern w:val="0"/>
                <w:sz w:val="24"/>
                <w:szCs w:val="24"/>
                <w:highlight w:val="none"/>
              </w:rPr>
              <w:t>证书的，</w:t>
            </w:r>
            <w:r>
              <w:rPr>
                <w:rFonts w:hint="eastAsia" w:ascii="仿宋_GB2312" w:hAnsi="仿宋_GB2312" w:eastAsia="仿宋_GB2312" w:cs="仿宋_GB2312"/>
                <w:kern w:val="0"/>
                <w:sz w:val="24"/>
                <w:szCs w:val="24"/>
                <w:highlight w:val="none"/>
                <w:lang w:val="en-US" w:eastAsia="zh-CN"/>
              </w:rPr>
              <w:t>每人每份得4分，三人最高得12</w:t>
            </w:r>
            <w:r>
              <w:rPr>
                <w:rFonts w:hint="eastAsia" w:ascii="仿宋_GB2312" w:hAnsi="仿宋_GB2312" w:eastAsia="仿宋_GB2312" w:cs="仿宋_GB2312"/>
                <w:kern w:val="0"/>
                <w:sz w:val="24"/>
                <w:szCs w:val="24"/>
                <w:highlight w:val="none"/>
              </w:rPr>
              <w:t>分；</w:t>
            </w:r>
          </w:p>
          <w:p>
            <w:pPr>
              <w:numPr>
                <w:ilvl w:val="0"/>
                <w:numId w:val="2"/>
              </w:num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highlight w:val="none"/>
              </w:rPr>
              <w:t>具有</w:t>
            </w:r>
            <w:r>
              <w:rPr>
                <w:rFonts w:hint="eastAsia" w:ascii="仿宋_GB2312" w:hAnsi="仿宋_GB2312" w:eastAsia="仿宋_GB2312" w:cs="仿宋_GB2312"/>
                <w:kern w:val="0"/>
                <w:sz w:val="24"/>
                <w:szCs w:val="24"/>
                <w:highlight w:val="none"/>
                <w:lang w:val="en-US" w:eastAsia="zh-CN"/>
              </w:rPr>
              <w:t>中</w:t>
            </w:r>
            <w:r>
              <w:rPr>
                <w:rFonts w:hint="eastAsia" w:ascii="仿宋_GB2312" w:hAnsi="仿宋_GB2312" w:eastAsia="仿宋_GB2312" w:cs="仿宋_GB2312"/>
                <w:kern w:val="0"/>
                <w:sz w:val="24"/>
                <w:szCs w:val="24"/>
                <w:highlight w:val="none"/>
              </w:rPr>
              <w:t>级职业资格证书的，</w:t>
            </w:r>
            <w:r>
              <w:rPr>
                <w:rFonts w:hint="eastAsia" w:ascii="仿宋_GB2312" w:hAnsi="仿宋_GB2312" w:eastAsia="仿宋_GB2312" w:cs="仿宋_GB2312"/>
                <w:kern w:val="0"/>
                <w:sz w:val="24"/>
                <w:szCs w:val="24"/>
                <w:highlight w:val="none"/>
                <w:lang w:val="en-US" w:eastAsia="zh-CN"/>
              </w:rPr>
              <w:t>每人每份得3</w:t>
            </w:r>
            <w:r>
              <w:rPr>
                <w:rFonts w:hint="eastAsia" w:ascii="仿宋_GB2312" w:hAnsi="仿宋_GB2312" w:eastAsia="仿宋_GB2312" w:cs="仿宋_GB2312"/>
                <w:kern w:val="0"/>
                <w:sz w:val="24"/>
                <w:szCs w:val="24"/>
                <w:highlight w:val="none"/>
              </w:rPr>
              <w:t>分，三人</w:t>
            </w:r>
            <w:r>
              <w:rPr>
                <w:rFonts w:hint="eastAsia" w:ascii="仿宋_GB2312" w:hAnsi="仿宋_GB2312" w:eastAsia="仿宋_GB2312" w:cs="仿宋_GB2312"/>
                <w:kern w:val="0"/>
                <w:sz w:val="24"/>
                <w:szCs w:val="24"/>
                <w:highlight w:val="none"/>
                <w:lang w:val="en-US" w:eastAsia="zh-CN"/>
              </w:rPr>
              <w:t>最高得9</w:t>
            </w:r>
            <w:r>
              <w:rPr>
                <w:rFonts w:hint="eastAsia" w:ascii="仿宋_GB2312" w:hAnsi="仿宋_GB2312" w:eastAsia="仿宋_GB2312" w:cs="仿宋_GB2312"/>
                <w:kern w:val="0"/>
                <w:sz w:val="24"/>
                <w:szCs w:val="24"/>
                <w:highlight w:val="none"/>
              </w:rPr>
              <w:t>分；</w:t>
            </w:r>
          </w:p>
          <w:p>
            <w:pPr>
              <w:numPr>
                <w:ilvl w:val="0"/>
                <w:numId w:val="2"/>
              </w:num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highlight w:val="none"/>
              </w:rPr>
              <w:t>具有</w:t>
            </w:r>
            <w:r>
              <w:rPr>
                <w:rFonts w:hint="eastAsia" w:ascii="仿宋_GB2312" w:hAnsi="仿宋_GB2312" w:eastAsia="仿宋_GB2312" w:cs="仿宋_GB2312"/>
                <w:kern w:val="0"/>
                <w:sz w:val="24"/>
                <w:szCs w:val="24"/>
                <w:highlight w:val="none"/>
                <w:lang w:val="en-US" w:eastAsia="zh-CN"/>
              </w:rPr>
              <w:t>初</w:t>
            </w:r>
            <w:r>
              <w:rPr>
                <w:rFonts w:hint="eastAsia" w:ascii="仿宋_GB2312" w:hAnsi="仿宋_GB2312" w:eastAsia="仿宋_GB2312" w:cs="仿宋_GB2312"/>
                <w:kern w:val="0"/>
                <w:sz w:val="24"/>
                <w:szCs w:val="24"/>
                <w:highlight w:val="none"/>
              </w:rPr>
              <w:t>级职业资格证书的，</w:t>
            </w:r>
            <w:r>
              <w:rPr>
                <w:rFonts w:hint="eastAsia" w:ascii="仿宋_GB2312" w:hAnsi="仿宋_GB2312" w:eastAsia="仿宋_GB2312" w:cs="仿宋_GB2312"/>
                <w:kern w:val="0"/>
                <w:sz w:val="24"/>
                <w:szCs w:val="24"/>
                <w:highlight w:val="none"/>
                <w:lang w:val="en-US" w:eastAsia="zh-CN"/>
              </w:rPr>
              <w:t>每人每份得2</w:t>
            </w:r>
            <w:r>
              <w:rPr>
                <w:rFonts w:hint="eastAsia" w:ascii="仿宋_GB2312" w:hAnsi="仿宋_GB2312" w:eastAsia="仿宋_GB2312" w:cs="仿宋_GB2312"/>
                <w:kern w:val="0"/>
                <w:sz w:val="24"/>
                <w:szCs w:val="24"/>
                <w:highlight w:val="none"/>
              </w:rPr>
              <w:t>分，三人</w:t>
            </w:r>
            <w:r>
              <w:rPr>
                <w:rFonts w:hint="eastAsia" w:ascii="仿宋_GB2312" w:hAnsi="仿宋_GB2312" w:eastAsia="仿宋_GB2312" w:cs="仿宋_GB2312"/>
                <w:kern w:val="0"/>
                <w:sz w:val="24"/>
                <w:szCs w:val="24"/>
                <w:highlight w:val="none"/>
                <w:lang w:val="en-US" w:eastAsia="zh-CN"/>
              </w:rPr>
              <w:t>最高得6</w:t>
            </w:r>
            <w:r>
              <w:rPr>
                <w:rFonts w:hint="eastAsia" w:ascii="仿宋_GB2312" w:hAnsi="仿宋_GB2312" w:eastAsia="仿宋_GB2312" w:cs="仿宋_GB2312"/>
                <w:kern w:val="0"/>
                <w:sz w:val="24"/>
                <w:szCs w:val="24"/>
                <w:highlight w:val="none"/>
              </w:rPr>
              <w:t>分；</w:t>
            </w:r>
          </w:p>
          <w:p>
            <w:pPr>
              <w:numPr>
                <w:ilvl w:val="0"/>
                <w:numId w:val="2"/>
              </w:num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highlight w:val="none"/>
                <w:lang w:val="en-US" w:eastAsia="zh-CN"/>
              </w:rPr>
              <w:t>没有</w:t>
            </w:r>
            <w:r>
              <w:rPr>
                <w:rFonts w:hint="eastAsia" w:ascii="仿宋_GB2312" w:hAnsi="仿宋_GB2312" w:eastAsia="仿宋_GB2312" w:cs="仿宋_GB2312"/>
                <w:kern w:val="0"/>
                <w:sz w:val="24"/>
                <w:szCs w:val="24"/>
                <w:highlight w:val="none"/>
              </w:rPr>
              <w:t>职业资格证书的，</w:t>
            </w:r>
            <w:r>
              <w:rPr>
                <w:rFonts w:hint="eastAsia" w:ascii="仿宋_GB2312" w:hAnsi="仿宋_GB2312" w:eastAsia="仿宋_GB2312" w:cs="仿宋_GB2312"/>
                <w:kern w:val="0"/>
                <w:sz w:val="24"/>
                <w:szCs w:val="24"/>
                <w:highlight w:val="none"/>
                <w:lang w:val="en-US" w:eastAsia="zh-CN"/>
              </w:rPr>
              <w:t>不得分。</w:t>
            </w:r>
          </w:p>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（二）评分依据：</w:t>
            </w:r>
          </w:p>
          <w:p>
            <w:pPr>
              <w:spacing w:line="56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以上人员需提供相关证书</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职业资格认证</w:t>
            </w:r>
            <w:r>
              <w:rPr>
                <w:rFonts w:hint="eastAsia" w:ascii="仿宋_GB2312" w:hAnsi="仿宋_GB2312" w:eastAsia="仿宋_GB2312" w:cs="仿宋_GB2312"/>
                <w:kern w:val="0"/>
                <w:sz w:val="24"/>
                <w:szCs w:val="24"/>
                <w:highlight w:val="none"/>
              </w:rPr>
              <w:t>复印件、业绩经验证明、投标人近一个月（投标截止时间前1个月）为其缴纳社保证明复印件加盖公章，原件备查，未按要求提供或提供不清晰导致专家无法判断的不得分。团队成员中同一人员持有多个证书的，不重复计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000000" w:sz="8" w:space="0"/>
              <w:left w:val="single" w:color="000000" w:sz="8" w:space="0"/>
              <w:right w:val="single" w:color="000000" w:sz="8" w:space="0"/>
            </w:tcBorders>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3</w:t>
            </w:r>
          </w:p>
        </w:tc>
        <w:tc>
          <w:tcPr>
            <w:tcW w:w="2822" w:type="dxa"/>
            <w:gridSpan w:val="3"/>
            <w:tcBorders>
              <w:top w:val="single" w:color="000000" w:sz="8" w:space="0"/>
              <w:left w:val="single" w:color="000000" w:sz="8" w:space="0"/>
              <w:bottom w:val="single" w:color="000000" w:sz="8" w:space="0"/>
              <w:right w:val="single" w:color="000000" w:sz="8" w:space="0"/>
            </w:tcBorders>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技术部分</w:t>
            </w:r>
          </w:p>
        </w:tc>
        <w:tc>
          <w:tcPr>
            <w:tcW w:w="5135" w:type="dxa"/>
            <w:tcBorders>
              <w:top w:val="single" w:color="000000" w:sz="8" w:space="0"/>
              <w:left w:val="single" w:color="000000" w:sz="8" w:space="0"/>
              <w:bottom w:val="single" w:color="000000" w:sz="8" w:space="0"/>
              <w:right w:val="single" w:color="000000" w:sz="8" w:space="0"/>
            </w:tcBorders>
          </w:tcPr>
          <w:p>
            <w:pPr>
              <w:spacing w:line="560" w:lineRule="exact"/>
              <w:jc w:val="center"/>
              <w:rPr>
                <w:rFonts w:ascii="仿宋" w:hAnsi="仿宋" w:eastAsia="仿宋" w:cs="宋体"/>
                <w:b/>
                <w:bCs/>
                <w:sz w:val="24"/>
                <w:szCs w:val="24"/>
                <w:highlight w:val="none"/>
              </w:rPr>
            </w:pPr>
            <w:r>
              <w:rPr>
                <w:rFonts w:ascii="仿宋" w:hAnsi="仿宋" w:eastAsia="仿宋" w:cs="宋体"/>
                <w:b/>
                <w:bCs/>
                <w:sz w:val="24"/>
                <w:szCs w:val="24"/>
                <w:highlight w:val="none"/>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vAlign w:val="center"/>
          </w:tcPr>
          <w:p>
            <w:pPr>
              <w:spacing w:line="560" w:lineRule="exact"/>
              <w:rPr>
                <w:rFonts w:ascii="仿宋" w:hAnsi="仿宋" w:eastAsia="仿宋" w:cs="宋体"/>
                <w:b/>
                <w:bCs/>
                <w:sz w:val="24"/>
                <w:szCs w:val="24"/>
                <w:highlight w:val="none"/>
              </w:rPr>
            </w:pPr>
          </w:p>
        </w:tc>
        <w:tc>
          <w:tcPr>
            <w:tcW w:w="7957" w:type="dxa"/>
            <w:gridSpan w:val="4"/>
            <w:tcBorders>
              <w:top w:val="single" w:color="000000" w:sz="8" w:space="0"/>
              <w:left w:val="single" w:color="000000" w:sz="8" w:space="0"/>
              <w:bottom w:val="single" w:color="000000" w:sz="8" w:space="0"/>
              <w:right w:val="single" w:color="000000" w:sz="8" w:space="0"/>
            </w:tcBorders>
          </w:tcPr>
          <w:p>
            <w:pPr>
              <w:spacing w:line="560" w:lineRule="exact"/>
              <w:rPr>
                <w:rFonts w:ascii="仿宋" w:hAnsi="仿宋" w:eastAsia="仿宋" w:cs="宋体"/>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shd w:val="clear" w:color="auto" w:fill="E6EFFA"/>
            <w:vAlign w:val="center"/>
          </w:tcPr>
          <w:p>
            <w:pPr>
              <w:spacing w:line="560" w:lineRule="exact"/>
              <w:rPr>
                <w:rFonts w:ascii="仿宋" w:hAnsi="仿宋" w:eastAsia="仿宋" w:cs="宋体"/>
                <w:b/>
                <w:bCs/>
                <w:sz w:val="24"/>
                <w:szCs w:val="24"/>
                <w:highlight w:val="none"/>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序号</w:t>
            </w:r>
          </w:p>
        </w:tc>
        <w:tc>
          <w:tcPr>
            <w:tcW w:w="1392"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评分因素</w:t>
            </w:r>
          </w:p>
        </w:tc>
        <w:tc>
          <w:tcPr>
            <w:tcW w:w="75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分值</w:t>
            </w:r>
          </w:p>
        </w:tc>
        <w:tc>
          <w:tcPr>
            <w:tcW w:w="51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560" w:lineRule="exact"/>
              <w:jc w:val="center"/>
              <w:rPr>
                <w:rFonts w:ascii="仿宋" w:hAnsi="仿宋" w:eastAsia="仿宋" w:cs="宋体"/>
                <w:b/>
                <w:bCs/>
                <w:sz w:val="24"/>
                <w:szCs w:val="24"/>
                <w:highlight w:val="none"/>
              </w:rPr>
            </w:pPr>
            <w:r>
              <w:rPr>
                <w:rFonts w:hint="eastAsia" w:ascii="仿宋" w:hAnsi="仿宋" w:eastAsia="仿宋" w:cs="宋体"/>
                <w:b/>
                <w:bCs/>
                <w:sz w:val="24"/>
                <w:szCs w:val="24"/>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vAlign w:val="center"/>
          </w:tcPr>
          <w:p>
            <w:pPr>
              <w:spacing w:line="560" w:lineRule="exact"/>
              <w:rPr>
                <w:rFonts w:ascii="仿宋" w:hAnsi="仿宋" w:eastAsia="仿宋" w:cs="宋体"/>
                <w:b/>
                <w:bCs/>
                <w:sz w:val="24"/>
                <w:szCs w:val="24"/>
                <w:highlight w:val="none"/>
              </w:rPr>
            </w:pPr>
          </w:p>
        </w:tc>
        <w:tc>
          <w:tcPr>
            <w:tcW w:w="680"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392"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服务方案</w:t>
            </w:r>
          </w:p>
        </w:tc>
        <w:tc>
          <w:tcPr>
            <w:tcW w:w="750"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w:t>
            </w:r>
          </w:p>
        </w:tc>
        <w:tc>
          <w:tcPr>
            <w:tcW w:w="5135" w:type="dxa"/>
            <w:tcBorders>
              <w:top w:val="single" w:color="000000" w:sz="8" w:space="0"/>
              <w:left w:val="single" w:color="000000" w:sz="8" w:space="0"/>
              <w:bottom w:val="single" w:color="000000" w:sz="8" w:space="0"/>
              <w:right w:val="single" w:color="000000" w:sz="8" w:space="0"/>
            </w:tcBorders>
          </w:tcPr>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（一）评</w:t>
            </w:r>
            <w:r>
              <w:rPr>
                <w:rFonts w:hint="eastAsia" w:ascii="仿宋_GB2312" w:hAnsi="仿宋_GB2312" w:eastAsia="仿宋_GB2312" w:cs="仿宋_GB2312"/>
                <w:sz w:val="24"/>
                <w:szCs w:val="24"/>
                <w:highlight w:val="none"/>
                <w:lang w:val="en-US" w:eastAsia="zh-CN"/>
              </w:rPr>
              <w:t>分</w:t>
            </w:r>
            <w:r>
              <w:rPr>
                <w:rFonts w:hint="eastAsia" w:ascii="仿宋_GB2312" w:hAnsi="仿宋_GB2312" w:eastAsia="仿宋_GB2312" w:cs="仿宋_GB2312"/>
                <w:sz w:val="24"/>
                <w:szCs w:val="24"/>
                <w:highlight w:val="none"/>
              </w:rPr>
              <w:t>内容：</w:t>
            </w:r>
          </w:p>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根据投标人制定的项目服务方案为评价依据，包含但不限于以下内容：1.前期调查2.采购需求编制方案3.采购计划编制方案4.采购需求编制方法及成果交付。</w:t>
            </w:r>
          </w:p>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（二）评分依据：</w:t>
            </w:r>
          </w:p>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每提供一项内容3分，最高得12分；在此基础上，根据投标人提供的方案进一步评价：</w:t>
            </w:r>
          </w:p>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1.对服务内容的理解深刻、可行性强、质量保障措施有力，评审为优的得8分；</w:t>
            </w:r>
          </w:p>
          <w:p>
            <w:pPr>
              <w:spacing w:line="560" w:lineRule="exact"/>
              <w:jc w:val="left"/>
              <w:rPr>
                <w:rFonts w:hint="eastAsia" w:ascii="仿宋_GB2312" w:hAnsi="仿宋_GB2312" w:eastAsia="仿宋_GB2312" w:cs="仿宋_GB2312"/>
                <w:bCs/>
                <w:sz w:val="24"/>
                <w:szCs w:val="24"/>
                <w:highlight w:val="none"/>
              </w:rPr>
            </w:pPr>
            <w:r>
              <w:rPr>
                <w:rFonts w:hint="eastAsia" w:ascii="仿宋_GB2312" w:hAnsi="仿宋_GB2312" w:eastAsia="仿宋_GB2312" w:cs="仿宋_GB2312"/>
                <w:sz w:val="24"/>
                <w:szCs w:val="24"/>
                <w:highlight w:val="none"/>
              </w:rPr>
              <w:t>2.对服务内容的理解良好、可行性较好，</w:t>
            </w:r>
            <w:r>
              <w:rPr>
                <w:rFonts w:hint="eastAsia" w:ascii="仿宋_GB2312" w:hAnsi="仿宋_GB2312" w:eastAsia="仿宋_GB2312" w:cs="仿宋_GB2312"/>
                <w:bCs/>
                <w:sz w:val="24"/>
                <w:szCs w:val="24"/>
                <w:highlight w:val="none"/>
              </w:rPr>
              <w:t>质量保障措施良好，</w:t>
            </w:r>
            <w:r>
              <w:rPr>
                <w:rFonts w:hint="eastAsia" w:ascii="仿宋_GB2312" w:hAnsi="仿宋_GB2312" w:eastAsia="仿宋_GB2312" w:cs="仿宋_GB2312"/>
                <w:color w:val="000000"/>
                <w:sz w:val="24"/>
                <w:szCs w:val="24"/>
                <w:highlight w:val="none"/>
              </w:rPr>
              <w:t>评审为良的</w:t>
            </w:r>
            <w:r>
              <w:rPr>
                <w:rFonts w:hint="eastAsia" w:ascii="仿宋_GB2312" w:hAnsi="仿宋_GB2312" w:eastAsia="仿宋_GB2312" w:cs="仿宋_GB2312"/>
                <w:bCs/>
                <w:sz w:val="24"/>
                <w:szCs w:val="24"/>
                <w:highlight w:val="none"/>
              </w:rPr>
              <w:t>得6分；</w:t>
            </w:r>
          </w:p>
          <w:p>
            <w:pPr>
              <w:spacing w:line="560" w:lineRule="exact"/>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3.对服务内容理解一般、可行性一般、质量保障措施一般，</w:t>
            </w:r>
            <w:r>
              <w:rPr>
                <w:rFonts w:hint="eastAsia" w:ascii="仿宋_GB2312" w:hAnsi="仿宋_GB2312" w:eastAsia="仿宋_GB2312" w:cs="仿宋_GB2312"/>
                <w:color w:val="000000"/>
                <w:sz w:val="24"/>
                <w:szCs w:val="24"/>
                <w:highlight w:val="none"/>
              </w:rPr>
              <w:t>评审为</w:t>
            </w:r>
            <w:r>
              <w:rPr>
                <w:rFonts w:hint="eastAsia" w:ascii="仿宋_GB2312" w:hAnsi="仿宋_GB2312" w:eastAsia="仿宋_GB2312" w:cs="仿宋_GB2312"/>
                <w:color w:val="000000"/>
                <w:sz w:val="24"/>
                <w:szCs w:val="24"/>
                <w:highlight w:val="none"/>
                <w:lang w:val="en-US" w:eastAsia="zh-CN"/>
              </w:rPr>
              <w:t>一般</w:t>
            </w:r>
            <w:r>
              <w:rPr>
                <w:rFonts w:hint="eastAsia" w:ascii="仿宋_GB2312" w:hAnsi="仿宋_GB2312" w:eastAsia="仿宋_GB2312" w:cs="仿宋_GB2312"/>
                <w:color w:val="000000"/>
                <w:sz w:val="24"/>
                <w:szCs w:val="24"/>
                <w:highlight w:val="none"/>
              </w:rPr>
              <w:t>的</w:t>
            </w:r>
            <w:r>
              <w:rPr>
                <w:rFonts w:hint="eastAsia" w:ascii="仿宋_GB2312" w:hAnsi="仿宋_GB2312" w:eastAsia="仿宋_GB2312" w:cs="仿宋_GB2312"/>
                <w:bCs/>
                <w:sz w:val="24"/>
                <w:szCs w:val="24"/>
                <w:highlight w:val="none"/>
              </w:rPr>
              <w:t>得4分；</w:t>
            </w:r>
          </w:p>
          <w:p>
            <w:pPr>
              <w:spacing w:line="560" w:lineRule="exact"/>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4.对服务内容理解不符合项目需求、服务方案指导性和专业性较差、服务质量保障措施较差或无保障措施的，</w:t>
            </w:r>
            <w:r>
              <w:rPr>
                <w:rFonts w:hint="eastAsia" w:ascii="仿宋_GB2312" w:hAnsi="仿宋_GB2312" w:eastAsia="仿宋_GB2312" w:cs="仿宋_GB2312"/>
                <w:color w:val="000000"/>
                <w:sz w:val="24"/>
                <w:szCs w:val="24"/>
                <w:highlight w:val="none"/>
              </w:rPr>
              <w:t>评审为差的或未提供方案</w:t>
            </w:r>
            <w:r>
              <w:rPr>
                <w:rFonts w:hint="eastAsia" w:ascii="仿宋_GB2312" w:hAnsi="仿宋_GB2312" w:eastAsia="仿宋_GB2312" w:cs="仿宋_GB2312"/>
                <w:bCs/>
                <w:sz w:val="24"/>
                <w:szCs w:val="24"/>
                <w:highlight w:val="none"/>
              </w:rPr>
              <w:t>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vAlign w:val="center"/>
          </w:tcPr>
          <w:p>
            <w:pPr>
              <w:spacing w:line="560" w:lineRule="exact"/>
              <w:rPr>
                <w:rFonts w:ascii="仿宋" w:hAnsi="仿宋" w:eastAsia="仿宋" w:cs="宋体"/>
                <w:b/>
                <w:bCs/>
                <w:sz w:val="24"/>
                <w:szCs w:val="24"/>
                <w:highlight w:val="none"/>
              </w:rPr>
            </w:pPr>
          </w:p>
        </w:tc>
        <w:tc>
          <w:tcPr>
            <w:tcW w:w="680"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hint="eastAsia" w:ascii="仿宋" w:hAnsi="仿宋" w:eastAsia="仿宋" w:cs="宋体"/>
                <w:sz w:val="24"/>
                <w:szCs w:val="24"/>
                <w:highlight w:val="none"/>
              </w:rPr>
              <w:t>2</w:t>
            </w:r>
          </w:p>
        </w:tc>
        <w:tc>
          <w:tcPr>
            <w:tcW w:w="1392"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hint="eastAsia" w:ascii="仿宋" w:hAnsi="仿宋" w:eastAsia="仿宋" w:cs="宋体"/>
                <w:sz w:val="24"/>
                <w:szCs w:val="24"/>
                <w:highlight w:val="none"/>
              </w:rPr>
              <w:t>项目重点难点分析、应对措施及相关的合理化建议</w:t>
            </w:r>
          </w:p>
        </w:tc>
        <w:tc>
          <w:tcPr>
            <w:tcW w:w="750"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ascii="仿宋" w:hAnsi="仿宋" w:eastAsia="仿宋" w:cs="宋体"/>
                <w:sz w:val="24"/>
                <w:szCs w:val="24"/>
                <w:highlight w:val="none"/>
              </w:rPr>
              <w:t>10</w:t>
            </w:r>
          </w:p>
        </w:tc>
        <w:tc>
          <w:tcPr>
            <w:tcW w:w="5135"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（一）评</w:t>
            </w:r>
            <w:r>
              <w:rPr>
                <w:rFonts w:hint="eastAsia" w:ascii="仿宋_GB2312" w:hAnsi="仿宋_GB2312" w:eastAsia="仿宋_GB2312" w:cs="仿宋_GB2312"/>
                <w:sz w:val="24"/>
                <w:szCs w:val="24"/>
                <w:highlight w:val="none"/>
                <w:lang w:val="en-US" w:eastAsia="zh-CN"/>
              </w:rPr>
              <w:t>分</w:t>
            </w:r>
            <w:r>
              <w:rPr>
                <w:rFonts w:hint="eastAsia" w:ascii="仿宋_GB2312" w:hAnsi="仿宋_GB2312" w:eastAsia="仿宋_GB2312" w:cs="仿宋_GB2312"/>
                <w:sz w:val="24"/>
                <w:szCs w:val="24"/>
                <w:highlight w:val="none"/>
              </w:rPr>
              <w:t>内容：</w:t>
            </w:r>
          </w:p>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根据投标人针对本项目制定的项目重点难点分析、应对措施及相关的合理化建议为评价依据，包含但不限于以下内容：1.重点分析；2.难点分析；3.应对措施; 4.合理化建议。</w:t>
            </w:r>
          </w:p>
          <w:p>
            <w:pPr>
              <w:spacing w:line="560" w:lineRule="exac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（二）评分依据：</w:t>
            </w:r>
          </w:p>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每提供一项内容得1.5分，最高得6分；在此基础上，根据投标人提供的方案进一步评价：</w:t>
            </w:r>
          </w:p>
          <w:p>
            <w:pPr>
              <w:spacing w:line="560" w:lineRule="exac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bCs/>
                <w:sz w:val="24"/>
                <w:szCs w:val="24"/>
                <w:highlight w:val="none"/>
              </w:rPr>
              <w:t>1.</w:t>
            </w:r>
            <w:r>
              <w:rPr>
                <w:rFonts w:hint="eastAsia" w:ascii="仿宋_GB2312" w:hAnsi="仿宋_GB2312" w:eastAsia="仿宋_GB2312" w:cs="仿宋_GB2312"/>
                <w:color w:val="000000"/>
                <w:sz w:val="24"/>
                <w:szCs w:val="24"/>
                <w:highlight w:val="none"/>
              </w:rPr>
              <w:t xml:space="preserve">方案极合理、条理极清晰、可操作性极强，评审为优的得4分； </w:t>
            </w:r>
          </w:p>
          <w:p>
            <w:pPr>
              <w:spacing w:line="560" w:lineRule="exac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bCs/>
                <w:sz w:val="24"/>
                <w:szCs w:val="24"/>
                <w:highlight w:val="none"/>
              </w:rPr>
              <w:t>2.</w:t>
            </w:r>
            <w:r>
              <w:rPr>
                <w:rFonts w:hint="eastAsia" w:ascii="仿宋_GB2312" w:hAnsi="仿宋_GB2312" w:eastAsia="仿宋_GB2312" w:cs="仿宋_GB2312"/>
                <w:color w:val="000000"/>
                <w:sz w:val="24"/>
                <w:szCs w:val="24"/>
                <w:highlight w:val="none"/>
              </w:rPr>
              <w:t>方案合理、条理清晰、可操作</w:t>
            </w:r>
            <w:r>
              <w:rPr>
                <w:rFonts w:hint="eastAsia" w:ascii="仿宋_GB2312" w:hAnsi="仿宋_GB2312" w:eastAsia="仿宋_GB2312" w:cs="仿宋_GB2312"/>
                <w:color w:val="000000"/>
                <w:sz w:val="24"/>
                <w:szCs w:val="24"/>
                <w:highlight w:val="none"/>
                <w:lang w:val="en-US" w:eastAsia="zh-CN"/>
              </w:rPr>
              <w:t>性</w:t>
            </w:r>
            <w:r>
              <w:rPr>
                <w:rFonts w:hint="eastAsia" w:ascii="仿宋_GB2312" w:hAnsi="仿宋_GB2312" w:eastAsia="仿宋_GB2312" w:cs="仿宋_GB2312"/>
                <w:color w:val="000000"/>
                <w:sz w:val="24"/>
                <w:szCs w:val="24"/>
                <w:highlight w:val="none"/>
              </w:rPr>
              <w:t xml:space="preserve">较强，评审为良的得2分； </w:t>
            </w:r>
          </w:p>
          <w:p>
            <w:pPr>
              <w:spacing w:line="560" w:lineRule="exac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bCs/>
                <w:sz w:val="24"/>
                <w:szCs w:val="24"/>
                <w:highlight w:val="none"/>
              </w:rPr>
              <w:t>3.</w:t>
            </w:r>
            <w:r>
              <w:rPr>
                <w:rFonts w:hint="eastAsia" w:ascii="仿宋_GB2312" w:hAnsi="仿宋_GB2312" w:eastAsia="仿宋_GB2312" w:cs="仿宋_GB2312"/>
                <w:color w:val="000000"/>
                <w:sz w:val="24"/>
                <w:szCs w:val="24"/>
                <w:highlight w:val="none"/>
              </w:rPr>
              <w:t>方案一般合理、条理一般、可操作</w:t>
            </w:r>
            <w:r>
              <w:rPr>
                <w:rFonts w:hint="eastAsia" w:ascii="仿宋_GB2312" w:hAnsi="仿宋_GB2312" w:eastAsia="仿宋_GB2312" w:cs="仿宋_GB2312"/>
                <w:color w:val="000000"/>
                <w:sz w:val="24"/>
                <w:szCs w:val="24"/>
                <w:highlight w:val="none"/>
                <w:lang w:val="en-US" w:eastAsia="zh-CN"/>
              </w:rPr>
              <w:t>性</w:t>
            </w:r>
            <w:r>
              <w:rPr>
                <w:rFonts w:hint="eastAsia" w:ascii="仿宋_GB2312" w:hAnsi="仿宋_GB2312" w:eastAsia="仿宋_GB2312" w:cs="仿宋_GB2312"/>
                <w:color w:val="000000"/>
                <w:sz w:val="24"/>
                <w:szCs w:val="24"/>
                <w:highlight w:val="none"/>
              </w:rPr>
              <w:t>一般，评审为</w:t>
            </w:r>
            <w:r>
              <w:rPr>
                <w:rFonts w:hint="eastAsia" w:ascii="仿宋_GB2312" w:hAnsi="仿宋_GB2312" w:eastAsia="仿宋_GB2312" w:cs="仿宋_GB2312"/>
                <w:color w:val="000000"/>
                <w:sz w:val="24"/>
                <w:szCs w:val="24"/>
                <w:highlight w:val="none"/>
                <w:lang w:val="en-US" w:eastAsia="zh-CN"/>
              </w:rPr>
              <w:t>一般</w:t>
            </w:r>
            <w:r>
              <w:rPr>
                <w:rFonts w:hint="eastAsia" w:ascii="仿宋_GB2312" w:hAnsi="仿宋_GB2312" w:eastAsia="仿宋_GB2312" w:cs="仿宋_GB2312"/>
                <w:color w:val="000000"/>
                <w:sz w:val="24"/>
                <w:szCs w:val="24"/>
                <w:highlight w:val="none"/>
              </w:rPr>
              <w:t xml:space="preserve">的得1分； </w:t>
            </w:r>
          </w:p>
          <w:p>
            <w:pPr>
              <w:spacing w:line="56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bCs/>
                <w:sz w:val="24"/>
                <w:szCs w:val="24"/>
                <w:highlight w:val="none"/>
              </w:rPr>
              <w:t>4.</w:t>
            </w:r>
            <w:r>
              <w:rPr>
                <w:rFonts w:hint="eastAsia" w:ascii="仿宋_GB2312" w:hAnsi="仿宋_GB2312" w:eastAsia="仿宋_GB2312" w:cs="仿宋_GB2312"/>
                <w:color w:val="000000"/>
                <w:sz w:val="24"/>
                <w:szCs w:val="24"/>
                <w:highlight w:val="none"/>
              </w:rPr>
              <w:t xml:space="preserve">方案不合理、条理不清晰、可操作性差，评审为差的或未提供方案不得分。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left w:val="single" w:color="000000" w:sz="8" w:space="0"/>
              <w:right w:val="single" w:color="000000" w:sz="8" w:space="0"/>
            </w:tcBorders>
            <w:vAlign w:val="center"/>
          </w:tcPr>
          <w:p>
            <w:pPr>
              <w:spacing w:line="560" w:lineRule="exact"/>
              <w:rPr>
                <w:rFonts w:ascii="仿宋" w:hAnsi="仿宋" w:eastAsia="仿宋" w:cs="宋体"/>
                <w:b/>
                <w:bCs/>
                <w:sz w:val="24"/>
                <w:szCs w:val="24"/>
                <w:highlight w:val="none"/>
              </w:rPr>
            </w:pPr>
          </w:p>
        </w:tc>
        <w:tc>
          <w:tcPr>
            <w:tcW w:w="680"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hint="eastAsia" w:ascii="仿宋" w:hAnsi="仿宋" w:eastAsia="仿宋" w:cs="宋体"/>
                <w:sz w:val="24"/>
                <w:szCs w:val="24"/>
                <w:highlight w:val="none"/>
              </w:rPr>
              <w:t>3</w:t>
            </w:r>
          </w:p>
        </w:tc>
        <w:tc>
          <w:tcPr>
            <w:tcW w:w="1392"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hint="eastAsia" w:ascii="仿宋" w:hAnsi="仿宋" w:eastAsia="仿宋" w:cs="宋体"/>
                <w:sz w:val="24"/>
                <w:szCs w:val="24"/>
                <w:highlight w:val="none"/>
              </w:rPr>
              <w:t>项目质量保障措施</w:t>
            </w:r>
          </w:p>
        </w:tc>
        <w:tc>
          <w:tcPr>
            <w:tcW w:w="750"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仿宋" w:hAnsi="仿宋" w:eastAsia="仿宋" w:cs="宋体"/>
                <w:sz w:val="24"/>
                <w:szCs w:val="24"/>
                <w:highlight w:val="none"/>
              </w:rPr>
            </w:pPr>
            <w:r>
              <w:rPr>
                <w:rFonts w:hint="eastAsia" w:ascii="仿宋" w:hAnsi="仿宋" w:eastAsia="仿宋" w:cs="宋体"/>
                <w:sz w:val="24"/>
                <w:szCs w:val="24"/>
                <w:highlight w:val="none"/>
              </w:rPr>
              <w:t>10</w:t>
            </w:r>
          </w:p>
        </w:tc>
        <w:tc>
          <w:tcPr>
            <w:tcW w:w="5135"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（一）评</w:t>
            </w:r>
            <w:r>
              <w:rPr>
                <w:rFonts w:hint="eastAsia" w:ascii="仿宋_GB2312" w:hAnsi="仿宋_GB2312" w:eastAsia="仿宋_GB2312" w:cs="仿宋_GB2312"/>
                <w:sz w:val="24"/>
                <w:szCs w:val="24"/>
                <w:highlight w:val="none"/>
                <w:lang w:val="en-US" w:eastAsia="zh-CN"/>
              </w:rPr>
              <w:t>分</w:t>
            </w:r>
            <w:r>
              <w:rPr>
                <w:rFonts w:hint="eastAsia" w:ascii="仿宋_GB2312" w:hAnsi="仿宋_GB2312" w:eastAsia="仿宋_GB2312" w:cs="仿宋_GB2312"/>
                <w:sz w:val="24"/>
                <w:szCs w:val="24"/>
                <w:highlight w:val="none"/>
              </w:rPr>
              <w:t>内容：</w:t>
            </w:r>
          </w:p>
          <w:p>
            <w:pPr>
              <w:spacing w:line="56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根据投标人制定的项目质量保障措施方案为评价依据，包含但不限于以下内容：1.项目服务保障流程；2.项目风险控制措施。</w:t>
            </w:r>
          </w:p>
          <w:p>
            <w:pPr>
              <w:spacing w:line="560" w:lineRule="exac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（二）评分依据：</w:t>
            </w:r>
          </w:p>
          <w:p>
            <w:pPr>
              <w:spacing w:line="56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每提供一项内容得3分，最高得6分；在此基础上，根据投标人提供的方案进一步评价：</w:t>
            </w:r>
          </w:p>
          <w:p>
            <w:pPr>
              <w:spacing w:line="560" w:lineRule="exac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bCs/>
                <w:sz w:val="24"/>
                <w:szCs w:val="24"/>
                <w:highlight w:val="none"/>
              </w:rPr>
              <w:t>1.</w:t>
            </w:r>
            <w:r>
              <w:rPr>
                <w:rFonts w:hint="eastAsia" w:ascii="仿宋_GB2312" w:hAnsi="仿宋_GB2312" w:eastAsia="仿宋_GB2312" w:cs="仿宋_GB2312"/>
                <w:color w:val="000000"/>
                <w:sz w:val="24"/>
                <w:szCs w:val="24"/>
                <w:highlight w:val="none"/>
              </w:rPr>
              <w:t xml:space="preserve">方案非常合理、条理非常清晰、可操作性极强，评审为优的得 4分； </w:t>
            </w:r>
          </w:p>
          <w:p>
            <w:pPr>
              <w:spacing w:line="560" w:lineRule="exac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bCs/>
                <w:sz w:val="24"/>
                <w:szCs w:val="24"/>
                <w:highlight w:val="none"/>
              </w:rPr>
              <w:t>2.</w:t>
            </w:r>
            <w:r>
              <w:rPr>
                <w:rFonts w:hint="eastAsia" w:ascii="仿宋_GB2312" w:hAnsi="仿宋_GB2312" w:eastAsia="仿宋_GB2312" w:cs="仿宋_GB2312"/>
                <w:color w:val="000000"/>
                <w:sz w:val="24"/>
                <w:szCs w:val="24"/>
                <w:highlight w:val="none"/>
              </w:rPr>
              <w:t>方案较合理、条理较清晰、可操作</w:t>
            </w:r>
            <w:r>
              <w:rPr>
                <w:rFonts w:hint="eastAsia" w:ascii="仿宋_GB2312" w:hAnsi="仿宋_GB2312" w:eastAsia="仿宋_GB2312" w:cs="仿宋_GB2312"/>
                <w:color w:val="000000"/>
                <w:sz w:val="24"/>
                <w:szCs w:val="24"/>
                <w:highlight w:val="none"/>
                <w:lang w:val="en-US" w:eastAsia="zh-CN"/>
              </w:rPr>
              <w:t>性</w:t>
            </w:r>
            <w:r>
              <w:rPr>
                <w:rFonts w:hint="eastAsia" w:ascii="仿宋_GB2312" w:hAnsi="仿宋_GB2312" w:eastAsia="仿宋_GB2312" w:cs="仿宋_GB2312"/>
                <w:color w:val="000000"/>
                <w:sz w:val="24"/>
                <w:szCs w:val="24"/>
                <w:highlight w:val="none"/>
              </w:rPr>
              <w:t xml:space="preserve">较强，评审为良的得2分； </w:t>
            </w:r>
          </w:p>
          <w:p>
            <w:pPr>
              <w:spacing w:line="560" w:lineRule="exac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bCs/>
                <w:sz w:val="24"/>
                <w:szCs w:val="24"/>
                <w:highlight w:val="none"/>
              </w:rPr>
              <w:t>3.</w:t>
            </w:r>
            <w:r>
              <w:rPr>
                <w:rFonts w:hint="eastAsia" w:ascii="仿宋_GB2312" w:hAnsi="仿宋_GB2312" w:eastAsia="仿宋_GB2312" w:cs="仿宋_GB2312"/>
                <w:color w:val="000000"/>
                <w:sz w:val="24"/>
                <w:szCs w:val="24"/>
                <w:highlight w:val="none"/>
              </w:rPr>
              <w:t>方案合理性一般、条理一般、可操作</w:t>
            </w:r>
            <w:r>
              <w:rPr>
                <w:rFonts w:hint="eastAsia" w:ascii="仿宋_GB2312" w:hAnsi="仿宋_GB2312" w:eastAsia="仿宋_GB2312" w:cs="仿宋_GB2312"/>
                <w:color w:val="000000"/>
                <w:sz w:val="24"/>
                <w:szCs w:val="24"/>
                <w:highlight w:val="none"/>
                <w:lang w:val="en-US" w:eastAsia="zh-CN"/>
              </w:rPr>
              <w:t>性</w:t>
            </w:r>
            <w:r>
              <w:rPr>
                <w:rFonts w:hint="eastAsia" w:ascii="仿宋_GB2312" w:hAnsi="仿宋_GB2312" w:eastAsia="仿宋_GB2312" w:cs="仿宋_GB2312"/>
                <w:color w:val="000000"/>
                <w:sz w:val="24"/>
                <w:szCs w:val="24"/>
                <w:highlight w:val="none"/>
              </w:rPr>
              <w:t>一般，评审为</w:t>
            </w:r>
            <w:r>
              <w:rPr>
                <w:rFonts w:hint="eastAsia" w:ascii="仿宋_GB2312" w:hAnsi="仿宋_GB2312" w:eastAsia="仿宋_GB2312" w:cs="仿宋_GB2312"/>
                <w:color w:val="000000"/>
                <w:sz w:val="24"/>
                <w:szCs w:val="24"/>
                <w:highlight w:val="none"/>
                <w:lang w:val="en-US" w:eastAsia="zh-CN"/>
              </w:rPr>
              <w:t>一般</w:t>
            </w:r>
            <w:r>
              <w:rPr>
                <w:rFonts w:hint="eastAsia" w:ascii="仿宋_GB2312" w:hAnsi="仿宋_GB2312" w:eastAsia="仿宋_GB2312" w:cs="仿宋_GB2312"/>
                <w:color w:val="000000"/>
                <w:sz w:val="24"/>
                <w:szCs w:val="24"/>
                <w:highlight w:val="none"/>
              </w:rPr>
              <w:t xml:space="preserve">的得1分； </w:t>
            </w:r>
          </w:p>
          <w:p>
            <w:pPr>
              <w:spacing w:line="56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bCs/>
                <w:sz w:val="24"/>
                <w:szCs w:val="24"/>
                <w:highlight w:val="none"/>
              </w:rPr>
              <w:t>4.</w:t>
            </w:r>
            <w:r>
              <w:rPr>
                <w:rFonts w:hint="eastAsia" w:ascii="仿宋_GB2312" w:hAnsi="仿宋_GB2312" w:eastAsia="仿宋_GB2312" w:cs="仿宋_GB2312"/>
                <w:color w:val="000000"/>
                <w:sz w:val="24"/>
                <w:szCs w:val="24"/>
                <w:highlight w:val="none"/>
              </w:rPr>
              <w:t xml:space="preserve">方案不合理、条理不清晰、可操作性差，评审为差的或未提供方案不得分。 </w:t>
            </w:r>
          </w:p>
        </w:tc>
      </w:tr>
    </w:tbl>
    <w:p>
      <w:pPr>
        <w:spacing w:line="560" w:lineRule="exact"/>
        <w:ind w:firstLine="560" w:firstLineChars="200"/>
        <w:rPr>
          <w:rFonts w:hint="eastAsia" w:ascii="仿宋_GB2312" w:hAnsi="仿宋_GB2312" w:eastAsia="仿宋_GB2312" w:cs="仿宋_GB2312"/>
          <w:b/>
          <w:i/>
          <w:iCs/>
          <w:sz w:val="28"/>
          <w:szCs w:val="28"/>
          <w:highlight w:val="none"/>
        </w:rPr>
      </w:pPr>
      <w:r>
        <w:rPr>
          <w:rFonts w:hint="eastAsia" w:ascii="仿宋_GB2312" w:hAnsi="仿宋_GB2312" w:eastAsia="仿宋_GB2312" w:cs="仿宋_GB2312"/>
          <w:i/>
          <w:iCs/>
          <w:sz w:val="28"/>
          <w:szCs w:val="28"/>
          <w:highlight w:val="none"/>
        </w:rPr>
        <w:t>特别说明：</w:t>
      </w:r>
      <w:r>
        <w:rPr>
          <w:rFonts w:hint="eastAsia" w:ascii="仿宋_GB2312" w:hAnsi="仿宋_GB2312" w:eastAsia="仿宋_GB2312" w:cs="仿宋_GB2312"/>
          <w:i/>
          <w:iCs/>
          <w:sz w:val="28"/>
          <w:szCs w:val="28"/>
          <w:highlight w:val="none"/>
          <w:lang w:val="en-US" w:eastAsia="zh-CN"/>
        </w:rPr>
        <w:t>若</w:t>
      </w:r>
      <w:r>
        <w:rPr>
          <w:rFonts w:hint="eastAsia" w:ascii="仿宋_GB2312" w:hAnsi="仿宋_GB2312" w:eastAsia="仿宋_GB2312" w:cs="仿宋_GB2312"/>
          <w:i/>
          <w:iCs/>
          <w:sz w:val="28"/>
          <w:szCs w:val="28"/>
          <w:highlight w:val="none"/>
        </w:rPr>
        <w:t>符合性审核合格</w:t>
      </w:r>
      <w:r>
        <w:rPr>
          <w:rFonts w:hint="eastAsia" w:ascii="仿宋_GB2312" w:hAnsi="仿宋_GB2312" w:eastAsia="仿宋_GB2312" w:cs="仿宋_GB2312"/>
          <w:i/>
          <w:iCs/>
          <w:sz w:val="28"/>
          <w:szCs w:val="28"/>
          <w:highlight w:val="none"/>
          <w:lang w:val="en-US" w:eastAsia="zh-CN"/>
        </w:rPr>
        <w:t>的</w:t>
      </w:r>
      <w:r>
        <w:rPr>
          <w:rFonts w:hint="eastAsia" w:ascii="仿宋_GB2312" w:hAnsi="仿宋_GB2312" w:eastAsia="仿宋_GB2312" w:cs="仿宋_GB2312"/>
          <w:i/>
          <w:iCs/>
          <w:sz w:val="28"/>
          <w:szCs w:val="28"/>
          <w:highlight w:val="none"/>
        </w:rPr>
        <w:t>供应商不足三家，则作流标处理。</w:t>
      </w:r>
    </w:p>
    <w:p>
      <w:pPr>
        <w:pStyle w:val="4"/>
        <w:spacing w:before="0" w:after="0" w:line="560" w:lineRule="exact"/>
        <w:ind w:firstLine="643" w:firstLineChars="200"/>
        <w:rPr>
          <w:highlight w:val="none"/>
        </w:rPr>
      </w:pPr>
      <w:r>
        <w:rPr>
          <w:rFonts w:hint="eastAsia"/>
          <w:highlight w:val="none"/>
        </w:rPr>
        <w:t>四、投标人资格</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1.投标人必须具有独立承担民事责任的能力，不接受分公司或者分支机构参与投标；</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2.参与本项目投标</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前三年内，在经营活动中没有重大违法记录（由供应商在《政府采购投标及履约承诺函》中作出声明）；</w:t>
      </w:r>
    </w:p>
    <w:p>
      <w:pPr>
        <w:spacing w:line="56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3.参与本项目政府采购活动时不存在被有关部门禁止参与政府采购活动且在有效期内的情况（由供应商在《政府采购投标及履约承诺函》中作出声明）；</w:t>
      </w:r>
    </w:p>
    <w:p>
      <w:pPr>
        <w:spacing w:line="56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4.具备《中华人民共和国政府采购法》第二十二条第一款的条件（由供应商在《政府采购投标及履约承诺函》中作出声明）；</w:t>
      </w:r>
    </w:p>
    <w:p>
      <w:pPr>
        <w:spacing w:line="56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5.未被列入失信被执行人、重大税收违法案件当事人名单、政府采购严重违法失信行为记录名单（由供应商在《政府采购投标及履约承诺函》中作出声明）</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6.本项目不接受联合体投标。</w:t>
      </w:r>
    </w:p>
    <w:p>
      <w:pPr>
        <w:pStyle w:val="8"/>
        <w:spacing w:line="560" w:lineRule="exact"/>
        <w:rPr>
          <w:rFonts w:hint="eastAsia" w:ascii="仿宋_GB2312" w:hAnsi="仿宋_GB2312" w:eastAsia="仿宋_GB2312" w:cs="仿宋_GB2312"/>
          <w:i/>
          <w:iCs/>
          <w:kern w:val="2"/>
          <w:sz w:val="28"/>
          <w:szCs w:val="28"/>
          <w:highlight w:val="none"/>
        </w:rPr>
      </w:pPr>
      <w:r>
        <w:rPr>
          <w:rFonts w:hint="eastAsia" w:ascii="仿宋_GB2312" w:hAnsi="仿宋_GB2312" w:eastAsia="仿宋_GB2312" w:cs="仿宋_GB2312"/>
          <w:i/>
          <w:iCs/>
          <w:kern w:val="2"/>
          <w:sz w:val="28"/>
          <w:szCs w:val="28"/>
          <w:highlight w:val="none"/>
        </w:rPr>
        <w:t>注：“信用中国”、“中国政府采购网”以及“深圳市政府采购监管网”为供应商信用信息的查询渠道，相关信息以开标当日的查询结果为准。</w:t>
      </w:r>
    </w:p>
    <w:p>
      <w:pPr>
        <w:pStyle w:val="4"/>
        <w:spacing w:before="0" w:after="0" w:line="560" w:lineRule="exact"/>
        <w:ind w:firstLine="643" w:firstLineChars="200"/>
        <w:rPr>
          <w:highlight w:val="none"/>
        </w:rPr>
      </w:pPr>
      <w:r>
        <w:rPr>
          <w:rFonts w:hint="eastAsia"/>
          <w:highlight w:val="none"/>
        </w:rPr>
        <w:t>五、付款方式</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本项目款分两期支付：</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1.第一期：合同签订后10个工作日内，</w:t>
      </w:r>
      <w:r>
        <w:rPr>
          <w:rFonts w:hint="eastAsia" w:ascii="仿宋_GB2312" w:hAnsi="宋体" w:eastAsia="仿宋_GB2312"/>
          <w:sz w:val="32"/>
          <w:szCs w:val="32"/>
          <w:highlight w:val="none"/>
          <w:lang w:eastAsia="zh-CN"/>
        </w:rPr>
        <w:t>供应商</w:t>
      </w:r>
      <w:r>
        <w:rPr>
          <w:rFonts w:hint="eastAsia" w:ascii="仿宋_GB2312" w:hAnsi="宋体" w:eastAsia="仿宋_GB2312"/>
          <w:sz w:val="32"/>
          <w:szCs w:val="32"/>
          <w:highlight w:val="none"/>
        </w:rPr>
        <w:t>需向</w:t>
      </w:r>
      <w:r>
        <w:rPr>
          <w:rFonts w:hint="eastAsia" w:ascii="仿宋_GB2312" w:hAnsi="宋体" w:eastAsia="仿宋_GB2312"/>
          <w:sz w:val="32"/>
          <w:szCs w:val="32"/>
          <w:highlight w:val="none"/>
          <w:lang w:eastAsia="zh-CN"/>
        </w:rPr>
        <w:t>采购人</w:t>
      </w:r>
      <w:r>
        <w:rPr>
          <w:rFonts w:hint="eastAsia" w:ascii="仿宋_GB2312" w:hAnsi="宋体" w:eastAsia="仿宋_GB2312"/>
          <w:sz w:val="32"/>
          <w:szCs w:val="32"/>
          <w:highlight w:val="none"/>
        </w:rPr>
        <w:t>提供一份项目服务计划后，</w:t>
      </w:r>
      <w:r>
        <w:rPr>
          <w:rFonts w:hint="eastAsia" w:ascii="仿宋_GB2312" w:hAnsi="宋体" w:eastAsia="仿宋_GB2312"/>
          <w:sz w:val="32"/>
          <w:szCs w:val="32"/>
          <w:highlight w:val="none"/>
          <w:lang w:eastAsia="zh-CN"/>
        </w:rPr>
        <w:t>采购人</w:t>
      </w:r>
      <w:r>
        <w:rPr>
          <w:rFonts w:hint="eastAsia" w:ascii="仿宋_GB2312" w:hAnsi="宋体" w:eastAsia="仿宋_GB2312"/>
          <w:sz w:val="32"/>
          <w:szCs w:val="32"/>
          <w:highlight w:val="none"/>
        </w:rPr>
        <w:t>按照相关程序向</w:t>
      </w:r>
      <w:r>
        <w:rPr>
          <w:rFonts w:hint="eastAsia" w:ascii="仿宋_GB2312" w:hAnsi="宋体" w:eastAsia="仿宋_GB2312"/>
          <w:sz w:val="32"/>
          <w:szCs w:val="32"/>
          <w:highlight w:val="none"/>
          <w:lang w:eastAsia="zh-CN"/>
        </w:rPr>
        <w:t>供应商</w:t>
      </w:r>
      <w:r>
        <w:rPr>
          <w:rFonts w:hint="eastAsia" w:ascii="仿宋_GB2312" w:hAnsi="宋体" w:eastAsia="仿宋_GB2312"/>
          <w:sz w:val="32"/>
          <w:szCs w:val="32"/>
          <w:highlight w:val="none"/>
        </w:rPr>
        <w:t>办理付款支付中标总金额的</w:t>
      </w:r>
      <w:r>
        <w:rPr>
          <w:rFonts w:ascii="仿宋_GB2312" w:hAnsi="宋体" w:eastAsia="仿宋_GB2312"/>
          <w:sz w:val="32"/>
          <w:szCs w:val="32"/>
          <w:highlight w:val="none"/>
        </w:rPr>
        <w:t>6</w:t>
      </w:r>
      <w:r>
        <w:rPr>
          <w:rFonts w:hint="eastAsia" w:ascii="仿宋_GB2312" w:hAnsi="宋体" w:eastAsia="仿宋_GB2312"/>
          <w:sz w:val="32"/>
          <w:szCs w:val="32"/>
          <w:highlight w:val="none"/>
        </w:rPr>
        <w:t>0%。</w:t>
      </w:r>
    </w:p>
    <w:p>
      <w:pP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2.第二期：项目服务期结束后，</w:t>
      </w:r>
      <w:r>
        <w:rPr>
          <w:rFonts w:hint="eastAsia" w:ascii="仿宋_GB2312" w:hAnsi="宋体" w:eastAsia="仿宋_GB2312"/>
          <w:sz w:val="32"/>
          <w:szCs w:val="32"/>
          <w:highlight w:val="none"/>
          <w:lang w:eastAsia="zh-CN"/>
        </w:rPr>
        <w:t>供应商</w:t>
      </w:r>
      <w:r>
        <w:rPr>
          <w:rFonts w:hint="eastAsia" w:ascii="仿宋_GB2312" w:hAnsi="宋体" w:eastAsia="仿宋_GB2312"/>
          <w:sz w:val="32"/>
          <w:szCs w:val="32"/>
          <w:highlight w:val="none"/>
        </w:rPr>
        <w:t>向</w:t>
      </w:r>
      <w:r>
        <w:rPr>
          <w:rFonts w:hint="eastAsia" w:ascii="仿宋_GB2312" w:hAnsi="宋体" w:eastAsia="仿宋_GB2312"/>
          <w:sz w:val="32"/>
          <w:szCs w:val="32"/>
          <w:highlight w:val="none"/>
          <w:lang w:eastAsia="zh-CN"/>
        </w:rPr>
        <w:t>采购人</w:t>
      </w:r>
      <w:r>
        <w:rPr>
          <w:rFonts w:hint="eastAsia" w:ascii="仿宋_GB2312" w:hAnsi="宋体" w:eastAsia="仿宋_GB2312"/>
          <w:sz w:val="32"/>
          <w:szCs w:val="32"/>
          <w:highlight w:val="none"/>
        </w:rPr>
        <w:t>提供项目总体服务报告后，并验收合格后，</w:t>
      </w:r>
      <w:r>
        <w:rPr>
          <w:rFonts w:hint="eastAsia" w:ascii="仿宋_GB2312" w:hAnsi="宋体" w:eastAsia="仿宋_GB2312"/>
          <w:sz w:val="32"/>
          <w:szCs w:val="32"/>
          <w:highlight w:val="none"/>
          <w:lang w:eastAsia="zh-CN"/>
        </w:rPr>
        <w:t>采购人</w:t>
      </w:r>
      <w:r>
        <w:rPr>
          <w:rFonts w:hint="eastAsia" w:ascii="仿宋_GB2312" w:hAnsi="宋体" w:eastAsia="仿宋_GB2312"/>
          <w:sz w:val="32"/>
          <w:szCs w:val="32"/>
          <w:highlight w:val="none"/>
        </w:rPr>
        <w:t>按相关规定程序向</w:t>
      </w:r>
      <w:r>
        <w:rPr>
          <w:rFonts w:hint="eastAsia" w:ascii="仿宋_GB2312" w:hAnsi="宋体" w:eastAsia="仿宋_GB2312"/>
          <w:sz w:val="32"/>
          <w:szCs w:val="32"/>
          <w:highlight w:val="none"/>
          <w:lang w:eastAsia="zh-CN"/>
        </w:rPr>
        <w:t>供应商</w:t>
      </w:r>
      <w:r>
        <w:rPr>
          <w:rFonts w:hint="eastAsia" w:ascii="仿宋_GB2312" w:hAnsi="宋体" w:eastAsia="仿宋_GB2312"/>
          <w:sz w:val="32"/>
          <w:szCs w:val="32"/>
          <w:highlight w:val="none"/>
        </w:rPr>
        <w:t>办理支付项目余款。</w:t>
      </w:r>
    </w:p>
    <w:p>
      <w:pPr>
        <w:spacing w:line="560" w:lineRule="exact"/>
        <w:ind w:firstLine="640" w:firstLineChars="200"/>
        <w:rPr>
          <w:rFonts w:ascii="仿宋_GB2312" w:hAnsi="宋体" w:eastAsia="仿宋_GB2312"/>
          <w:sz w:val="32"/>
          <w:szCs w:val="32"/>
          <w:highlight w:val="none"/>
        </w:rPr>
      </w:pPr>
      <w:r>
        <w:rPr>
          <w:rFonts w:ascii="仿宋_GB2312" w:hAnsi="宋体" w:eastAsia="仿宋_GB2312"/>
          <w:sz w:val="32"/>
          <w:szCs w:val="32"/>
          <w:highlight w:val="none"/>
        </w:rPr>
        <w:t>3</w:t>
      </w:r>
      <w:r>
        <w:rPr>
          <w:rFonts w:hint="eastAsia" w:ascii="仿宋_GB2312" w:hAnsi="宋体" w:eastAsia="仿宋_GB2312"/>
          <w:sz w:val="32"/>
          <w:szCs w:val="32"/>
          <w:highlight w:val="none"/>
        </w:rPr>
        <w:t>.合同总价如因履约或其他原因而发生变化，第二期付款额以变化后实际余款支付。</w:t>
      </w:r>
    </w:p>
    <w:p>
      <w:pPr>
        <w:spacing w:line="560" w:lineRule="exact"/>
        <w:ind w:firstLine="640" w:firstLineChars="200"/>
        <w:rPr>
          <w:rFonts w:ascii="仿宋_GB2312" w:hAnsi="宋体" w:eastAsia="仿宋_GB2312"/>
          <w:sz w:val="32"/>
          <w:szCs w:val="32"/>
          <w:highlight w:val="none"/>
        </w:rPr>
      </w:pPr>
      <w:r>
        <w:rPr>
          <w:rFonts w:ascii="仿宋_GB2312" w:hAnsi="宋体" w:eastAsia="仿宋_GB2312"/>
          <w:sz w:val="32"/>
          <w:szCs w:val="32"/>
          <w:highlight w:val="none"/>
        </w:rPr>
        <w:t>4</w:t>
      </w:r>
      <w:r>
        <w:rPr>
          <w:rFonts w:hint="eastAsia" w:ascii="仿宋_GB2312" w:hAnsi="宋体" w:eastAsia="仿宋_GB2312"/>
          <w:sz w:val="32"/>
          <w:szCs w:val="32"/>
          <w:highlight w:val="none"/>
        </w:rPr>
        <w:t>.每次付款前，</w:t>
      </w:r>
      <w:r>
        <w:rPr>
          <w:rFonts w:hint="eastAsia" w:ascii="仿宋_GB2312" w:hAnsi="宋体" w:eastAsia="仿宋_GB2312"/>
          <w:sz w:val="32"/>
          <w:szCs w:val="32"/>
          <w:highlight w:val="none"/>
          <w:lang w:eastAsia="zh-CN"/>
        </w:rPr>
        <w:t>供应商</w:t>
      </w:r>
      <w:r>
        <w:rPr>
          <w:rFonts w:hint="eastAsia" w:ascii="仿宋_GB2312" w:hAnsi="宋体" w:eastAsia="仿宋_GB2312"/>
          <w:sz w:val="32"/>
          <w:szCs w:val="32"/>
          <w:highlight w:val="none"/>
        </w:rPr>
        <w:t>须提供等额发票。</w:t>
      </w:r>
    </w:p>
    <w:p>
      <w:pPr>
        <w:pStyle w:val="4"/>
        <w:spacing w:before="0" w:after="0" w:line="560" w:lineRule="exact"/>
        <w:ind w:firstLine="643" w:firstLineChars="200"/>
        <w:rPr>
          <w:highlight w:val="none"/>
        </w:rPr>
      </w:pPr>
      <w:r>
        <w:rPr>
          <w:rFonts w:hint="eastAsia"/>
          <w:highlight w:val="none"/>
        </w:rPr>
        <w:t>六、投标截止时间和地点</w:t>
      </w:r>
    </w:p>
    <w:p>
      <w:pPr>
        <w:spacing w:line="560" w:lineRule="exact"/>
        <w:ind w:firstLine="645"/>
        <w:jc w:val="left"/>
        <w:rPr>
          <w:rFonts w:ascii="华文仿宋" w:hAnsi="华文仿宋" w:eastAsia="华文仿宋" w:cs="华文仿宋"/>
          <w:sz w:val="32"/>
          <w:szCs w:val="32"/>
          <w:highlight w:val="none"/>
        </w:rPr>
      </w:pPr>
      <w:r>
        <w:rPr>
          <w:rFonts w:hint="eastAsia" w:ascii="仿宋_GB2312" w:hAnsi="宋体" w:eastAsia="仿宋_GB2312"/>
          <w:sz w:val="32"/>
          <w:szCs w:val="32"/>
          <w:highlight w:val="none"/>
        </w:rPr>
        <w:t>1</w:t>
      </w:r>
      <w:r>
        <w:rPr>
          <w:rFonts w:ascii="仿宋_GB2312" w:hAnsi="宋体" w:eastAsia="仿宋_GB2312"/>
          <w:sz w:val="32"/>
          <w:szCs w:val="32"/>
          <w:highlight w:val="none"/>
        </w:rPr>
        <w:t>.</w:t>
      </w:r>
      <w:r>
        <w:rPr>
          <w:rFonts w:hint="eastAsia" w:ascii="仿宋_GB2312" w:hAnsi="宋体" w:eastAsia="仿宋_GB2312"/>
          <w:sz w:val="32"/>
          <w:szCs w:val="32"/>
          <w:highlight w:val="none"/>
        </w:rPr>
        <w:t>接收投标文件地点：深圳市龙岗区清林中路2</w:t>
      </w:r>
      <w:r>
        <w:rPr>
          <w:rFonts w:ascii="仿宋_GB2312" w:hAnsi="宋体" w:eastAsia="仿宋_GB2312"/>
          <w:sz w:val="32"/>
          <w:szCs w:val="32"/>
          <w:highlight w:val="none"/>
        </w:rPr>
        <w:t>13</w:t>
      </w:r>
      <w:r>
        <w:rPr>
          <w:rFonts w:hint="eastAsia" w:ascii="仿宋_GB2312" w:hAnsi="宋体" w:eastAsia="仿宋_GB2312"/>
          <w:sz w:val="32"/>
          <w:szCs w:val="32"/>
          <w:highlight w:val="none"/>
        </w:rPr>
        <w:t>号教育综合大厦3</w:t>
      </w:r>
      <w:r>
        <w:rPr>
          <w:rFonts w:ascii="仿宋_GB2312" w:hAnsi="宋体" w:eastAsia="仿宋_GB2312"/>
          <w:sz w:val="32"/>
          <w:szCs w:val="32"/>
          <w:highlight w:val="none"/>
        </w:rPr>
        <w:t>07</w:t>
      </w:r>
      <w:r>
        <w:rPr>
          <w:rFonts w:hint="eastAsia" w:ascii="仿宋_GB2312" w:hAnsi="宋体" w:eastAsia="仿宋_GB2312"/>
          <w:sz w:val="32"/>
          <w:szCs w:val="32"/>
          <w:highlight w:val="none"/>
        </w:rPr>
        <w:t>室</w:t>
      </w:r>
      <w:r>
        <w:rPr>
          <w:rFonts w:hint="eastAsia" w:ascii="华文仿宋" w:hAnsi="华文仿宋" w:eastAsia="华文仿宋" w:cs="华文仿宋"/>
          <w:sz w:val="32"/>
          <w:szCs w:val="32"/>
          <w:highlight w:val="none"/>
        </w:rPr>
        <w:t>；</w:t>
      </w:r>
    </w:p>
    <w:p>
      <w:pPr>
        <w:spacing w:line="560" w:lineRule="exact"/>
        <w:ind w:firstLine="645"/>
        <w:jc w:val="left"/>
        <w:rPr>
          <w:rFonts w:ascii="仿宋_GB2312" w:hAnsi="宋体" w:eastAsia="仿宋_GB2312"/>
          <w:sz w:val="32"/>
          <w:szCs w:val="32"/>
          <w:highlight w:val="none"/>
        </w:rPr>
      </w:pPr>
      <w:r>
        <w:rPr>
          <w:rFonts w:ascii="仿宋_GB2312" w:hAnsi="宋体" w:eastAsia="仿宋_GB2312"/>
          <w:sz w:val="32"/>
          <w:szCs w:val="32"/>
          <w:highlight w:val="none"/>
        </w:rPr>
        <w:t>2.</w:t>
      </w:r>
      <w:r>
        <w:rPr>
          <w:rFonts w:hint="eastAsia" w:ascii="仿宋_GB2312" w:hAnsi="宋体" w:eastAsia="仿宋_GB2312"/>
          <w:sz w:val="32"/>
          <w:szCs w:val="32"/>
          <w:highlight w:val="none"/>
        </w:rPr>
        <w:t>投标截止时间：2023年</w:t>
      </w:r>
      <w:r>
        <w:rPr>
          <w:rFonts w:hint="eastAsia" w:ascii="仿宋_GB2312" w:hAnsi="宋体" w:eastAsia="仿宋_GB2312"/>
          <w:sz w:val="32"/>
          <w:szCs w:val="32"/>
          <w:highlight w:val="none"/>
          <w:lang w:val="en-US" w:eastAsia="zh-CN"/>
        </w:rPr>
        <w:t>6</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highlight w:val="none"/>
        </w:rPr>
        <w:t>日</w:t>
      </w:r>
      <w:r>
        <w:rPr>
          <w:rFonts w:hint="eastAsia" w:ascii="仿宋_GB2312" w:hAnsi="宋体" w:eastAsia="仿宋_GB2312"/>
          <w:sz w:val="32"/>
          <w:szCs w:val="32"/>
          <w:highlight w:val="none"/>
          <w:lang w:val="en-US" w:eastAsia="zh-CN"/>
        </w:rPr>
        <w:t>下午</w:t>
      </w:r>
      <w:r>
        <w:rPr>
          <w:rFonts w:hint="eastAsia" w:ascii="仿宋_GB2312" w:hAnsi="宋体" w:eastAsia="仿宋_GB2312"/>
          <w:sz w:val="32"/>
          <w:szCs w:val="32"/>
          <w:highlight w:val="none"/>
        </w:rPr>
        <w:t>1</w:t>
      </w:r>
      <w:r>
        <w:rPr>
          <w:rFonts w:ascii="仿宋_GB2312" w:hAnsi="宋体" w:eastAsia="仿宋_GB2312"/>
          <w:sz w:val="32"/>
          <w:szCs w:val="32"/>
          <w:highlight w:val="none"/>
        </w:rPr>
        <w:t>4</w:t>
      </w:r>
      <w:r>
        <w:rPr>
          <w:rFonts w:hint="eastAsia" w:ascii="仿宋_GB2312" w:hAnsi="宋体" w:eastAsia="仿宋_GB2312"/>
          <w:sz w:val="32"/>
          <w:szCs w:val="32"/>
          <w:highlight w:val="none"/>
        </w:rPr>
        <w:t>:</w:t>
      </w:r>
      <w:r>
        <w:rPr>
          <w:rFonts w:ascii="仿宋_GB2312" w:hAnsi="宋体" w:eastAsia="仿宋_GB2312"/>
          <w:sz w:val="32"/>
          <w:szCs w:val="32"/>
          <w:highlight w:val="none"/>
        </w:rPr>
        <w:t>10</w:t>
      </w:r>
      <w:r>
        <w:rPr>
          <w:rFonts w:hint="eastAsia" w:ascii="仿宋_GB2312" w:hAnsi="宋体" w:eastAsia="仿宋_GB2312"/>
          <w:sz w:val="32"/>
          <w:szCs w:val="32"/>
          <w:highlight w:val="none"/>
        </w:rPr>
        <w:t>。</w:t>
      </w:r>
    </w:p>
    <w:p>
      <w:pPr>
        <w:pStyle w:val="4"/>
        <w:spacing w:before="0" w:after="0" w:line="560" w:lineRule="exact"/>
        <w:ind w:firstLine="643" w:firstLineChars="200"/>
        <w:rPr>
          <w:highlight w:val="none"/>
        </w:rPr>
      </w:pPr>
      <w:r>
        <w:rPr>
          <w:rFonts w:hint="eastAsia"/>
          <w:highlight w:val="none"/>
        </w:rPr>
        <w:t>七、开标时间和地点</w:t>
      </w:r>
    </w:p>
    <w:p>
      <w:pPr>
        <w:spacing w:line="560" w:lineRule="exact"/>
        <w:ind w:firstLine="645"/>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开标时间定为</w:t>
      </w:r>
      <w:r>
        <w:rPr>
          <w:rFonts w:hint="eastAsia" w:ascii="仿宋_GB2312" w:eastAsia="仿宋_GB2312" w:hAnsiTheme="minorEastAsia"/>
          <w:sz w:val="32"/>
          <w:szCs w:val="32"/>
          <w:highlight w:val="none"/>
          <w:lang w:val="en-US" w:eastAsia="zh-CN"/>
        </w:rPr>
        <w:t>2023年6</w:t>
      </w:r>
      <w:r>
        <w:rPr>
          <w:rFonts w:hint="eastAsia" w:ascii="仿宋_GB2312" w:eastAsia="仿宋_GB2312" w:hAnsiTheme="minorEastAsia"/>
          <w:sz w:val="32"/>
          <w:szCs w:val="32"/>
          <w:highlight w:val="none"/>
        </w:rPr>
        <w:t>月</w:t>
      </w:r>
      <w:r>
        <w:rPr>
          <w:rFonts w:hint="eastAsia" w:ascii="仿宋_GB2312" w:eastAsia="仿宋_GB2312" w:hAnsiTheme="minorEastAsia"/>
          <w:sz w:val="32"/>
          <w:szCs w:val="32"/>
          <w:highlight w:val="none"/>
          <w:lang w:val="en-US" w:eastAsia="zh-CN"/>
        </w:rPr>
        <w:t>5</w:t>
      </w:r>
      <w:r>
        <w:rPr>
          <w:rFonts w:hint="eastAsia" w:ascii="仿宋_GB2312" w:eastAsia="仿宋_GB2312" w:hAnsiTheme="minorEastAsia"/>
          <w:sz w:val="32"/>
          <w:szCs w:val="32"/>
          <w:highlight w:val="none"/>
        </w:rPr>
        <w:t>日下午</w:t>
      </w:r>
      <w:r>
        <w:rPr>
          <w:rFonts w:ascii="仿宋_GB2312" w:eastAsia="仿宋_GB2312" w:hAnsiTheme="minorEastAsia"/>
          <w:sz w:val="32"/>
          <w:szCs w:val="32"/>
          <w:highlight w:val="none"/>
        </w:rPr>
        <w:t>14</w:t>
      </w:r>
      <w:r>
        <w:rPr>
          <w:rFonts w:hint="eastAsia" w:ascii="仿宋_GB2312" w:eastAsia="仿宋_GB2312" w:hAnsiTheme="minorEastAsia"/>
          <w:sz w:val="32"/>
          <w:szCs w:val="32"/>
          <w:highlight w:val="none"/>
        </w:rPr>
        <w:t>:3</w:t>
      </w:r>
      <w:r>
        <w:rPr>
          <w:rFonts w:ascii="仿宋_GB2312" w:eastAsia="仿宋_GB2312" w:hAnsiTheme="minorEastAsia"/>
          <w:sz w:val="32"/>
          <w:szCs w:val="32"/>
          <w:highlight w:val="none"/>
        </w:rPr>
        <w:t>0</w:t>
      </w:r>
      <w:r>
        <w:rPr>
          <w:rFonts w:hint="eastAsia" w:ascii="仿宋_GB2312" w:eastAsia="仿宋_GB2312" w:hAnsiTheme="minorEastAsia"/>
          <w:sz w:val="32"/>
          <w:szCs w:val="32"/>
          <w:highlight w:val="none"/>
        </w:rPr>
        <w:t>，地点设在教育局</w:t>
      </w:r>
      <w:r>
        <w:rPr>
          <w:rFonts w:ascii="仿宋_GB2312" w:eastAsia="仿宋_GB2312" w:hAnsiTheme="minorEastAsia"/>
          <w:sz w:val="32"/>
          <w:szCs w:val="32"/>
          <w:highlight w:val="none"/>
        </w:rPr>
        <w:t>416</w:t>
      </w:r>
      <w:r>
        <w:rPr>
          <w:rFonts w:hint="eastAsia" w:ascii="仿宋_GB2312" w:eastAsia="仿宋_GB2312" w:hAnsiTheme="minorEastAsia"/>
          <w:sz w:val="32"/>
          <w:szCs w:val="32"/>
          <w:highlight w:val="none"/>
        </w:rPr>
        <w:t>室。</w:t>
      </w:r>
    </w:p>
    <w:p>
      <w:pPr>
        <w:pStyle w:val="4"/>
        <w:spacing w:before="0" w:after="0" w:line="560" w:lineRule="exact"/>
        <w:ind w:firstLine="643" w:firstLineChars="200"/>
        <w:rPr>
          <w:highlight w:val="none"/>
        </w:rPr>
      </w:pPr>
      <w:r>
        <w:rPr>
          <w:rFonts w:hint="eastAsia"/>
          <w:highlight w:val="none"/>
        </w:rPr>
        <w:t>八、业务咨询</w:t>
      </w:r>
      <w:bookmarkStart w:id="3" w:name="_GoBack"/>
      <w:bookmarkEnd w:id="3"/>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联系人：周老师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肖老师</w:t>
      </w:r>
      <w:r>
        <w:rPr>
          <w:rFonts w:hint="eastAsia" w:ascii="仿宋_GB2312" w:hAnsi="仿宋_GB2312" w:eastAsia="仿宋_GB2312" w:cs="仿宋_GB2312"/>
          <w:sz w:val="32"/>
          <w:szCs w:val="32"/>
          <w:highlight w:val="none"/>
        </w:rPr>
        <w:t>，联系电话：</w:t>
      </w:r>
      <w:r>
        <w:rPr>
          <w:rFonts w:hint="eastAsia" w:ascii="仿宋_GB2312" w:hAnsi="仿宋_GB2312" w:eastAsia="仿宋_GB2312" w:cs="仿宋_GB2312"/>
          <w:sz w:val="32"/>
          <w:szCs w:val="32"/>
          <w:highlight w:val="none"/>
          <w:lang w:val="en-US" w:eastAsia="zh-CN"/>
        </w:rPr>
        <w:t>0755-</w:t>
      </w:r>
      <w:r>
        <w:rPr>
          <w:rFonts w:hint="eastAsia" w:ascii="仿宋_GB2312" w:hAnsi="仿宋_GB2312" w:eastAsia="仿宋_GB2312" w:cs="仿宋_GB2312"/>
          <w:sz w:val="32"/>
          <w:szCs w:val="32"/>
          <w:highlight w:val="none"/>
        </w:rPr>
        <w:t>89551968</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地址：龙岗区清林中路213号教育综合大厦307室                                 </w:t>
      </w:r>
    </w:p>
    <w:p>
      <w:pPr>
        <w:spacing w:line="560" w:lineRule="exact"/>
        <w:ind w:right="320" w:firstLine="320" w:firstLineChars="10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龙岗区教育局</w:t>
      </w:r>
    </w:p>
    <w:p>
      <w:pPr>
        <w:spacing w:line="560" w:lineRule="exact"/>
        <w:ind w:firstLine="320" w:firstLineChars="100"/>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 xml:space="preserve">                                  2023年</w:t>
      </w:r>
      <w:r>
        <w:rPr>
          <w:rFonts w:hint="eastAsia" w:ascii="仿宋_GB2312" w:hAnsi="仿宋_GB2312" w:eastAsia="仿宋_GB2312" w:cs="仿宋_GB2312"/>
          <w:color w:val="333333"/>
          <w:sz w:val="32"/>
          <w:szCs w:val="32"/>
          <w:highlight w:val="none"/>
          <w:lang w:val="en-US" w:eastAsia="zh-CN"/>
        </w:rPr>
        <w:t>6</w:t>
      </w:r>
      <w:r>
        <w:rPr>
          <w:rFonts w:hint="eastAsia" w:ascii="仿宋_GB2312" w:hAnsi="仿宋_GB2312" w:eastAsia="仿宋_GB2312" w:cs="仿宋_GB2312"/>
          <w:color w:val="333333"/>
          <w:sz w:val="32"/>
          <w:szCs w:val="32"/>
          <w:highlight w:val="none"/>
        </w:rPr>
        <w:t>月</w:t>
      </w:r>
      <w:r>
        <w:rPr>
          <w:rFonts w:hint="eastAsia" w:ascii="仿宋_GB2312" w:hAnsi="仿宋_GB2312" w:eastAsia="仿宋_GB2312" w:cs="仿宋_GB2312"/>
          <w:color w:val="333333"/>
          <w:sz w:val="32"/>
          <w:szCs w:val="32"/>
          <w:highlight w:val="none"/>
          <w:lang w:val="en-US" w:eastAsia="zh-CN"/>
        </w:rPr>
        <w:t>5</w:t>
      </w:r>
      <w:r>
        <w:rPr>
          <w:rFonts w:hint="eastAsia" w:ascii="仿宋_GB2312" w:hAnsi="仿宋_GB2312" w:eastAsia="仿宋_GB2312" w:cs="仿宋_GB2312"/>
          <w:color w:val="333333"/>
          <w:sz w:val="32"/>
          <w:szCs w:val="32"/>
          <w:highlight w:val="none"/>
        </w:rPr>
        <w:t>日</w:t>
      </w:r>
    </w:p>
    <w:p>
      <w:pPr>
        <w:pStyle w:val="3"/>
        <w:spacing w:line="560" w:lineRule="exact"/>
        <w:rPr>
          <w:rFonts w:hint="eastAsia" w:ascii="黑体" w:hAnsi="黑体" w:eastAsia="黑体" w:cs="黑体"/>
          <w:bCs/>
          <w:kern w:val="2"/>
          <w:sz w:val="32"/>
          <w:szCs w:val="32"/>
          <w:highlight w:val="none"/>
        </w:rPr>
      </w:pPr>
      <w:r>
        <w:rPr>
          <w:rFonts w:hint="eastAsia" w:ascii="黑体" w:hAnsi="黑体" w:eastAsia="黑体" w:cs="黑体"/>
          <w:bCs/>
          <w:kern w:val="2"/>
          <w:sz w:val="32"/>
          <w:szCs w:val="32"/>
          <w:highlight w:val="none"/>
        </w:rPr>
        <w:t>附件2：</w:t>
      </w:r>
    </w:p>
    <w:p>
      <w:pPr>
        <w:spacing w:line="56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供应商应标需提交的材料（一式伍份）</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1.经年审合格的营业执照复印件、</w:t>
      </w:r>
      <w:r>
        <w:rPr>
          <w:rFonts w:ascii="仿宋" w:hAnsi="仿宋" w:eastAsia="仿宋"/>
          <w:sz w:val="32"/>
          <w:szCs w:val="32"/>
          <w:highlight w:val="none"/>
        </w:rPr>
        <w:t>国家企业信用信息公示系统的经营范围截图</w:t>
      </w:r>
      <w:r>
        <w:rPr>
          <w:rFonts w:hint="eastAsia" w:ascii="仿宋" w:hAnsi="仿宋" w:eastAsia="仿宋"/>
          <w:sz w:val="32"/>
          <w:szCs w:val="32"/>
          <w:highlight w:val="none"/>
        </w:rPr>
        <w:t>(均须</w:t>
      </w:r>
      <w:r>
        <w:rPr>
          <w:rFonts w:ascii="仿宋" w:hAnsi="仿宋" w:eastAsia="仿宋"/>
          <w:sz w:val="32"/>
          <w:szCs w:val="32"/>
          <w:highlight w:val="none"/>
        </w:rPr>
        <w:t>加盖公章</w:t>
      </w:r>
      <w:r>
        <w:rPr>
          <w:rFonts w:hint="eastAsia" w:ascii="仿宋" w:hAnsi="仿宋" w:eastAsia="仿宋"/>
          <w:sz w:val="32"/>
          <w:szCs w:val="32"/>
          <w:highlight w:val="none"/>
        </w:rPr>
        <w:t>)；</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w:t>
      </w:r>
      <w:r>
        <w:rPr>
          <w:rFonts w:hint="eastAsia" w:ascii="仿宋" w:hAnsi="仿宋" w:eastAsia="仿宋" w:cs="仿宋"/>
          <w:bCs/>
          <w:sz w:val="32"/>
          <w:szCs w:val="32"/>
          <w:highlight w:val="none"/>
        </w:rPr>
        <w:t>法定代表人证明书；</w:t>
      </w:r>
      <w:r>
        <w:rPr>
          <w:rFonts w:ascii="仿宋" w:hAnsi="仿宋" w:eastAsia="仿宋"/>
          <w:sz w:val="32"/>
          <w:szCs w:val="32"/>
          <w:highlight w:val="none"/>
        </w:rPr>
        <w:t xml:space="preserve"> </w:t>
      </w:r>
    </w:p>
    <w:p>
      <w:pPr>
        <w:spacing w:line="560" w:lineRule="exact"/>
        <w:ind w:firstLine="640" w:firstLineChars="200"/>
        <w:rPr>
          <w:rFonts w:ascii="仿宋" w:hAnsi="仿宋" w:eastAsia="仿宋"/>
          <w:sz w:val="32"/>
          <w:szCs w:val="32"/>
          <w:highlight w:val="none"/>
        </w:rPr>
      </w:pPr>
      <w:r>
        <w:rPr>
          <w:rFonts w:ascii="仿宋" w:hAnsi="仿宋" w:eastAsia="仿宋"/>
          <w:sz w:val="32"/>
          <w:szCs w:val="32"/>
          <w:highlight w:val="none"/>
        </w:rPr>
        <w:t>3</w:t>
      </w:r>
      <w:r>
        <w:rPr>
          <w:rFonts w:hint="eastAsia" w:ascii="仿宋" w:hAnsi="仿宋" w:eastAsia="仿宋"/>
          <w:sz w:val="32"/>
          <w:szCs w:val="32"/>
          <w:highlight w:val="none"/>
        </w:rPr>
        <w:t>.投标文件</w:t>
      </w:r>
      <w:r>
        <w:rPr>
          <w:rFonts w:ascii="仿宋" w:hAnsi="仿宋" w:eastAsia="仿宋"/>
          <w:sz w:val="32"/>
          <w:szCs w:val="32"/>
          <w:highlight w:val="none"/>
        </w:rPr>
        <w:t>签署授权委托书</w:t>
      </w:r>
      <w:r>
        <w:rPr>
          <w:rFonts w:hint="eastAsia" w:ascii="仿宋" w:hAnsi="仿宋" w:eastAsia="仿宋"/>
          <w:sz w:val="32"/>
          <w:szCs w:val="32"/>
          <w:highlight w:val="none"/>
        </w:rPr>
        <w:t>；</w:t>
      </w:r>
    </w:p>
    <w:p>
      <w:pPr>
        <w:spacing w:line="560" w:lineRule="exact"/>
        <w:ind w:firstLine="640" w:firstLineChars="200"/>
        <w:rPr>
          <w:rFonts w:ascii="仿宋" w:hAnsi="仿宋" w:eastAsia="仿宋"/>
          <w:sz w:val="32"/>
          <w:szCs w:val="32"/>
          <w:highlight w:val="none"/>
        </w:rPr>
      </w:pPr>
      <w:r>
        <w:rPr>
          <w:rFonts w:ascii="仿宋" w:hAnsi="仿宋" w:eastAsia="仿宋"/>
          <w:sz w:val="32"/>
          <w:szCs w:val="32"/>
          <w:highlight w:val="none"/>
        </w:rPr>
        <w:t>4</w:t>
      </w:r>
      <w:r>
        <w:rPr>
          <w:rFonts w:hint="eastAsia" w:ascii="仿宋" w:hAnsi="仿宋" w:eastAsia="仿宋"/>
          <w:sz w:val="32"/>
          <w:szCs w:val="32"/>
          <w:highlight w:val="none"/>
        </w:rPr>
        <w:t>.</w:t>
      </w:r>
      <w:r>
        <w:rPr>
          <w:rFonts w:ascii="仿宋" w:hAnsi="仿宋" w:eastAsia="仿宋"/>
          <w:sz w:val="32"/>
          <w:szCs w:val="32"/>
          <w:highlight w:val="none"/>
        </w:rPr>
        <w:t>投标</w:t>
      </w:r>
      <w:r>
        <w:rPr>
          <w:rFonts w:hint="eastAsia" w:ascii="仿宋" w:hAnsi="仿宋" w:eastAsia="仿宋"/>
          <w:sz w:val="32"/>
          <w:szCs w:val="32"/>
          <w:highlight w:val="none"/>
        </w:rPr>
        <w:t>报价</w:t>
      </w:r>
      <w:r>
        <w:rPr>
          <w:rFonts w:ascii="仿宋" w:hAnsi="仿宋" w:eastAsia="仿宋"/>
          <w:sz w:val="32"/>
          <w:szCs w:val="32"/>
          <w:highlight w:val="none"/>
        </w:rPr>
        <w:t>函；</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供应商情况介绍</w:t>
      </w:r>
      <w:r>
        <w:rPr>
          <w:rFonts w:hint="eastAsia" w:ascii="仿宋" w:hAnsi="仿宋" w:eastAsia="仿宋"/>
          <w:sz w:val="32"/>
          <w:szCs w:val="32"/>
          <w:highlight w:val="none"/>
        </w:rPr>
        <w:t>、</w:t>
      </w:r>
      <w:r>
        <w:rPr>
          <w:rFonts w:ascii="仿宋" w:hAnsi="仿宋" w:eastAsia="仿宋"/>
          <w:sz w:val="32"/>
          <w:szCs w:val="32"/>
          <w:highlight w:val="none"/>
        </w:rPr>
        <w:t>项目实施方案</w:t>
      </w:r>
      <w:r>
        <w:rPr>
          <w:rFonts w:hint="eastAsia" w:ascii="仿宋" w:hAnsi="仿宋" w:eastAsia="仿宋"/>
          <w:sz w:val="32"/>
          <w:szCs w:val="32"/>
          <w:highlight w:val="none"/>
        </w:rPr>
        <w:t>等；</w:t>
      </w:r>
    </w:p>
    <w:p>
      <w:pPr>
        <w:spacing w:line="560" w:lineRule="exact"/>
        <w:ind w:firstLine="640" w:firstLineChars="200"/>
        <w:rPr>
          <w:rFonts w:ascii="仿宋" w:hAnsi="仿宋" w:eastAsia="仿宋" w:cs="仿宋"/>
          <w:bCs/>
          <w:sz w:val="32"/>
          <w:szCs w:val="32"/>
          <w:highlight w:val="none"/>
        </w:rPr>
      </w:pPr>
      <w:r>
        <w:rPr>
          <w:rFonts w:ascii="仿宋" w:hAnsi="仿宋" w:eastAsia="仿宋"/>
          <w:sz w:val="32"/>
          <w:szCs w:val="32"/>
          <w:highlight w:val="none"/>
        </w:rPr>
        <w:t>6</w:t>
      </w:r>
      <w:r>
        <w:rPr>
          <w:rFonts w:hint="eastAsia" w:ascii="仿宋" w:hAnsi="仿宋" w:eastAsia="仿宋"/>
          <w:sz w:val="32"/>
          <w:szCs w:val="32"/>
          <w:highlight w:val="none"/>
        </w:rPr>
        <w:t>.</w:t>
      </w:r>
      <w:r>
        <w:rPr>
          <w:rFonts w:hint="eastAsia" w:ascii="仿宋" w:hAnsi="仿宋" w:eastAsia="仿宋" w:cs="仿宋"/>
          <w:bCs/>
          <w:sz w:val="32"/>
          <w:szCs w:val="32"/>
          <w:highlight w:val="none"/>
        </w:rPr>
        <w:t>投标人“政府采购投标及履约承诺函”；</w:t>
      </w:r>
    </w:p>
    <w:p>
      <w:pPr>
        <w:spacing w:line="560" w:lineRule="exact"/>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lang w:val="en-US" w:eastAsia="zh-CN"/>
        </w:rPr>
        <w:t>7</w:t>
      </w:r>
      <w:r>
        <w:rPr>
          <w:rFonts w:hint="eastAsia" w:ascii="仿宋" w:hAnsi="仿宋" w:eastAsia="仿宋" w:cs="仿宋"/>
          <w:bCs/>
          <w:sz w:val="32"/>
          <w:szCs w:val="32"/>
          <w:highlight w:val="none"/>
        </w:rPr>
        <w:t>.拟安排项目负责人的身份证复印件、个人简历等相关证明材料；</w:t>
      </w:r>
    </w:p>
    <w:p>
      <w:pPr>
        <w:spacing w:line="560" w:lineRule="exact"/>
        <w:ind w:firstLine="640" w:firstLineChars="200"/>
        <w:rPr>
          <w:rFonts w:ascii="仿宋" w:hAnsi="仿宋" w:eastAsia="仿宋"/>
          <w:sz w:val="32"/>
          <w:szCs w:val="32"/>
          <w:highlight w:val="none"/>
        </w:rPr>
      </w:pPr>
      <w:r>
        <w:rPr>
          <w:rFonts w:hint="eastAsia" w:ascii="仿宋" w:hAnsi="仿宋" w:eastAsia="仿宋" w:cs="仿宋"/>
          <w:bCs/>
          <w:sz w:val="32"/>
          <w:szCs w:val="32"/>
          <w:highlight w:val="none"/>
          <w:lang w:val="en-US" w:eastAsia="zh-CN"/>
        </w:rPr>
        <w:t>8</w:t>
      </w:r>
      <w:r>
        <w:rPr>
          <w:rFonts w:ascii="仿宋" w:hAnsi="仿宋" w:eastAsia="仿宋" w:cs="仿宋"/>
          <w:bCs/>
          <w:sz w:val="32"/>
          <w:szCs w:val="32"/>
          <w:highlight w:val="none"/>
        </w:rPr>
        <w:t>.</w:t>
      </w:r>
      <w:r>
        <w:rPr>
          <w:rFonts w:hint="eastAsia" w:ascii="仿宋" w:hAnsi="仿宋" w:eastAsia="仿宋" w:cs="仿宋"/>
          <w:bCs/>
          <w:sz w:val="32"/>
          <w:szCs w:val="32"/>
          <w:highlight w:val="none"/>
        </w:rPr>
        <w:t>相关成功案例的合同书复印件（关键页）或其他有效证明材料。</w:t>
      </w:r>
    </w:p>
    <w:p>
      <w:pPr>
        <w:spacing w:line="560" w:lineRule="exact"/>
        <w:ind w:firstLine="640" w:firstLineChars="200"/>
        <w:rPr>
          <w:rFonts w:ascii="仿宋" w:hAnsi="仿宋" w:eastAsia="仿宋" w:cs="仿宋"/>
          <w:bCs/>
          <w:sz w:val="32"/>
          <w:szCs w:val="32"/>
          <w:highlight w:val="none"/>
        </w:rPr>
      </w:pP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.拟派本项目的项目负责人</w:t>
      </w:r>
      <w:r>
        <w:rPr>
          <w:rFonts w:ascii="仿宋" w:hAnsi="仿宋" w:eastAsia="仿宋"/>
          <w:sz w:val="32"/>
          <w:szCs w:val="32"/>
          <w:highlight w:val="none"/>
        </w:rPr>
        <w:t>及成员</w:t>
      </w:r>
      <w:r>
        <w:rPr>
          <w:rFonts w:hint="eastAsia" w:ascii="仿宋" w:hAnsi="仿宋" w:eastAsia="仿宋"/>
          <w:sz w:val="32"/>
          <w:szCs w:val="32"/>
          <w:highlight w:val="none"/>
        </w:rPr>
        <w:t>咨询</w:t>
      </w:r>
      <w:r>
        <w:rPr>
          <w:rFonts w:ascii="仿宋" w:hAnsi="仿宋" w:eastAsia="仿宋"/>
          <w:sz w:val="32"/>
          <w:szCs w:val="32"/>
          <w:highlight w:val="none"/>
        </w:rPr>
        <w:t>工作经历证明</w:t>
      </w:r>
      <w:r>
        <w:rPr>
          <w:rFonts w:hint="eastAsia" w:ascii="仿宋" w:hAnsi="仿宋" w:eastAsia="仿宋"/>
          <w:sz w:val="32"/>
          <w:szCs w:val="32"/>
          <w:highlight w:val="none"/>
        </w:rPr>
        <w:t>(提供</w:t>
      </w:r>
      <w:r>
        <w:rPr>
          <w:rFonts w:ascii="仿宋" w:hAnsi="仿宋" w:eastAsia="仿宋"/>
          <w:sz w:val="32"/>
          <w:szCs w:val="32"/>
          <w:highlight w:val="none"/>
        </w:rPr>
        <w:t>近</w:t>
      </w:r>
      <w:r>
        <w:rPr>
          <w:rFonts w:hint="eastAsia" w:ascii="仿宋" w:hAnsi="仿宋" w:eastAsia="仿宋"/>
          <w:sz w:val="32"/>
          <w:szCs w:val="32"/>
          <w:highlight w:val="none"/>
        </w:rPr>
        <w:t>1</w:t>
      </w:r>
      <w:r>
        <w:rPr>
          <w:rFonts w:ascii="仿宋" w:hAnsi="仿宋" w:eastAsia="仿宋"/>
          <w:sz w:val="32"/>
          <w:szCs w:val="32"/>
          <w:highlight w:val="none"/>
        </w:rPr>
        <w:t>个月社保证明</w:t>
      </w:r>
      <w:r>
        <w:rPr>
          <w:rFonts w:hint="eastAsia" w:ascii="仿宋" w:hAnsi="仿宋" w:eastAsia="仿宋"/>
          <w:sz w:val="32"/>
          <w:szCs w:val="32"/>
          <w:highlight w:val="none"/>
        </w:rPr>
        <w:t>材料)。</w:t>
      </w:r>
    </w:p>
    <w:p>
      <w:pPr>
        <w:spacing w:line="56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【备注：1.投标人必须根据</w:t>
      </w:r>
      <w:r>
        <w:rPr>
          <w:rFonts w:hint="eastAsia" w:ascii="仿宋" w:hAnsi="仿宋" w:eastAsia="仿宋" w:cs="仿宋"/>
          <w:b/>
          <w:bCs/>
          <w:kern w:val="0"/>
          <w:sz w:val="28"/>
          <w:szCs w:val="28"/>
          <w:highlight w:val="none"/>
        </w:rPr>
        <w:t>《</w:t>
      </w:r>
      <w:r>
        <w:rPr>
          <w:rFonts w:hint="eastAsia" w:ascii="仿宋" w:hAnsi="仿宋" w:eastAsia="仿宋" w:cs="仿宋"/>
          <w:b/>
          <w:bCs/>
          <w:color w:val="0000FF"/>
          <w:sz w:val="28"/>
          <w:szCs w:val="28"/>
          <w:highlight w:val="none"/>
        </w:rPr>
        <w:t>政府采购投标及履约承诺函》</w:t>
      </w:r>
      <w:r>
        <w:rPr>
          <w:rFonts w:hint="eastAsia" w:ascii="仿宋" w:hAnsi="仿宋" w:eastAsia="仿宋" w:cs="仿宋"/>
          <w:kern w:val="0"/>
          <w:sz w:val="28"/>
          <w:szCs w:val="28"/>
          <w:highlight w:val="none"/>
        </w:rPr>
        <w:t>格式提交，否则作投标无效处理。2.投标人投标时，需提交当月“</w:t>
      </w:r>
      <w:r>
        <w:rPr>
          <w:rFonts w:hint="eastAsia" w:ascii="黑体" w:hAnsi="黑体" w:eastAsia="黑体" w:cs="黑体"/>
          <w:sz w:val="28"/>
          <w:szCs w:val="28"/>
          <w:highlight w:val="none"/>
        </w:rPr>
        <w:t>信用中国”</w:t>
      </w:r>
      <w:r>
        <w:rPr>
          <w:rFonts w:hint="eastAsia" w:ascii="仿宋" w:hAnsi="仿宋" w:eastAsia="仿宋" w:cs="仿宋"/>
          <w:kern w:val="0"/>
          <w:sz w:val="28"/>
          <w:szCs w:val="28"/>
          <w:highlight w:val="none"/>
        </w:rPr>
        <w:t>的</w:t>
      </w:r>
      <w:r>
        <w:rPr>
          <w:rFonts w:hint="eastAsia" w:ascii="仿宋_GB2312" w:hAnsi="仿宋_GB2312" w:eastAsia="仿宋_GB2312" w:cs="仿宋_GB2312"/>
          <w:sz w:val="28"/>
          <w:szCs w:val="28"/>
          <w:highlight w:val="none"/>
        </w:rPr>
        <w:t>查询结果（需显示信用记录无不良记录或无失信记录）。3</w:t>
      </w:r>
      <w:r>
        <w:rPr>
          <w:rFonts w:hint="eastAsia" w:ascii="仿宋" w:hAnsi="仿宋" w:eastAsia="仿宋" w:cs="仿宋"/>
          <w:kern w:val="0"/>
          <w:sz w:val="28"/>
          <w:szCs w:val="28"/>
          <w:highlight w:val="none"/>
        </w:rPr>
        <w:t>.所提交的投标文件、相关证明材料均采用A4纸并加盖公司公章，并装袋密封加盖骑缝章。4.公司法人代表参加应标的，公司法人须提供身份证复印件（现场验原件），由公司授权委托代理人参加应标的，须交代理人身份证复印件（现场验原件）和法人代表签署的授权委托书原件。5.投标人一经投标，视为已</w:t>
      </w:r>
      <w:r>
        <w:rPr>
          <w:rFonts w:hint="eastAsia" w:ascii="仿宋" w:hAnsi="仿宋" w:eastAsia="仿宋"/>
          <w:color w:val="333333"/>
          <w:sz w:val="28"/>
          <w:szCs w:val="28"/>
          <w:highlight w:val="none"/>
          <w:shd w:val="clear" w:color="auto" w:fill="FFFFFF"/>
        </w:rPr>
        <w:t>认真理解和掌握本项目招标要求，并愿意应标。6.有下列情形之一的，作无效投标处理：（1）未按要求密封投标书并加盖单位骑缝章的；（2）投标人的报价高于投标上限的；（3）评审时有疑问联系不上投标人的；（4）法律、法规规定的其它废标情形。</w:t>
      </w:r>
      <w:r>
        <w:rPr>
          <w:rFonts w:hint="eastAsia" w:ascii="仿宋" w:hAnsi="仿宋" w:eastAsia="仿宋" w:cs="仿宋"/>
          <w:kern w:val="0"/>
          <w:sz w:val="28"/>
          <w:szCs w:val="28"/>
          <w:highlight w:val="none"/>
        </w:rPr>
        <w:t>】</w:t>
      </w:r>
    </w:p>
    <w:p>
      <w:pPr>
        <w:spacing w:line="560" w:lineRule="exact"/>
        <w:jc w:val="left"/>
        <w:rPr>
          <w:rFonts w:ascii="仿宋" w:hAnsi="仿宋" w:eastAsia="仿宋"/>
          <w:color w:val="333333"/>
          <w:sz w:val="28"/>
          <w:szCs w:val="28"/>
          <w:highlight w:val="none"/>
          <w:shd w:val="clear" w:color="auto" w:fill="FFFFFF"/>
        </w:rPr>
      </w:pPr>
    </w:p>
    <w:p>
      <w:pPr>
        <w:spacing w:line="560" w:lineRule="exact"/>
        <w:jc w:val="left"/>
        <w:rPr>
          <w:rFonts w:ascii="仿宋" w:hAnsi="仿宋" w:eastAsia="仿宋"/>
          <w:color w:val="333333"/>
          <w:sz w:val="28"/>
          <w:szCs w:val="28"/>
          <w:highlight w:val="none"/>
          <w:shd w:val="clear" w:color="auto" w:fill="FFFFFF"/>
        </w:rPr>
      </w:pPr>
    </w:p>
    <w:p>
      <w:pPr>
        <w:spacing w:line="560" w:lineRule="exact"/>
        <w:jc w:val="left"/>
        <w:rPr>
          <w:rFonts w:ascii="仿宋" w:hAnsi="仿宋" w:eastAsia="仿宋"/>
          <w:color w:val="333333"/>
          <w:sz w:val="28"/>
          <w:szCs w:val="28"/>
          <w:highlight w:val="none"/>
          <w:shd w:val="clear" w:color="auto" w:fill="FFFFFF"/>
        </w:rPr>
      </w:pPr>
    </w:p>
    <w:p>
      <w:pPr>
        <w:spacing w:line="560" w:lineRule="exact"/>
        <w:jc w:val="left"/>
        <w:rPr>
          <w:rFonts w:ascii="仿宋" w:hAnsi="仿宋" w:eastAsia="仿宋"/>
          <w:color w:val="333333"/>
          <w:sz w:val="28"/>
          <w:szCs w:val="28"/>
          <w:highlight w:val="none"/>
          <w:shd w:val="clear" w:color="auto" w:fill="FFFFFF"/>
        </w:rPr>
      </w:pPr>
    </w:p>
    <w:p>
      <w:pPr>
        <w:spacing w:line="560" w:lineRule="exact"/>
        <w:jc w:val="left"/>
        <w:rPr>
          <w:rFonts w:ascii="仿宋" w:hAnsi="仿宋" w:eastAsia="仿宋"/>
          <w:color w:val="333333"/>
          <w:sz w:val="28"/>
          <w:szCs w:val="28"/>
          <w:highlight w:val="none"/>
          <w:shd w:val="clear" w:color="auto" w:fill="FFFFFF"/>
        </w:rPr>
      </w:pPr>
    </w:p>
    <w:p>
      <w:pPr>
        <w:spacing w:line="560" w:lineRule="exact"/>
        <w:jc w:val="left"/>
        <w:rPr>
          <w:rFonts w:ascii="仿宋" w:hAnsi="仿宋" w:eastAsia="仿宋"/>
          <w:color w:val="333333"/>
          <w:sz w:val="28"/>
          <w:szCs w:val="28"/>
          <w:highlight w:val="none"/>
          <w:shd w:val="clear" w:color="auto" w:fill="FFFFFF"/>
        </w:rPr>
      </w:pPr>
    </w:p>
    <w:p>
      <w:pPr>
        <w:spacing w:line="560" w:lineRule="exact"/>
        <w:jc w:val="left"/>
        <w:rPr>
          <w:rFonts w:ascii="仿宋" w:hAnsi="仿宋" w:eastAsia="仿宋"/>
          <w:color w:val="333333"/>
          <w:sz w:val="28"/>
          <w:szCs w:val="28"/>
          <w:highlight w:val="none"/>
          <w:shd w:val="clear" w:color="auto" w:fill="FFFFFF"/>
        </w:rPr>
      </w:pPr>
    </w:p>
    <w:p>
      <w:pPr>
        <w:spacing w:line="560" w:lineRule="exact"/>
        <w:jc w:val="left"/>
        <w:rPr>
          <w:rFonts w:ascii="仿宋" w:hAnsi="仿宋" w:eastAsia="仿宋"/>
          <w:color w:val="333333"/>
          <w:sz w:val="28"/>
          <w:szCs w:val="28"/>
          <w:highlight w:val="none"/>
          <w:shd w:val="clear" w:color="auto" w:fill="FFFFFF"/>
        </w:rPr>
      </w:pPr>
    </w:p>
    <w:p>
      <w:pPr>
        <w:spacing w:line="560" w:lineRule="exact"/>
        <w:jc w:val="left"/>
        <w:rPr>
          <w:rFonts w:ascii="仿宋" w:hAnsi="仿宋" w:eastAsia="仿宋"/>
          <w:color w:val="333333"/>
          <w:sz w:val="28"/>
          <w:szCs w:val="28"/>
          <w:highlight w:val="none"/>
          <w:shd w:val="clear" w:color="auto" w:fill="FFFFFF"/>
        </w:rPr>
      </w:pPr>
    </w:p>
    <w:p>
      <w:pPr>
        <w:spacing w:line="560" w:lineRule="exact"/>
        <w:jc w:val="left"/>
        <w:rPr>
          <w:rFonts w:ascii="仿宋" w:hAnsi="仿宋" w:eastAsia="仿宋"/>
          <w:color w:val="333333"/>
          <w:sz w:val="28"/>
          <w:szCs w:val="28"/>
          <w:highlight w:val="none"/>
          <w:shd w:val="clear" w:color="auto" w:fill="FFFFFF"/>
        </w:rPr>
      </w:pPr>
    </w:p>
    <w:p>
      <w:pPr>
        <w:spacing w:line="560" w:lineRule="exact"/>
        <w:jc w:val="left"/>
        <w:rPr>
          <w:rFonts w:ascii="仿宋" w:hAnsi="仿宋" w:eastAsia="仿宋"/>
          <w:color w:val="333333"/>
          <w:sz w:val="28"/>
          <w:szCs w:val="28"/>
          <w:highlight w:val="none"/>
          <w:shd w:val="clear" w:color="auto" w:fill="FFFFFF"/>
        </w:rPr>
      </w:pPr>
    </w:p>
    <w:p>
      <w:pPr>
        <w:pStyle w:val="8"/>
        <w:spacing w:line="560" w:lineRule="exact"/>
        <w:rPr>
          <w:highlight w:val="none"/>
        </w:rPr>
      </w:pPr>
    </w:p>
    <w:p>
      <w:pPr>
        <w:pStyle w:val="8"/>
        <w:spacing w:line="560" w:lineRule="exact"/>
        <w:rPr>
          <w:highlight w:val="none"/>
        </w:rPr>
      </w:pPr>
    </w:p>
    <w:p>
      <w:pPr>
        <w:pStyle w:val="8"/>
        <w:spacing w:line="560" w:lineRule="exact"/>
        <w:rPr>
          <w:highlight w:val="none"/>
        </w:rPr>
      </w:pPr>
    </w:p>
    <w:p>
      <w:pPr>
        <w:pStyle w:val="8"/>
        <w:spacing w:line="560" w:lineRule="exact"/>
        <w:rPr>
          <w:highlight w:val="none"/>
        </w:rPr>
      </w:pPr>
    </w:p>
    <w:p>
      <w:pPr>
        <w:pStyle w:val="8"/>
        <w:spacing w:line="560" w:lineRule="exact"/>
        <w:rPr>
          <w:highlight w:val="none"/>
        </w:rPr>
      </w:pPr>
    </w:p>
    <w:p>
      <w:pPr>
        <w:pStyle w:val="8"/>
        <w:spacing w:line="560" w:lineRule="exact"/>
        <w:rPr>
          <w:highlight w:val="none"/>
        </w:rPr>
      </w:pPr>
    </w:p>
    <w:p>
      <w:pPr>
        <w:pStyle w:val="8"/>
        <w:spacing w:line="560" w:lineRule="exact"/>
        <w:rPr>
          <w:highlight w:val="none"/>
        </w:rPr>
      </w:pPr>
    </w:p>
    <w:p>
      <w:pPr>
        <w:pStyle w:val="8"/>
        <w:spacing w:line="560" w:lineRule="exact"/>
        <w:rPr>
          <w:highlight w:val="none"/>
        </w:rPr>
      </w:pPr>
    </w:p>
    <w:p>
      <w:pPr>
        <w:pStyle w:val="8"/>
        <w:spacing w:line="560" w:lineRule="exact"/>
        <w:rPr>
          <w:highlight w:val="none"/>
        </w:rPr>
      </w:pPr>
    </w:p>
    <w:p>
      <w:pPr>
        <w:pStyle w:val="8"/>
        <w:spacing w:line="560" w:lineRule="exact"/>
        <w:rPr>
          <w:highlight w:val="none"/>
        </w:rPr>
      </w:pPr>
    </w:p>
    <w:p>
      <w:pPr>
        <w:pStyle w:val="3"/>
        <w:spacing w:line="560" w:lineRule="exact"/>
        <w:rPr>
          <w:rFonts w:hint="eastAsia" w:ascii="黑体" w:hAnsi="黑体" w:eastAsia="黑体" w:cs="黑体"/>
          <w:bCs/>
          <w:kern w:val="2"/>
          <w:sz w:val="32"/>
          <w:szCs w:val="32"/>
          <w:highlight w:val="none"/>
        </w:rPr>
      </w:pPr>
      <w:r>
        <w:rPr>
          <w:rFonts w:hint="eastAsia" w:ascii="黑体" w:hAnsi="黑体" w:eastAsia="黑体" w:cs="黑体"/>
          <w:bCs/>
          <w:kern w:val="2"/>
          <w:sz w:val="32"/>
          <w:szCs w:val="32"/>
          <w:highlight w:val="none"/>
        </w:rPr>
        <w:t>附件3：</w:t>
      </w:r>
    </w:p>
    <w:p>
      <w:pPr>
        <w:spacing w:line="560" w:lineRule="exact"/>
        <w:ind w:firstLine="723" w:firstLineChars="200"/>
        <w:jc w:val="center"/>
        <w:rPr>
          <w:b/>
          <w:bCs/>
          <w:color w:val="FF0000"/>
          <w:sz w:val="36"/>
          <w:szCs w:val="36"/>
          <w:highlight w:val="none"/>
        </w:rPr>
      </w:pPr>
      <w:r>
        <w:rPr>
          <w:rFonts w:hint="eastAsia"/>
          <w:b/>
          <w:bCs/>
          <w:sz w:val="36"/>
          <w:szCs w:val="36"/>
          <w:highlight w:val="none"/>
        </w:rPr>
        <w:t>政府采购投标及履约承诺函</w:t>
      </w:r>
      <w:r>
        <w:rPr>
          <w:rFonts w:hint="eastAsia"/>
          <w:b/>
          <w:bCs/>
          <w:color w:val="FF0000"/>
          <w:sz w:val="36"/>
          <w:szCs w:val="36"/>
          <w:highlight w:val="none"/>
        </w:rPr>
        <w:t>（固定格式）</w:t>
      </w:r>
    </w:p>
    <w:p>
      <w:pPr>
        <w:spacing w:line="560" w:lineRule="exact"/>
        <w:rPr>
          <w:rFonts w:ascii="宋体" w:hAnsi="宋体"/>
          <w:sz w:val="28"/>
          <w:szCs w:val="28"/>
          <w:highlight w:val="none"/>
        </w:rPr>
      </w:pPr>
      <w:r>
        <w:rPr>
          <w:rFonts w:hint="eastAsia" w:ascii="宋体" w:hAnsi="宋体"/>
          <w:sz w:val="28"/>
          <w:szCs w:val="28"/>
          <w:highlight w:val="none"/>
        </w:rPr>
        <w:t>致：龙岗区教育局</w:t>
      </w:r>
    </w:p>
    <w:p>
      <w:pPr>
        <w:widowControl/>
        <w:spacing w:line="560" w:lineRule="exact"/>
        <w:ind w:firstLine="528" w:firstLineChars="220"/>
        <w:jc w:val="left"/>
        <w:rPr>
          <w:sz w:val="24"/>
          <w:highlight w:val="none"/>
        </w:rPr>
      </w:pPr>
      <w:r>
        <w:rPr>
          <w:rFonts w:hint="eastAsia"/>
          <w:sz w:val="24"/>
          <w:highlight w:val="none"/>
        </w:rPr>
        <w:t>我公司承诺：</w:t>
      </w:r>
    </w:p>
    <w:p>
      <w:pPr>
        <w:widowControl/>
        <w:spacing w:line="560" w:lineRule="exact"/>
        <w:ind w:firstLine="528" w:firstLineChars="220"/>
        <w:jc w:val="left"/>
        <w:rPr>
          <w:sz w:val="24"/>
          <w:highlight w:val="none"/>
        </w:rPr>
      </w:pPr>
      <w:r>
        <w:rPr>
          <w:rFonts w:hint="eastAsia"/>
          <w:sz w:val="24"/>
          <w:highlight w:val="none"/>
        </w:rPr>
        <w:t>1.我公司本招标项目所提供的货物或服务未侵犯知识产权。</w:t>
      </w:r>
    </w:p>
    <w:p>
      <w:pPr>
        <w:widowControl/>
        <w:spacing w:line="560" w:lineRule="exact"/>
        <w:ind w:firstLine="528" w:firstLineChars="220"/>
        <w:jc w:val="left"/>
        <w:rPr>
          <w:sz w:val="24"/>
          <w:highlight w:val="none"/>
        </w:rPr>
      </w:pPr>
      <w:r>
        <w:rPr>
          <w:rFonts w:hint="eastAsia"/>
          <w:sz w:val="24"/>
          <w:highlight w:val="none"/>
        </w:rPr>
        <w:t>2.我公司参与本项目投标前三年内，在经营活动中没有重大违法记录。</w:t>
      </w:r>
    </w:p>
    <w:p>
      <w:pPr>
        <w:widowControl/>
        <w:spacing w:line="560" w:lineRule="exact"/>
        <w:ind w:firstLine="528" w:firstLineChars="220"/>
        <w:jc w:val="left"/>
        <w:rPr>
          <w:sz w:val="24"/>
          <w:highlight w:val="none"/>
        </w:rPr>
      </w:pPr>
      <w:r>
        <w:rPr>
          <w:rFonts w:hint="eastAsia"/>
          <w:sz w:val="24"/>
          <w:highlight w:val="none"/>
        </w:rPr>
        <w:t>3.我公司参与本项目政府采购活动时不存在被有关部门禁止参与政府采购活动且在有效期内的情况。</w:t>
      </w:r>
    </w:p>
    <w:p>
      <w:pPr>
        <w:widowControl/>
        <w:spacing w:line="560" w:lineRule="exact"/>
        <w:ind w:firstLine="528" w:firstLineChars="220"/>
        <w:jc w:val="left"/>
        <w:rPr>
          <w:sz w:val="24"/>
          <w:highlight w:val="none"/>
        </w:rPr>
      </w:pPr>
      <w:r>
        <w:rPr>
          <w:rFonts w:hint="eastAsia"/>
          <w:sz w:val="24"/>
          <w:highlight w:val="none"/>
        </w:rPr>
        <w:t>4.我公司具备《中华人民共和国政府采购法》第二十二条第一款规定的六项条件。</w:t>
      </w:r>
    </w:p>
    <w:p>
      <w:pPr>
        <w:widowControl/>
        <w:spacing w:line="560" w:lineRule="exact"/>
        <w:ind w:firstLine="528" w:firstLineChars="220"/>
        <w:jc w:val="left"/>
        <w:rPr>
          <w:sz w:val="24"/>
          <w:highlight w:val="none"/>
        </w:rPr>
      </w:pPr>
      <w:r>
        <w:rPr>
          <w:rFonts w:hint="eastAsia"/>
          <w:sz w:val="24"/>
          <w:highlight w:val="none"/>
        </w:rPr>
        <w:t>5.我公司未被列入失信被执行人、重大税收违法案件当事人名单、政府采购严重违法失信行为记录名单</w:t>
      </w:r>
    </w:p>
    <w:p>
      <w:pPr>
        <w:widowControl/>
        <w:spacing w:line="560" w:lineRule="exact"/>
        <w:ind w:firstLine="528" w:firstLineChars="220"/>
        <w:jc w:val="left"/>
        <w:rPr>
          <w:sz w:val="24"/>
          <w:highlight w:val="none"/>
        </w:rPr>
      </w:pPr>
      <w:r>
        <w:rPr>
          <w:rFonts w:hint="eastAsia"/>
          <w:sz w:val="24"/>
          <w:highlight w:val="none"/>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widowControl/>
        <w:spacing w:line="560" w:lineRule="exact"/>
        <w:ind w:firstLine="528" w:firstLineChars="220"/>
        <w:jc w:val="left"/>
        <w:rPr>
          <w:sz w:val="24"/>
          <w:highlight w:val="none"/>
        </w:rPr>
      </w:pPr>
      <w:r>
        <w:rPr>
          <w:rFonts w:hint="eastAsia"/>
          <w:sz w:val="24"/>
          <w:highlight w:val="none"/>
        </w:rPr>
        <w:t>7.我公司如果中标，做到守信，不偷工减料，依照本项目招标文件需求内容、签署的采购合同及本公司在投标中所作的一切承诺履约。项目验收达到全部指标合格，力争优良。</w:t>
      </w:r>
    </w:p>
    <w:p>
      <w:pPr>
        <w:widowControl/>
        <w:spacing w:line="560" w:lineRule="exact"/>
        <w:ind w:firstLine="528" w:firstLineChars="220"/>
        <w:jc w:val="left"/>
        <w:rPr>
          <w:sz w:val="24"/>
          <w:highlight w:val="none"/>
        </w:rPr>
      </w:pPr>
      <w:r>
        <w:rPr>
          <w:rFonts w:hint="eastAsia"/>
          <w:sz w:val="24"/>
          <w:highlight w:val="none"/>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widowControl/>
        <w:spacing w:line="560" w:lineRule="exact"/>
        <w:ind w:firstLine="528" w:firstLineChars="220"/>
        <w:jc w:val="left"/>
        <w:rPr>
          <w:sz w:val="24"/>
          <w:highlight w:val="none"/>
        </w:rPr>
      </w:pPr>
      <w:r>
        <w:rPr>
          <w:rFonts w:hint="eastAsia"/>
          <w:sz w:val="24"/>
          <w:highlight w:val="none"/>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widowControl/>
        <w:spacing w:line="560" w:lineRule="exact"/>
        <w:ind w:firstLine="528" w:firstLineChars="220"/>
        <w:jc w:val="left"/>
        <w:rPr>
          <w:sz w:val="24"/>
          <w:highlight w:val="none"/>
        </w:rPr>
      </w:pPr>
      <w:r>
        <w:rPr>
          <w:rFonts w:hint="eastAsia"/>
          <w:sz w:val="24"/>
          <w:highlight w:val="none"/>
        </w:rPr>
        <w:t>10.我公司承诺不非法转包、分包。</w:t>
      </w:r>
    </w:p>
    <w:p>
      <w:pPr>
        <w:widowControl/>
        <w:spacing w:line="560" w:lineRule="exact"/>
        <w:ind w:firstLine="528" w:firstLineChars="220"/>
        <w:jc w:val="left"/>
        <w:rPr>
          <w:sz w:val="24"/>
          <w:highlight w:val="none"/>
        </w:rPr>
      </w:pPr>
      <w:r>
        <w:rPr>
          <w:rFonts w:hint="eastAsia"/>
          <w:sz w:val="24"/>
          <w:highlight w:val="none"/>
        </w:rPr>
        <w:t>以上承诺，如有违反，愿依照国家相关法律处理，并承担由此给采购人带来的损失。</w:t>
      </w:r>
    </w:p>
    <w:p>
      <w:pPr>
        <w:widowControl/>
        <w:spacing w:line="560" w:lineRule="exact"/>
        <w:ind w:firstLine="462" w:firstLineChars="220"/>
        <w:jc w:val="left"/>
        <w:rPr>
          <w:szCs w:val="21"/>
          <w:highlight w:val="none"/>
        </w:rPr>
      </w:pPr>
      <w:r>
        <w:rPr>
          <w:szCs w:val="21"/>
          <w:highlight w:val="none"/>
        </w:rPr>
        <w:t xml:space="preserve">                                    </w:t>
      </w:r>
    </w:p>
    <w:p>
      <w:pPr>
        <w:spacing w:line="560" w:lineRule="exact"/>
        <w:ind w:firstLine="4080" w:firstLineChars="1700"/>
        <w:rPr>
          <w:sz w:val="24"/>
          <w:highlight w:val="none"/>
        </w:rPr>
      </w:pPr>
    </w:p>
    <w:p>
      <w:pPr>
        <w:spacing w:line="560" w:lineRule="exact"/>
        <w:ind w:firstLine="4080" w:firstLineChars="1700"/>
        <w:rPr>
          <w:sz w:val="24"/>
          <w:highlight w:val="none"/>
        </w:rPr>
      </w:pPr>
      <w:r>
        <w:rPr>
          <w:rFonts w:hint="eastAsia"/>
          <w:sz w:val="24"/>
          <w:highlight w:val="none"/>
        </w:rPr>
        <w:t xml:space="preserve">投标人（公章）：                             </w:t>
      </w:r>
    </w:p>
    <w:p>
      <w:pPr>
        <w:spacing w:line="560" w:lineRule="exact"/>
        <w:ind w:firstLine="4080" w:firstLineChars="1700"/>
        <w:rPr>
          <w:sz w:val="24"/>
          <w:highlight w:val="none"/>
        </w:rPr>
      </w:pPr>
      <w:r>
        <w:rPr>
          <w:rFonts w:hint="eastAsia"/>
          <w:sz w:val="24"/>
          <w:highlight w:val="none"/>
        </w:rPr>
        <w:t>日  期：      年   月   日</w:t>
      </w:r>
    </w:p>
    <w:p>
      <w:pPr>
        <w:keepNext/>
        <w:keepLines/>
        <w:spacing w:before="340" w:after="330" w:line="560" w:lineRule="exact"/>
        <w:ind w:firstLine="0" w:firstLineChars="0"/>
        <w:outlineLvl w:val="0"/>
        <w:rPr>
          <w:sz w:val="24"/>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185519"/>
    </w:sdtPr>
    <w:sdtContent>
      <w:sdt>
        <w:sdtPr>
          <w:id w:val="1728636285"/>
        </w:sdtPr>
        <w:sdtContent>
          <w:p>
            <w:pPr>
              <w:pStyle w:val="1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1CA54A"/>
    <w:multiLevelType w:val="singleLevel"/>
    <w:tmpl w:val="D01CA54A"/>
    <w:lvl w:ilvl="0" w:tentative="0">
      <w:start w:val="2"/>
      <w:numFmt w:val="decimal"/>
      <w:lvlText w:val="%1."/>
      <w:lvlJc w:val="left"/>
      <w:pPr>
        <w:tabs>
          <w:tab w:val="left" w:pos="312"/>
        </w:tabs>
      </w:pPr>
    </w:lvl>
  </w:abstractNum>
  <w:abstractNum w:abstractNumId="1">
    <w:nsid w:val="26017153"/>
    <w:multiLevelType w:val="singleLevel"/>
    <w:tmpl w:val="2601715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2NjYxZjc5NWQ1NjhmZDQ4Y2IyY2NiYjI0OTRjNTIifQ=="/>
  </w:docVars>
  <w:rsids>
    <w:rsidRoot w:val="00F137F3"/>
    <w:rsid w:val="000129F3"/>
    <w:rsid w:val="0001461E"/>
    <w:rsid w:val="00020E70"/>
    <w:rsid w:val="00021A67"/>
    <w:rsid w:val="00023099"/>
    <w:rsid w:val="00036BE1"/>
    <w:rsid w:val="00056795"/>
    <w:rsid w:val="00083A65"/>
    <w:rsid w:val="000909E6"/>
    <w:rsid w:val="000A087B"/>
    <w:rsid w:val="000A111E"/>
    <w:rsid w:val="000B08D2"/>
    <w:rsid w:val="000B7325"/>
    <w:rsid w:val="000C2C99"/>
    <w:rsid w:val="000D4AF5"/>
    <w:rsid w:val="000E291B"/>
    <w:rsid w:val="00102451"/>
    <w:rsid w:val="00104796"/>
    <w:rsid w:val="00124F83"/>
    <w:rsid w:val="00130DFE"/>
    <w:rsid w:val="00147D5F"/>
    <w:rsid w:val="001753C9"/>
    <w:rsid w:val="001842AB"/>
    <w:rsid w:val="00186741"/>
    <w:rsid w:val="001A08B6"/>
    <w:rsid w:val="001A267D"/>
    <w:rsid w:val="001B02A7"/>
    <w:rsid w:val="001C7C3D"/>
    <w:rsid w:val="001E4F3D"/>
    <w:rsid w:val="001E5E4F"/>
    <w:rsid w:val="001F4AC7"/>
    <w:rsid w:val="001F5DE2"/>
    <w:rsid w:val="002137A1"/>
    <w:rsid w:val="00220344"/>
    <w:rsid w:val="002240DF"/>
    <w:rsid w:val="00240767"/>
    <w:rsid w:val="002408CD"/>
    <w:rsid w:val="00244C94"/>
    <w:rsid w:val="00256D78"/>
    <w:rsid w:val="00257B9A"/>
    <w:rsid w:val="00275C11"/>
    <w:rsid w:val="00276882"/>
    <w:rsid w:val="00277E1B"/>
    <w:rsid w:val="0028353C"/>
    <w:rsid w:val="002877EA"/>
    <w:rsid w:val="00297DC5"/>
    <w:rsid w:val="002A6EF4"/>
    <w:rsid w:val="002B074D"/>
    <w:rsid w:val="002B4D83"/>
    <w:rsid w:val="002D0698"/>
    <w:rsid w:val="002D2402"/>
    <w:rsid w:val="002F7795"/>
    <w:rsid w:val="002F7837"/>
    <w:rsid w:val="002F79D7"/>
    <w:rsid w:val="0030194D"/>
    <w:rsid w:val="0030250E"/>
    <w:rsid w:val="00326F75"/>
    <w:rsid w:val="00331C83"/>
    <w:rsid w:val="0033445B"/>
    <w:rsid w:val="00362335"/>
    <w:rsid w:val="003672DE"/>
    <w:rsid w:val="00387B51"/>
    <w:rsid w:val="00391100"/>
    <w:rsid w:val="003929B6"/>
    <w:rsid w:val="00395003"/>
    <w:rsid w:val="00396759"/>
    <w:rsid w:val="003A4AA1"/>
    <w:rsid w:val="003A6E16"/>
    <w:rsid w:val="003B25BE"/>
    <w:rsid w:val="003B28D0"/>
    <w:rsid w:val="003C240F"/>
    <w:rsid w:val="003D273C"/>
    <w:rsid w:val="003D6C83"/>
    <w:rsid w:val="00401E6E"/>
    <w:rsid w:val="0041126A"/>
    <w:rsid w:val="0043771E"/>
    <w:rsid w:val="00446C99"/>
    <w:rsid w:val="00472C44"/>
    <w:rsid w:val="004830CD"/>
    <w:rsid w:val="004A4850"/>
    <w:rsid w:val="004B31BE"/>
    <w:rsid w:val="004C1E75"/>
    <w:rsid w:val="004C4C7B"/>
    <w:rsid w:val="004C6859"/>
    <w:rsid w:val="004F7B6A"/>
    <w:rsid w:val="00513C00"/>
    <w:rsid w:val="00514029"/>
    <w:rsid w:val="00515230"/>
    <w:rsid w:val="00515D58"/>
    <w:rsid w:val="00517ED5"/>
    <w:rsid w:val="00521A7F"/>
    <w:rsid w:val="00523E0A"/>
    <w:rsid w:val="0054390F"/>
    <w:rsid w:val="0056567C"/>
    <w:rsid w:val="00566D6D"/>
    <w:rsid w:val="005717F9"/>
    <w:rsid w:val="00581A24"/>
    <w:rsid w:val="00582CE0"/>
    <w:rsid w:val="00586BCC"/>
    <w:rsid w:val="005A260E"/>
    <w:rsid w:val="005B0D51"/>
    <w:rsid w:val="005B22D2"/>
    <w:rsid w:val="005B4EB0"/>
    <w:rsid w:val="005E6ACF"/>
    <w:rsid w:val="00621471"/>
    <w:rsid w:val="00622FD2"/>
    <w:rsid w:val="0062787C"/>
    <w:rsid w:val="00636F43"/>
    <w:rsid w:val="00640C5D"/>
    <w:rsid w:val="0064647C"/>
    <w:rsid w:val="006525DD"/>
    <w:rsid w:val="00680532"/>
    <w:rsid w:val="0068292C"/>
    <w:rsid w:val="006C76F6"/>
    <w:rsid w:val="006D6CE2"/>
    <w:rsid w:val="006E723C"/>
    <w:rsid w:val="00705F81"/>
    <w:rsid w:val="00710BE1"/>
    <w:rsid w:val="007258A9"/>
    <w:rsid w:val="00736E38"/>
    <w:rsid w:val="00761EA7"/>
    <w:rsid w:val="00764558"/>
    <w:rsid w:val="0076510F"/>
    <w:rsid w:val="0077081F"/>
    <w:rsid w:val="00771BF5"/>
    <w:rsid w:val="00775A26"/>
    <w:rsid w:val="00776CAA"/>
    <w:rsid w:val="00782B3D"/>
    <w:rsid w:val="00790B00"/>
    <w:rsid w:val="007A3177"/>
    <w:rsid w:val="007B4E71"/>
    <w:rsid w:val="007C012C"/>
    <w:rsid w:val="007D3216"/>
    <w:rsid w:val="007D4435"/>
    <w:rsid w:val="007D5B2E"/>
    <w:rsid w:val="007D6BF6"/>
    <w:rsid w:val="00803479"/>
    <w:rsid w:val="00804FB6"/>
    <w:rsid w:val="00810B17"/>
    <w:rsid w:val="00827EE5"/>
    <w:rsid w:val="008350C4"/>
    <w:rsid w:val="008370CB"/>
    <w:rsid w:val="0087374D"/>
    <w:rsid w:val="008824F8"/>
    <w:rsid w:val="008B0DBB"/>
    <w:rsid w:val="008B13AC"/>
    <w:rsid w:val="008B206A"/>
    <w:rsid w:val="008B2958"/>
    <w:rsid w:val="008B4F97"/>
    <w:rsid w:val="008B6B73"/>
    <w:rsid w:val="008B6D58"/>
    <w:rsid w:val="008C2C74"/>
    <w:rsid w:val="008C435C"/>
    <w:rsid w:val="008D0B81"/>
    <w:rsid w:val="008D0DEA"/>
    <w:rsid w:val="008F27E7"/>
    <w:rsid w:val="008F35AC"/>
    <w:rsid w:val="00911232"/>
    <w:rsid w:val="00911CF1"/>
    <w:rsid w:val="009212D5"/>
    <w:rsid w:val="00921939"/>
    <w:rsid w:val="00922AA3"/>
    <w:rsid w:val="0093120D"/>
    <w:rsid w:val="00932BD6"/>
    <w:rsid w:val="00934276"/>
    <w:rsid w:val="00957E1F"/>
    <w:rsid w:val="0096635A"/>
    <w:rsid w:val="009813DB"/>
    <w:rsid w:val="009834F8"/>
    <w:rsid w:val="009850AA"/>
    <w:rsid w:val="009871F1"/>
    <w:rsid w:val="009914FA"/>
    <w:rsid w:val="00991F3E"/>
    <w:rsid w:val="009971E2"/>
    <w:rsid w:val="009B6437"/>
    <w:rsid w:val="009C5F49"/>
    <w:rsid w:val="009D070F"/>
    <w:rsid w:val="009D12CF"/>
    <w:rsid w:val="009D2E2C"/>
    <w:rsid w:val="009D431E"/>
    <w:rsid w:val="009F2AC1"/>
    <w:rsid w:val="009F6337"/>
    <w:rsid w:val="00A071FA"/>
    <w:rsid w:val="00A12FFE"/>
    <w:rsid w:val="00A23D36"/>
    <w:rsid w:val="00A264FE"/>
    <w:rsid w:val="00A474C7"/>
    <w:rsid w:val="00A62C7F"/>
    <w:rsid w:val="00A74BDD"/>
    <w:rsid w:val="00A76C5C"/>
    <w:rsid w:val="00A77F7F"/>
    <w:rsid w:val="00A81882"/>
    <w:rsid w:val="00A81B04"/>
    <w:rsid w:val="00A9297E"/>
    <w:rsid w:val="00A93F88"/>
    <w:rsid w:val="00AC2E53"/>
    <w:rsid w:val="00AD2316"/>
    <w:rsid w:val="00AE086B"/>
    <w:rsid w:val="00AF4DE2"/>
    <w:rsid w:val="00B02C70"/>
    <w:rsid w:val="00B02E38"/>
    <w:rsid w:val="00B07EE9"/>
    <w:rsid w:val="00B20236"/>
    <w:rsid w:val="00B20685"/>
    <w:rsid w:val="00B21C91"/>
    <w:rsid w:val="00B32A4B"/>
    <w:rsid w:val="00B32D09"/>
    <w:rsid w:val="00B424A3"/>
    <w:rsid w:val="00B45951"/>
    <w:rsid w:val="00B52175"/>
    <w:rsid w:val="00B907B0"/>
    <w:rsid w:val="00B934E9"/>
    <w:rsid w:val="00BB1BB5"/>
    <w:rsid w:val="00BC3BCA"/>
    <w:rsid w:val="00BC4FF5"/>
    <w:rsid w:val="00BC500C"/>
    <w:rsid w:val="00BD2E87"/>
    <w:rsid w:val="00BD5C4C"/>
    <w:rsid w:val="00BE681F"/>
    <w:rsid w:val="00C12357"/>
    <w:rsid w:val="00C14B96"/>
    <w:rsid w:val="00C52460"/>
    <w:rsid w:val="00C53712"/>
    <w:rsid w:val="00C53F49"/>
    <w:rsid w:val="00C71329"/>
    <w:rsid w:val="00C71D6E"/>
    <w:rsid w:val="00C807AB"/>
    <w:rsid w:val="00C96CC0"/>
    <w:rsid w:val="00CA34D6"/>
    <w:rsid w:val="00CA47DF"/>
    <w:rsid w:val="00CB3DDC"/>
    <w:rsid w:val="00CC0951"/>
    <w:rsid w:val="00CD3BE1"/>
    <w:rsid w:val="00CE3EB0"/>
    <w:rsid w:val="00CE4FB9"/>
    <w:rsid w:val="00D341ED"/>
    <w:rsid w:val="00D41915"/>
    <w:rsid w:val="00D641F5"/>
    <w:rsid w:val="00DA197F"/>
    <w:rsid w:val="00DA497B"/>
    <w:rsid w:val="00DB5AA0"/>
    <w:rsid w:val="00DE6BE5"/>
    <w:rsid w:val="00DF2610"/>
    <w:rsid w:val="00DF5464"/>
    <w:rsid w:val="00E46CDE"/>
    <w:rsid w:val="00E50CBA"/>
    <w:rsid w:val="00E522E1"/>
    <w:rsid w:val="00E5786F"/>
    <w:rsid w:val="00E60419"/>
    <w:rsid w:val="00E66783"/>
    <w:rsid w:val="00E708F8"/>
    <w:rsid w:val="00E71CEC"/>
    <w:rsid w:val="00E72E90"/>
    <w:rsid w:val="00E75D74"/>
    <w:rsid w:val="00E772E5"/>
    <w:rsid w:val="00E845A2"/>
    <w:rsid w:val="00E94D6D"/>
    <w:rsid w:val="00EA0E84"/>
    <w:rsid w:val="00EA317A"/>
    <w:rsid w:val="00EC3AAA"/>
    <w:rsid w:val="00EE5C7A"/>
    <w:rsid w:val="00EE7328"/>
    <w:rsid w:val="00EF0D5F"/>
    <w:rsid w:val="00EF15E2"/>
    <w:rsid w:val="00EF5495"/>
    <w:rsid w:val="00EF5F57"/>
    <w:rsid w:val="00F020F1"/>
    <w:rsid w:val="00F137F3"/>
    <w:rsid w:val="00F206BB"/>
    <w:rsid w:val="00F23324"/>
    <w:rsid w:val="00F44536"/>
    <w:rsid w:val="00F470C7"/>
    <w:rsid w:val="00F53558"/>
    <w:rsid w:val="00F53ADD"/>
    <w:rsid w:val="00F62AAB"/>
    <w:rsid w:val="00F64B99"/>
    <w:rsid w:val="00F964B8"/>
    <w:rsid w:val="00FB0ADF"/>
    <w:rsid w:val="00FB442E"/>
    <w:rsid w:val="00FE35B7"/>
    <w:rsid w:val="00FE43AD"/>
    <w:rsid w:val="01EE3639"/>
    <w:rsid w:val="01F40F97"/>
    <w:rsid w:val="024437B5"/>
    <w:rsid w:val="02AB78A7"/>
    <w:rsid w:val="02DC3F04"/>
    <w:rsid w:val="03167BF3"/>
    <w:rsid w:val="0388682E"/>
    <w:rsid w:val="03F84D6E"/>
    <w:rsid w:val="04096F7B"/>
    <w:rsid w:val="042A0CA0"/>
    <w:rsid w:val="051668EE"/>
    <w:rsid w:val="052223E8"/>
    <w:rsid w:val="05743C23"/>
    <w:rsid w:val="05832D5D"/>
    <w:rsid w:val="059C69EB"/>
    <w:rsid w:val="06346B4B"/>
    <w:rsid w:val="06FA134D"/>
    <w:rsid w:val="07614872"/>
    <w:rsid w:val="07D14033"/>
    <w:rsid w:val="07DB21CB"/>
    <w:rsid w:val="085B6204"/>
    <w:rsid w:val="08A60BF7"/>
    <w:rsid w:val="094E3197"/>
    <w:rsid w:val="09510A7C"/>
    <w:rsid w:val="09970B85"/>
    <w:rsid w:val="09A0193D"/>
    <w:rsid w:val="09B94F9F"/>
    <w:rsid w:val="0A1D5696"/>
    <w:rsid w:val="0B476A2D"/>
    <w:rsid w:val="0B574A70"/>
    <w:rsid w:val="0B973A2F"/>
    <w:rsid w:val="0C0C2160"/>
    <w:rsid w:val="0C2A5CE1"/>
    <w:rsid w:val="0C8A023B"/>
    <w:rsid w:val="0CAD06C0"/>
    <w:rsid w:val="0CD619C5"/>
    <w:rsid w:val="0D054058"/>
    <w:rsid w:val="0D2941EA"/>
    <w:rsid w:val="0D2D3098"/>
    <w:rsid w:val="0E3C7DFC"/>
    <w:rsid w:val="0E7B5A61"/>
    <w:rsid w:val="0EDB262A"/>
    <w:rsid w:val="0F1862C4"/>
    <w:rsid w:val="0FA4224E"/>
    <w:rsid w:val="0FC60977"/>
    <w:rsid w:val="102173FB"/>
    <w:rsid w:val="102E76EB"/>
    <w:rsid w:val="103D0CB0"/>
    <w:rsid w:val="10645539"/>
    <w:rsid w:val="10952C7D"/>
    <w:rsid w:val="11822F20"/>
    <w:rsid w:val="11951E4E"/>
    <w:rsid w:val="122431D2"/>
    <w:rsid w:val="124E2B61"/>
    <w:rsid w:val="131E7C21"/>
    <w:rsid w:val="13232AD6"/>
    <w:rsid w:val="13866D8E"/>
    <w:rsid w:val="140C2170"/>
    <w:rsid w:val="141B624E"/>
    <w:rsid w:val="143A1241"/>
    <w:rsid w:val="148443FC"/>
    <w:rsid w:val="14CF21C1"/>
    <w:rsid w:val="14E76E65"/>
    <w:rsid w:val="14EB1C26"/>
    <w:rsid w:val="15192D96"/>
    <w:rsid w:val="15BE4B4E"/>
    <w:rsid w:val="15DE0F03"/>
    <w:rsid w:val="15F82AD1"/>
    <w:rsid w:val="168E3310"/>
    <w:rsid w:val="169D3553"/>
    <w:rsid w:val="17607360"/>
    <w:rsid w:val="17B3175A"/>
    <w:rsid w:val="17BF22AB"/>
    <w:rsid w:val="18235DB5"/>
    <w:rsid w:val="183F7B27"/>
    <w:rsid w:val="1901601B"/>
    <w:rsid w:val="19B968F6"/>
    <w:rsid w:val="1A02029D"/>
    <w:rsid w:val="1A81091F"/>
    <w:rsid w:val="1AA07877"/>
    <w:rsid w:val="1BB05AD7"/>
    <w:rsid w:val="1BB32A31"/>
    <w:rsid w:val="1C111F47"/>
    <w:rsid w:val="1C8159D3"/>
    <w:rsid w:val="1C827161"/>
    <w:rsid w:val="1CE46119"/>
    <w:rsid w:val="1D33665E"/>
    <w:rsid w:val="1D6112F9"/>
    <w:rsid w:val="1E1265D5"/>
    <w:rsid w:val="1E37603B"/>
    <w:rsid w:val="1E4F196A"/>
    <w:rsid w:val="1E857223"/>
    <w:rsid w:val="1F01176E"/>
    <w:rsid w:val="1F413615"/>
    <w:rsid w:val="1FC14756"/>
    <w:rsid w:val="204B46CB"/>
    <w:rsid w:val="21110DC5"/>
    <w:rsid w:val="21222FD3"/>
    <w:rsid w:val="216E7FC6"/>
    <w:rsid w:val="21771570"/>
    <w:rsid w:val="22117164"/>
    <w:rsid w:val="22DF66CA"/>
    <w:rsid w:val="22E33C14"/>
    <w:rsid w:val="2358717F"/>
    <w:rsid w:val="23BF2D5B"/>
    <w:rsid w:val="253A3747"/>
    <w:rsid w:val="268E32F3"/>
    <w:rsid w:val="26BF423B"/>
    <w:rsid w:val="26C80178"/>
    <w:rsid w:val="273D46C2"/>
    <w:rsid w:val="27734588"/>
    <w:rsid w:val="277D4447"/>
    <w:rsid w:val="29C94933"/>
    <w:rsid w:val="2A255D75"/>
    <w:rsid w:val="2A460026"/>
    <w:rsid w:val="2A9F62C6"/>
    <w:rsid w:val="2AB7061B"/>
    <w:rsid w:val="2B4D6E9E"/>
    <w:rsid w:val="2B632B65"/>
    <w:rsid w:val="2BB201DD"/>
    <w:rsid w:val="2BE414A3"/>
    <w:rsid w:val="2C4B162F"/>
    <w:rsid w:val="2CB0164D"/>
    <w:rsid w:val="2CCE400E"/>
    <w:rsid w:val="2CF72DFA"/>
    <w:rsid w:val="2D210348"/>
    <w:rsid w:val="2DD82D61"/>
    <w:rsid w:val="2EE144CD"/>
    <w:rsid w:val="2F8C1E45"/>
    <w:rsid w:val="30705B08"/>
    <w:rsid w:val="30B4490F"/>
    <w:rsid w:val="326A12D5"/>
    <w:rsid w:val="340E22ED"/>
    <w:rsid w:val="34982040"/>
    <w:rsid w:val="34E268A9"/>
    <w:rsid w:val="34EE16F2"/>
    <w:rsid w:val="34F6551E"/>
    <w:rsid w:val="35876F78"/>
    <w:rsid w:val="36162CAE"/>
    <w:rsid w:val="367231C0"/>
    <w:rsid w:val="36E92171"/>
    <w:rsid w:val="371A01B6"/>
    <w:rsid w:val="37A75E0A"/>
    <w:rsid w:val="37E8067A"/>
    <w:rsid w:val="38496C45"/>
    <w:rsid w:val="39007C46"/>
    <w:rsid w:val="393A7796"/>
    <w:rsid w:val="39BD42AF"/>
    <w:rsid w:val="3A661D2A"/>
    <w:rsid w:val="3C8C50C3"/>
    <w:rsid w:val="3CF77157"/>
    <w:rsid w:val="3D4917D4"/>
    <w:rsid w:val="3E1536AB"/>
    <w:rsid w:val="3E156B09"/>
    <w:rsid w:val="3E824BC6"/>
    <w:rsid w:val="3EB23790"/>
    <w:rsid w:val="3F436657"/>
    <w:rsid w:val="3F5D31A2"/>
    <w:rsid w:val="3F9707F3"/>
    <w:rsid w:val="4096048E"/>
    <w:rsid w:val="41B17D2F"/>
    <w:rsid w:val="422E262F"/>
    <w:rsid w:val="4240393B"/>
    <w:rsid w:val="430514C1"/>
    <w:rsid w:val="436F1C50"/>
    <w:rsid w:val="43D321DE"/>
    <w:rsid w:val="44867251"/>
    <w:rsid w:val="44B30ABF"/>
    <w:rsid w:val="44BA028C"/>
    <w:rsid w:val="4504286C"/>
    <w:rsid w:val="452D1DC2"/>
    <w:rsid w:val="45C97AC0"/>
    <w:rsid w:val="460C7C2A"/>
    <w:rsid w:val="46216702"/>
    <w:rsid w:val="47295F87"/>
    <w:rsid w:val="472E597E"/>
    <w:rsid w:val="474227A4"/>
    <w:rsid w:val="476D64A6"/>
    <w:rsid w:val="47BE6D02"/>
    <w:rsid w:val="47ED75E7"/>
    <w:rsid w:val="48684BAB"/>
    <w:rsid w:val="48C540C0"/>
    <w:rsid w:val="49D942C7"/>
    <w:rsid w:val="49DD73A3"/>
    <w:rsid w:val="4A0A5381"/>
    <w:rsid w:val="4A1277D9"/>
    <w:rsid w:val="4A580BC1"/>
    <w:rsid w:val="4B056A70"/>
    <w:rsid w:val="4B1C417D"/>
    <w:rsid w:val="4B5A31E5"/>
    <w:rsid w:val="4BBF74EC"/>
    <w:rsid w:val="4BDD5354"/>
    <w:rsid w:val="4C0925F5"/>
    <w:rsid w:val="4D245859"/>
    <w:rsid w:val="4D7E259D"/>
    <w:rsid w:val="4D865BE6"/>
    <w:rsid w:val="4D955383"/>
    <w:rsid w:val="4E557C94"/>
    <w:rsid w:val="4ECD0E46"/>
    <w:rsid w:val="50CA7694"/>
    <w:rsid w:val="50D74F3B"/>
    <w:rsid w:val="51C00B21"/>
    <w:rsid w:val="524E1BEF"/>
    <w:rsid w:val="52824226"/>
    <w:rsid w:val="53933731"/>
    <w:rsid w:val="53A56CE4"/>
    <w:rsid w:val="542A514C"/>
    <w:rsid w:val="549F7EBB"/>
    <w:rsid w:val="55C17EBC"/>
    <w:rsid w:val="575C79B8"/>
    <w:rsid w:val="58803DED"/>
    <w:rsid w:val="58DC5FFE"/>
    <w:rsid w:val="58F158EA"/>
    <w:rsid w:val="59196718"/>
    <w:rsid w:val="593413AC"/>
    <w:rsid w:val="593C3F2A"/>
    <w:rsid w:val="59682F71"/>
    <w:rsid w:val="5AB67D0C"/>
    <w:rsid w:val="5B051B29"/>
    <w:rsid w:val="5B29128E"/>
    <w:rsid w:val="5B73335B"/>
    <w:rsid w:val="5BAF4251"/>
    <w:rsid w:val="5BEF34D6"/>
    <w:rsid w:val="5C392D64"/>
    <w:rsid w:val="5DD74D7E"/>
    <w:rsid w:val="5E124975"/>
    <w:rsid w:val="5E287173"/>
    <w:rsid w:val="5E344F3D"/>
    <w:rsid w:val="5EA26F25"/>
    <w:rsid w:val="5EAF4C0E"/>
    <w:rsid w:val="5F16521D"/>
    <w:rsid w:val="5FD52693"/>
    <w:rsid w:val="6028345A"/>
    <w:rsid w:val="6051650D"/>
    <w:rsid w:val="61F941CE"/>
    <w:rsid w:val="62602703"/>
    <w:rsid w:val="626F5370"/>
    <w:rsid w:val="62B2522E"/>
    <w:rsid w:val="63601286"/>
    <w:rsid w:val="64485E79"/>
    <w:rsid w:val="64562691"/>
    <w:rsid w:val="64760C38"/>
    <w:rsid w:val="647A7D63"/>
    <w:rsid w:val="64CB09DA"/>
    <w:rsid w:val="64DE7B26"/>
    <w:rsid w:val="64F13811"/>
    <w:rsid w:val="65051FBC"/>
    <w:rsid w:val="65E9368C"/>
    <w:rsid w:val="66501015"/>
    <w:rsid w:val="6700666F"/>
    <w:rsid w:val="6727446C"/>
    <w:rsid w:val="67454E94"/>
    <w:rsid w:val="67791F59"/>
    <w:rsid w:val="67832860"/>
    <w:rsid w:val="6802178B"/>
    <w:rsid w:val="6B733394"/>
    <w:rsid w:val="6CF87617"/>
    <w:rsid w:val="6D6A4C53"/>
    <w:rsid w:val="6F8A4EC4"/>
    <w:rsid w:val="704E4817"/>
    <w:rsid w:val="704F058F"/>
    <w:rsid w:val="70793B25"/>
    <w:rsid w:val="707F70C6"/>
    <w:rsid w:val="709B5583"/>
    <w:rsid w:val="710B2708"/>
    <w:rsid w:val="724D0E2A"/>
    <w:rsid w:val="725B146D"/>
    <w:rsid w:val="7263181E"/>
    <w:rsid w:val="72A252EE"/>
    <w:rsid w:val="73577E87"/>
    <w:rsid w:val="73C3551C"/>
    <w:rsid w:val="75AA6A0D"/>
    <w:rsid w:val="76A23BEB"/>
    <w:rsid w:val="777C0EBE"/>
    <w:rsid w:val="77DA1086"/>
    <w:rsid w:val="78322C70"/>
    <w:rsid w:val="78A73B40"/>
    <w:rsid w:val="78C87131"/>
    <w:rsid w:val="794032E2"/>
    <w:rsid w:val="79D82A5F"/>
    <w:rsid w:val="7A401675"/>
    <w:rsid w:val="7B0176AB"/>
    <w:rsid w:val="7B6B00A4"/>
    <w:rsid w:val="7B7C0AFD"/>
    <w:rsid w:val="7BFC15CB"/>
    <w:rsid w:val="7C240321"/>
    <w:rsid w:val="7C3C5E6C"/>
    <w:rsid w:val="7C5F1B5A"/>
    <w:rsid w:val="7C6B779A"/>
    <w:rsid w:val="7C971060"/>
    <w:rsid w:val="7DF74740"/>
    <w:rsid w:val="7E8B4E88"/>
    <w:rsid w:val="7EBF4B32"/>
    <w:rsid w:val="7EE659DE"/>
    <w:rsid w:val="7F14200C"/>
    <w:rsid w:val="7F211349"/>
    <w:rsid w:val="7FF058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5">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eastAsia="宋体" w:cs="Times New Roman"/>
      <w:szCs w:val="24"/>
    </w:rPr>
  </w:style>
  <w:style w:type="paragraph" w:styleId="6">
    <w:name w:val="annotation text"/>
    <w:basedOn w:val="1"/>
    <w:link w:val="22"/>
    <w:semiHidden/>
    <w:unhideWhenUsed/>
    <w:qFormat/>
    <w:uiPriority w:val="99"/>
    <w:pPr>
      <w:jc w:val="left"/>
    </w:pPr>
  </w:style>
  <w:style w:type="paragraph" w:styleId="7">
    <w:name w:val="Body Text"/>
    <w:basedOn w:val="1"/>
    <w:next w:val="1"/>
    <w:qFormat/>
    <w:uiPriority w:val="0"/>
    <w:rPr>
      <w:b/>
      <w:bCs/>
      <w:sz w:val="24"/>
    </w:rPr>
  </w:style>
  <w:style w:type="paragraph" w:styleId="8">
    <w:name w:val="Plain Text"/>
    <w:basedOn w:val="1"/>
    <w:qFormat/>
    <w:uiPriority w:val="0"/>
    <w:rPr>
      <w:rFonts w:ascii="宋体" w:hAnsi="Courier New" w:eastAsia="宋体" w:cs="Times New Roman"/>
      <w:kern w:val="0"/>
      <w:sz w:val="20"/>
      <w:szCs w:val="21"/>
    </w:rPr>
  </w:style>
  <w:style w:type="paragraph" w:styleId="9">
    <w:name w:val="Date"/>
    <w:basedOn w:val="1"/>
    <w:next w:val="1"/>
    <w:link w:val="25"/>
    <w:semiHidden/>
    <w:unhideWhenUsed/>
    <w:qFormat/>
    <w:uiPriority w:val="99"/>
    <w:pPr>
      <w:ind w:left="100" w:leftChars="2500"/>
    </w:pPr>
  </w:style>
  <w:style w:type="paragraph" w:styleId="10">
    <w:name w:val="Balloon Text"/>
    <w:basedOn w:val="1"/>
    <w:link w:val="24"/>
    <w:semiHidden/>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6"/>
    <w:next w:val="6"/>
    <w:link w:val="23"/>
    <w:semiHidden/>
    <w:unhideWhenUsed/>
    <w:qFormat/>
    <w:uiPriority w:val="99"/>
    <w:rPr>
      <w:b/>
      <w:bCs/>
    </w:r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paragraph" w:styleId="19">
    <w:name w:val="List Paragraph"/>
    <w:basedOn w:val="1"/>
    <w:qFormat/>
    <w:uiPriority w:val="34"/>
    <w:pPr>
      <w:ind w:firstLine="420" w:firstLineChars="200"/>
    </w:pPr>
  </w:style>
  <w:style w:type="character" w:customStyle="1" w:styleId="20">
    <w:name w:val="页眉 字符"/>
    <w:basedOn w:val="16"/>
    <w:link w:val="12"/>
    <w:qFormat/>
    <w:uiPriority w:val="99"/>
    <w:rPr>
      <w:sz w:val="18"/>
      <w:szCs w:val="18"/>
    </w:rPr>
  </w:style>
  <w:style w:type="character" w:customStyle="1" w:styleId="21">
    <w:name w:val="页脚 字符"/>
    <w:basedOn w:val="16"/>
    <w:link w:val="11"/>
    <w:qFormat/>
    <w:uiPriority w:val="99"/>
    <w:rPr>
      <w:sz w:val="18"/>
      <w:szCs w:val="18"/>
    </w:rPr>
  </w:style>
  <w:style w:type="character" w:customStyle="1" w:styleId="22">
    <w:name w:val="批注文字 字符"/>
    <w:basedOn w:val="16"/>
    <w:link w:val="6"/>
    <w:semiHidden/>
    <w:qFormat/>
    <w:uiPriority w:val="99"/>
  </w:style>
  <w:style w:type="character" w:customStyle="1" w:styleId="23">
    <w:name w:val="批注主题 字符"/>
    <w:basedOn w:val="22"/>
    <w:link w:val="14"/>
    <w:semiHidden/>
    <w:qFormat/>
    <w:uiPriority w:val="99"/>
    <w:rPr>
      <w:b/>
      <w:bCs/>
    </w:rPr>
  </w:style>
  <w:style w:type="character" w:customStyle="1" w:styleId="24">
    <w:name w:val="批注框文本 字符"/>
    <w:basedOn w:val="16"/>
    <w:link w:val="10"/>
    <w:semiHidden/>
    <w:qFormat/>
    <w:uiPriority w:val="99"/>
    <w:rPr>
      <w:sz w:val="18"/>
      <w:szCs w:val="18"/>
    </w:rPr>
  </w:style>
  <w:style w:type="character" w:customStyle="1" w:styleId="25">
    <w:name w:val="日期 字符"/>
    <w:basedOn w:val="16"/>
    <w:link w:val="9"/>
    <w:semiHidden/>
    <w:qFormat/>
    <w:uiPriority w:val="99"/>
  </w:style>
  <w:style w:type="paragraph" w:customStyle="1" w:styleId="26">
    <w:name w:val="USE 1"/>
    <w:basedOn w:val="1"/>
    <w:qFormat/>
    <w:uiPriority w:val="0"/>
    <w:pPr>
      <w:spacing w:line="200" w:lineRule="atLeast"/>
      <w:jc w:val="left"/>
    </w:pPr>
    <w:rPr>
      <w:rFonts w:ascii="宋体" w:hAnsi="宋体"/>
      <w:b/>
      <w:sz w:val="24"/>
      <w:szCs w:val="28"/>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2F2B-1C7E-47C6-A6FC-3D6FC0B78A08}">
  <ds:schemaRefs/>
</ds:datastoreItem>
</file>

<file path=docProps/app.xml><?xml version="1.0" encoding="utf-8"?>
<Properties xmlns="http://schemas.openxmlformats.org/officeDocument/2006/extended-properties" xmlns:vt="http://schemas.openxmlformats.org/officeDocument/2006/docPropsVTypes">
  <Template>Normal</Template>
  <Pages>15</Pages>
  <Words>5819</Words>
  <Characters>6039</Characters>
  <Lines>52</Lines>
  <Paragraphs>14</Paragraphs>
  <TotalTime>16</TotalTime>
  <ScaleCrop>false</ScaleCrop>
  <LinksUpToDate>false</LinksUpToDate>
  <CharactersWithSpaces>6285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2023-05-18T08:29:00Z</dcterms:created>
  <dc:creator>rtytu</dc:creator>
  <cp:lastModifiedBy>肖鹏飞</cp:lastModifiedBy>
  <cp:lastPrinted>2023-05-22T05:12:00Z</cp:lastPrinted>
  <dcterms:modified xsi:type="dcterms:W3CDTF">2023-06-01T05:23:42Z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A9C366F00FA446AD9E9129AE31E1500E_13</vt:lpwstr>
  </property>
</Properties>
</file>