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rPr>
          <w:rFonts w:hint="eastAsia"/>
          <w:b/>
          <w:bCs/>
          <w:lang w:val="en-US" w:eastAsia="zh-CN"/>
        </w:rPr>
      </w:pPr>
      <w:r>
        <w:rPr>
          <w:rFonts w:hint="eastAsia"/>
          <w:b/>
          <w:bCs/>
          <w:lang w:val="en-US" w:eastAsia="zh-CN"/>
        </w:rPr>
        <w:t>附件二:</w:t>
      </w:r>
    </w:p>
    <w:p>
      <w:pPr>
        <w:rPr>
          <w:rFonts w:hint="eastAsia"/>
          <w:lang w:val="en-US" w:eastAsia="zh-CN"/>
        </w:rPr>
      </w:pPr>
    </w:p>
    <w:p>
      <w:pPr>
        <w:jc w:val="center"/>
        <w:rPr>
          <w:rFonts w:hint="eastAsia"/>
          <w:b/>
          <w:bCs/>
          <w:sz w:val="32"/>
          <w:szCs w:val="40"/>
          <w:lang w:val="en-US" w:eastAsia="zh-CN"/>
        </w:rPr>
      </w:pPr>
      <w:r>
        <w:rPr>
          <w:rFonts w:hint="eastAsia"/>
          <w:b/>
          <w:bCs/>
          <w:sz w:val="32"/>
          <w:szCs w:val="40"/>
          <w:lang w:val="en-US" w:eastAsia="zh-CN"/>
        </w:rPr>
        <w:t>综合评分表（财税尽调）</w:t>
      </w:r>
    </w:p>
    <w:tbl>
      <w:tblPr>
        <w:tblStyle w:val="5"/>
        <w:tblW w:w="8797"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05"/>
        <w:gridCol w:w="1275"/>
        <w:gridCol w:w="4750"/>
        <w:gridCol w:w="1712"/>
        <w:gridCol w:w="55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32" w:hRule="atLeast"/>
        </w:trPr>
        <w:tc>
          <w:tcPr>
            <w:tcW w:w="505" w:type="dxa"/>
            <w:vAlign w:val="center"/>
          </w:tcPr>
          <w:p>
            <w:pPr>
              <w:widowControl/>
              <w:adjustRightInd w:val="0"/>
              <w:snapToGrid w:val="0"/>
              <w:spacing w:line="0" w:lineRule="atLeast"/>
              <w:jc w:val="center"/>
              <w:rPr>
                <w:rFonts w:hint="default"/>
                <w:b/>
                <w:bCs/>
                <w:sz w:val="32"/>
                <w:szCs w:val="40"/>
                <w:vertAlign w:val="baseline"/>
                <w:lang w:val="en-US" w:eastAsia="zh-CN"/>
              </w:rPr>
            </w:pPr>
            <w:r>
              <w:rPr>
                <w:rFonts w:hint="eastAsia" w:ascii="宋体" w:hAnsi="宋体" w:cs="宋体"/>
                <w:b/>
                <w:szCs w:val="21"/>
              </w:rPr>
              <w:t>序号</w:t>
            </w:r>
          </w:p>
        </w:tc>
        <w:tc>
          <w:tcPr>
            <w:tcW w:w="1275" w:type="dxa"/>
            <w:vAlign w:val="center"/>
          </w:tcPr>
          <w:p>
            <w:pPr>
              <w:widowControl/>
              <w:adjustRightInd w:val="0"/>
              <w:snapToGrid w:val="0"/>
              <w:spacing w:line="0" w:lineRule="atLeast"/>
              <w:jc w:val="center"/>
              <w:rPr>
                <w:rFonts w:ascii="宋体" w:hAnsi="宋体" w:cs="宋体"/>
                <w:b/>
                <w:szCs w:val="21"/>
              </w:rPr>
            </w:pPr>
            <w:r>
              <w:rPr>
                <w:rFonts w:hint="eastAsia" w:ascii="宋体" w:hAnsi="宋体" w:cs="宋体"/>
                <w:b/>
                <w:szCs w:val="21"/>
              </w:rPr>
              <w:t>评审</w:t>
            </w:r>
          </w:p>
          <w:p>
            <w:pPr>
              <w:widowControl/>
              <w:adjustRightInd w:val="0"/>
              <w:snapToGrid w:val="0"/>
              <w:spacing w:line="0" w:lineRule="atLeast"/>
              <w:jc w:val="center"/>
              <w:rPr>
                <w:rFonts w:hint="default"/>
                <w:b/>
                <w:bCs/>
                <w:sz w:val="32"/>
                <w:szCs w:val="40"/>
                <w:vertAlign w:val="baseline"/>
                <w:lang w:val="en-US" w:eastAsia="zh-CN"/>
              </w:rPr>
            </w:pPr>
            <w:r>
              <w:rPr>
                <w:rFonts w:hint="eastAsia" w:ascii="宋体" w:hAnsi="宋体" w:cs="宋体"/>
                <w:b/>
                <w:szCs w:val="21"/>
              </w:rPr>
              <w:t>项目</w:t>
            </w:r>
          </w:p>
        </w:tc>
        <w:tc>
          <w:tcPr>
            <w:tcW w:w="4750" w:type="dxa"/>
            <w:vAlign w:val="center"/>
          </w:tcPr>
          <w:p>
            <w:pPr>
              <w:widowControl/>
              <w:adjustRightInd w:val="0"/>
              <w:snapToGrid w:val="0"/>
              <w:spacing w:line="0" w:lineRule="atLeast"/>
              <w:jc w:val="center"/>
              <w:rPr>
                <w:rFonts w:hint="default" w:ascii="宋体" w:hAnsi="宋体" w:cs="宋体" w:eastAsiaTheme="minorEastAsia"/>
                <w:b/>
                <w:kern w:val="2"/>
                <w:sz w:val="21"/>
                <w:szCs w:val="21"/>
                <w:lang w:val="en-US" w:eastAsia="zh-CN" w:bidi="ar-SA"/>
              </w:rPr>
            </w:pPr>
            <w:r>
              <w:rPr>
                <w:rFonts w:hint="eastAsia" w:ascii="宋体" w:hAnsi="宋体" w:cs="宋体"/>
                <w:b/>
                <w:szCs w:val="21"/>
              </w:rPr>
              <w:t>评审标准</w:t>
            </w:r>
          </w:p>
        </w:tc>
        <w:tc>
          <w:tcPr>
            <w:tcW w:w="1712" w:type="dxa"/>
            <w:vAlign w:val="center"/>
          </w:tcPr>
          <w:p>
            <w:pPr>
              <w:widowControl/>
              <w:adjustRightInd w:val="0"/>
              <w:snapToGrid w:val="0"/>
              <w:spacing w:line="0" w:lineRule="atLeast"/>
              <w:jc w:val="center"/>
              <w:rPr>
                <w:rFonts w:hint="default" w:ascii="宋体" w:hAnsi="宋体" w:cs="宋体" w:eastAsiaTheme="minorEastAsia"/>
                <w:b/>
                <w:kern w:val="2"/>
                <w:sz w:val="21"/>
                <w:szCs w:val="21"/>
                <w:lang w:val="en-US" w:eastAsia="zh-CN" w:bidi="ar-SA"/>
              </w:rPr>
            </w:pPr>
            <w:r>
              <w:rPr>
                <w:rFonts w:hint="eastAsia" w:ascii="宋体" w:hAnsi="宋体" w:cs="宋体"/>
                <w:b/>
                <w:szCs w:val="21"/>
              </w:rPr>
              <w:t>证明材料</w:t>
            </w:r>
          </w:p>
        </w:tc>
        <w:tc>
          <w:tcPr>
            <w:tcW w:w="555" w:type="dxa"/>
            <w:vAlign w:val="center"/>
          </w:tcPr>
          <w:p>
            <w:pPr>
              <w:widowControl/>
              <w:adjustRightInd w:val="0"/>
              <w:snapToGrid w:val="0"/>
              <w:spacing w:line="0" w:lineRule="atLeast"/>
              <w:jc w:val="center"/>
              <w:rPr>
                <w:rFonts w:hint="default" w:ascii="宋体" w:hAnsi="宋体" w:cs="宋体" w:eastAsiaTheme="minorEastAsia"/>
                <w:b/>
                <w:kern w:val="2"/>
                <w:sz w:val="21"/>
                <w:szCs w:val="21"/>
                <w:lang w:val="en-US" w:eastAsia="zh-CN" w:bidi="ar-SA"/>
              </w:rPr>
            </w:pPr>
            <w:r>
              <w:rPr>
                <w:rFonts w:hint="eastAsia" w:ascii="宋体" w:hAnsi="宋体" w:cs="宋体"/>
                <w:b/>
                <w:szCs w:val="21"/>
              </w:rPr>
              <w:t>分值</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087" w:hRule="atLeast"/>
        </w:trPr>
        <w:tc>
          <w:tcPr>
            <w:tcW w:w="505" w:type="dxa"/>
            <w:vAlign w:val="center"/>
          </w:tcPr>
          <w:p>
            <w:pPr>
              <w:widowControl/>
              <w:adjustRightInd w:val="0"/>
              <w:snapToGrid w:val="0"/>
              <w:spacing w:line="0" w:lineRule="atLeast"/>
              <w:jc w:val="center"/>
              <w:rPr>
                <w:rFonts w:hint="default"/>
                <w:b/>
                <w:bCs/>
                <w:sz w:val="32"/>
                <w:szCs w:val="40"/>
                <w:vertAlign w:val="baseline"/>
                <w:lang w:val="en-US" w:eastAsia="zh-CN"/>
              </w:rPr>
            </w:pPr>
            <w:r>
              <w:rPr>
                <w:rFonts w:hint="eastAsia" w:ascii="宋体" w:hAnsi="宋体" w:cs="宋体"/>
                <w:szCs w:val="21"/>
              </w:rPr>
              <w:t>1</w:t>
            </w:r>
          </w:p>
        </w:tc>
        <w:tc>
          <w:tcPr>
            <w:tcW w:w="1275" w:type="dxa"/>
            <w:vAlign w:val="center"/>
          </w:tcPr>
          <w:p>
            <w:pPr>
              <w:spacing w:line="0" w:lineRule="atLeast"/>
              <w:jc w:val="center"/>
              <w:rPr>
                <w:rFonts w:hint="default"/>
                <w:b/>
                <w:bCs/>
                <w:sz w:val="32"/>
                <w:szCs w:val="40"/>
                <w:vertAlign w:val="baseline"/>
                <w:lang w:val="en-US" w:eastAsia="zh-CN"/>
              </w:rPr>
            </w:pPr>
            <w:r>
              <w:rPr>
                <w:rFonts w:hint="eastAsia" w:ascii="宋体" w:hAnsi="宋体" w:cs="宋体"/>
                <w:szCs w:val="21"/>
              </w:rPr>
              <w:t>同类业绩情况</w:t>
            </w:r>
          </w:p>
        </w:tc>
        <w:tc>
          <w:tcPr>
            <w:tcW w:w="4750" w:type="dxa"/>
            <w:vAlign w:val="center"/>
          </w:tcPr>
          <w:p>
            <w:pPr>
              <w:spacing w:line="0" w:lineRule="atLeast"/>
              <w:rPr>
                <w:rFonts w:hint="default"/>
                <w:b/>
                <w:bCs/>
                <w:sz w:val="32"/>
                <w:szCs w:val="40"/>
                <w:vertAlign w:val="baseline"/>
                <w:lang w:val="en-US" w:eastAsia="zh-CN"/>
              </w:rPr>
            </w:pPr>
            <w:r>
              <w:rPr>
                <w:rFonts w:hint="eastAsia" w:ascii="宋体" w:hAnsi="宋体" w:cs="宋体"/>
                <w:szCs w:val="21"/>
                <w:highlight w:val="none"/>
              </w:rPr>
              <w:t>近</w:t>
            </w:r>
            <w:r>
              <w:rPr>
                <w:rFonts w:hint="eastAsia" w:ascii="宋体" w:hAnsi="宋体" w:cs="宋体"/>
                <w:szCs w:val="21"/>
                <w:highlight w:val="none"/>
                <w:lang w:val="en-US" w:eastAsia="zh-CN"/>
              </w:rPr>
              <w:t>一</w:t>
            </w:r>
            <w:r>
              <w:rPr>
                <w:rFonts w:hint="eastAsia" w:ascii="宋体" w:hAnsi="宋体" w:cs="宋体"/>
                <w:szCs w:val="21"/>
                <w:highlight w:val="none"/>
              </w:rPr>
              <w:t>年内，</w:t>
            </w:r>
            <w:r>
              <w:rPr>
                <w:rFonts w:hint="eastAsia" w:ascii="宋体" w:hAnsi="宋体" w:cs="宋体"/>
                <w:szCs w:val="21"/>
                <w:highlight w:val="none"/>
                <w:lang w:val="en-US" w:eastAsia="zh-CN"/>
              </w:rPr>
              <w:t>至少</w:t>
            </w:r>
            <w:r>
              <w:rPr>
                <w:rFonts w:hint="eastAsia" w:ascii="宋体" w:hAnsi="宋体" w:cs="宋体"/>
                <w:szCs w:val="21"/>
                <w:highlight w:val="none"/>
              </w:rPr>
              <w:t>具有</w:t>
            </w:r>
            <w:r>
              <w:rPr>
                <w:rFonts w:hint="eastAsia" w:ascii="宋体" w:hAnsi="宋体" w:cs="宋体"/>
                <w:szCs w:val="21"/>
                <w:highlight w:val="none"/>
                <w:lang w:val="en-US" w:eastAsia="zh-CN"/>
              </w:rPr>
              <w:t>1项</w:t>
            </w:r>
            <w:r>
              <w:rPr>
                <w:rFonts w:hint="eastAsia" w:ascii="宋体" w:hAnsi="宋体" w:cs="宋体"/>
                <w:szCs w:val="21"/>
                <w:highlight w:val="none"/>
              </w:rPr>
              <w:t>深圳本地</w:t>
            </w:r>
            <w:r>
              <w:rPr>
                <w:rFonts w:hint="eastAsia" w:ascii="宋体" w:hAnsi="宋体" w:cs="宋体"/>
                <w:szCs w:val="21"/>
                <w:highlight w:val="none"/>
                <w:lang w:val="en-US" w:eastAsia="zh-CN"/>
              </w:rPr>
              <w:t xml:space="preserve">政府部门或国企委托的对纾困房地产项目或旧改（包括城市更新、棚户区改造、土地整备和利益统筹）项目开展的尽调工作经验得3分，每增加1个加3分，最多得15分； </w:t>
            </w:r>
          </w:p>
        </w:tc>
        <w:tc>
          <w:tcPr>
            <w:tcW w:w="1712" w:type="dxa"/>
            <w:vAlign w:val="center"/>
          </w:tcPr>
          <w:p>
            <w:pPr>
              <w:adjustRightInd w:val="0"/>
              <w:snapToGrid w:val="0"/>
              <w:spacing w:line="0" w:lineRule="atLeast"/>
              <w:rPr>
                <w:rFonts w:hint="default"/>
                <w:b/>
                <w:bCs/>
                <w:sz w:val="32"/>
                <w:szCs w:val="40"/>
                <w:vertAlign w:val="baseline"/>
                <w:lang w:val="en-US" w:eastAsia="zh-CN"/>
              </w:rPr>
            </w:pPr>
            <w:r>
              <w:rPr>
                <w:rFonts w:hint="eastAsia"/>
              </w:rPr>
              <w:t>提供相应合同文件、成果文件，并加盖公章</w:t>
            </w:r>
          </w:p>
        </w:tc>
        <w:tc>
          <w:tcPr>
            <w:tcW w:w="555" w:type="dxa"/>
            <w:vAlign w:val="center"/>
          </w:tcPr>
          <w:p>
            <w:pPr>
              <w:widowControl/>
              <w:adjustRightInd w:val="0"/>
              <w:snapToGrid w:val="0"/>
              <w:spacing w:line="0" w:lineRule="atLeast"/>
              <w:jc w:val="center"/>
              <w:rPr>
                <w:rFonts w:hint="default"/>
                <w:b/>
                <w:bCs/>
                <w:sz w:val="32"/>
                <w:szCs w:val="40"/>
                <w:vertAlign w:val="baseline"/>
                <w:lang w:val="en-US" w:eastAsia="zh-CN"/>
              </w:rPr>
            </w:pPr>
            <w:r>
              <w:rPr>
                <w:rFonts w:hint="eastAsia" w:ascii="宋体" w:hAnsi="宋体" w:cs="宋体"/>
                <w:szCs w:val="21"/>
                <w:lang w:val="en-US" w:eastAsia="zh-CN"/>
              </w:rPr>
              <w:t>15</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353" w:hRule="atLeast"/>
        </w:trPr>
        <w:tc>
          <w:tcPr>
            <w:tcW w:w="505" w:type="dxa"/>
            <w:vAlign w:val="center"/>
          </w:tcPr>
          <w:p>
            <w:pPr>
              <w:widowControl/>
              <w:adjustRightInd w:val="0"/>
              <w:snapToGrid w:val="0"/>
              <w:spacing w:line="0" w:lineRule="atLeast"/>
              <w:jc w:val="center"/>
              <w:rPr>
                <w:rFonts w:hint="default"/>
                <w:b/>
                <w:bCs/>
                <w:sz w:val="32"/>
                <w:szCs w:val="40"/>
                <w:vertAlign w:val="baseline"/>
                <w:lang w:val="en-US" w:eastAsia="zh-CN"/>
              </w:rPr>
            </w:pPr>
            <w:r>
              <w:rPr>
                <w:rFonts w:hint="eastAsia" w:ascii="宋体" w:hAnsi="宋体" w:cs="宋体"/>
                <w:szCs w:val="21"/>
                <w:lang w:val="en-US" w:eastAsia="zh-CN"/>
              </w:rPr>
              <w:t>3</w:t>
            </w:r>
          </w:p>
        </w:tc>
        <w:tc>
          <w:tcPr>
            <w:tcW w:w="1275" w:type="dxa"/>
            <w:vAlign w:val="center"/>
          </w:tcPr>
          <w:p>
            <w:pPr>
              <w:spacing w:line="0" w:lineRule="atLeast"/>
              <w:jc w:val="center"/>
              <w:rPr>
                <w:rFonts w:hint="default"/>
                <w:b/>
                <w:bCs/>
                <w:sz w:val="32"/>
                <w:szCs w:val="40"/>
                <w:vertAlign w:val="baseline"/>
                <w:lang w:val="en-US" w:eastAsia="zh-CN"/>
              </w:rPr>
            </w:pPr>
            <w:r>
              <w:rPr>
                <w:rFonts w:hint="eastAsia" w:ascii="宋体" w:hAnsi="宋体" w:cs="宋体"/>
                <w:szCs w:val="21"/>
                <w:lang w:val="en-US" w:eastAsia="zh-CN"/>
              </w:rPr>
              <w:t>业界声誉</w:t>
            </w:r>
          </w:p>
        </w:tc>
        <w:tc>
          <w:tcPr>
            <w:tcW w:w="4750" w:type="dxa"/>
            <w:vAlign w:val="center"/>
          </w:tcPr>
          <w:p>
            <w:pPr>
              <w:spacing w:line="0" w:lineRule="atLeast"/>
              <w:rPr>
                <w:rFonts w:hint="default"/>
                <w:b/>
                <w:bCs/>
                <w:sz w:val="32"/>
                <w:szCs w:val="40"/>
                <w:vertAlign w:val="baseline"/>
                <w:lang w:val="en-US" w:eastAsia="zh-CN"/>
              </w:rPr>
            </w:pPr>
            <w:r>
              <w:rPr>
                <w:rFonts w:hint="eastAsia" w:ascii="宋体" w:hAnsi="宋体" w:cs="宋体"/>
                <w:szCs w:val="21"/>
                <w:highlight w:val="none"/>
                <w:lang w:val="en-US" w:eastAsia="zh-CN"/>
              </w:rPr>
              <w:t>2019-2021连续3年中国注册会计师协会排名前1-10名得25分；10-15名的20分；15-20名得5分，其余0分。投标人属于同一品牌的参照同一品牌系统其他机构得分。</w:t>
            </w:r>
          </w:p>
        </w:tc>
        <w:tc>
          <w:tcPr>
            <w:tcW w:w="1712" w:type="dxa"/>
            <w:vAlign w:val="center"/>
          </w:tcPr>
          <w:p>
            <w:pPr>
              <w:adjustRightInd w:val="0"/>
              <w:snapToGrid w:val="0"/>
              <w:spacing w:line="0" w:lineRule="atLeast"/>
              <w:rPr>
                <w:rFonts w:hint="default"/>
                <w:b/>
                <w:bCs/>
                <w:sz w:val="32"/>
                <w:szCs w:val="40"/>
                <w:vertAlign w:val="baseline"/>
                <w:lang w:val="en-US" w:eastAsia="zh-CN"/>
              </w:rPr>
            </w:pPr>
            <w:r>
              <w:rPr>
                <w:rFonts w:hint="eastAsia"/>
                <w:lang w:val="en-US" w:eastAsia="zh-CN"/>
              </w:rPr>
              <w:t>提供相应文件并加盖公章</w:t>
            </w:r>
          </w:p>
        </w:tc>
        <w:tc>
          <w:tcPr>
            <w:tcW w:w="555" w:type="dxa"/>
            <w:vAlign w:val="center"/>
          </w:tcPr>
          <w:p>
            <w:pPr>
              <w:widowControl/>
              <w:adjustRightInd w:val="0"/>
              <w:snapToGrid w:val="0"/>
              <w:spacing w:line="0" w:lineRule="atLeast"/>
              <w:jc w:val="center"/>
              <w:rPr>
                <w:rFonts w:hint="default"/>
                <w:b/>
                <w:bCs/>
                <w:sz w:val="32"/>
                <w:szCs w:val="40"/>
                <w:vertAlign w:val="baseline"/>
                <w:lang w:val="en-US" w:eastAsia="zh-CN"/>
              </w:rPr>
            </w:pPr>
            <w:r>
              <w:rPr>
                <w:rFonts w:hint="eastAsia" w:ascii="宋体" w:hAnsi="宋体" w:cs="宋体"/>
                <w:szCs w:val="21"/>
                <w:lang w:val="en-US" w:eastAsia="zh-CN"/>
              </w:rPr>
              <w:t>25</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65" w:hRule="atLeast"/>
        </w:trPr>
        <w:tc>
          <w:tcPr>
            <w:tcW w:w="505" w:type="dxa"/>
            <w:vAlign w:val="center"/>
          </w:tcPr>
          <w:p>
            <w:pPr>
              <w:widowControl/>
              <w:adjustRightInd w:val="0"/>
              <w:snapToGrid w:val="0"/>
              <w:spacing w:line="0" w:lineRule="atLeast"/>
              <w:jc w:val="center"/>
              <w:rPr>
                <w:rFonts w:hint="default"/>
                <w:b/>
                <w:bCs/>
                <w:sz w:val="32"/>
                <w:szCs w:val="40"/>
                <w:vertAlign w:val="baseline"/>
                <w:lang w:val="en-US" w:eastAsia="zh-CN"/>
              </w:rPr>
            </w:pPr>
            <w:r>
              <w:rPr>
                <w:rFonts w:hint="eastAsia" w:ascii="宋体" w:hAnsi="宋体" w:cs="宋体"/>
                <w:szCs w:val="21"/>
                <w:lang w:val="en-US" w:eastAsia="zh-CN"/>
              </w:rPr>
              <w:t>4</w:t>
            </w:r>
          </w:p>
        </w:tc>
        <w:tc>
          <w:tcPr>
            <w:tcW w:w="1275" w:type="dxa"/>
            <w:vAlign w:val="center"/>
          </w:tcPr>
          <w:p>
            <w:pPr>
              <w:spacing w:line="0" w:lineRule="atLeast"/>
              <w:jc w:val="center"/>
              <w:rPr>
                <w:rFonts w:hint="default"/>
                <w:b/>
                <w:bCs/>
                <w:sz w:val="32"/>
                <w:szCs w:val="40"/>
                <w:vertAlign w:val="baseline"/>
                <w:lang w:val="en-US" w:eastAsia="zh-CN"/>
              </w:rPr>
            </w:pPr>
            <w:r>
              <w:rPr>
                <w:rFonts w:hint="eastAsia" w:ascii="宋体" w:hAnsi="宋体" w:cs="宋体"/>
                <w:szCs w:val="21"/>
              </w:rPr>
              <w:t>团队成员配置评分</w:t>
            </w:r>
          </w:p>
        </w:tc>
        <w:tc>
          <w:tcPr>
            <w:tcW w:w="4750" w:type="dxa"/>
            <w:vAlign w:val="center"/>
          </w:tcPr>
          <w:p>
            <w:pPr>
              <w:spacing w:line="0" w:lineRule="atLeast"/>
              <w:rPr>
                <w:rFonts w:hint="default"/>
                <w:b/>
                <w:bCs/>
                <w:sz w:val="32"/>
                <w:szCs w:val="40"/>
                <w:vertAlign w:val="baseline"/>
                <w:lang w:val="en-US" w:eastAsia="zh-CN"/>
              </w:rPr>
            </w:pPr>
            <w:r>
              <w:rPr>
                <w:rFonts w:hint="eastAsia" w:ascii="宋体" w:hAnsi="宋体" w:cs="宋体"/>
                <w:szCs w:val="21"/>
              </w:rPr>
              <w:t>除项目负责人以外，项目团队成员需高标准、多专业配置，以保障研究质量。</w:t>
            </w:r>
            <w:r>
              <w:rPr>
                <w:rFonts w:hint="eastAsia" w:ascii="宋体" w:hAnsi="宋体" w:cs="宋体"/>
                <w:szCs w:val="21"/>
                <w:lang w:val="en-US" w:eastAsia="zh-CN"/>
              </w:rPr>
              <w:t>相关专业负责人应分别具备注册会计师、注册税务师、注册估价师资格。</w:t>
            </w:r>
            <w:r>
              <w:rPr>
                <w:rFonts w:hint="eastAsia" w:ascii="宋体" w:hAnsi="宋体" w:cs="宋体"/>
                <w:szCs w:val="21"/>
              </w:rPr>
              <w:t>项目团队</w:t>
            </w:r>
            <w:r>
              <w:rPr>
                <w:rFonts w:hint="eastAsia" w:ascii="宋体" w:hAnsi="宋体" w:cs="宋体"/>
                <w:szCs w:val="21"/>
                <w:lang w:val="en-US" w:eastAsia="zh-CN"/>
              </w:rPr>
              <w:t>各专业负责人近一</w:t>
            </w:r>
            <w:r>
              <w:rPr>
                <w:rFonts w:ascii="宋体" w:hAnsi="宋体" w:cs="宋体"/>
                <w:szCs w:val="21"/>
              </w:rPr>
              <w:t>年</w:t>
            </w:r>
            <w:r>
              <w:rPr>
                <w:rFonts w:hint="eastAsia" w:ascii="宋体" w:hAnsi="宋体" w:cs="宋体"/>
                <w:szCs w:val="21"/>
                <w:lang w:val="en-US" w:eastAsia="zh-CN"/>
              </w:rPr>
              <w:t>参与过1项深圳范围内房地产项目尽调</w:t>
            </w:r>
            <w:r>
              <w:rPr>
                <w:rFonts w:ascii="宋体" w:hAnsi="宋体" w:cs="宋体"/>
                <w:szCs w:val="21"/>
              </w:rPr>
              <w:t>工作经验</w:t>
            </w:r>
            <w:r>
              <w:rPr>
                <w:rFonts w:hint="eastAsia"/>
                <w:lang w:val="en-US" w:eastAsia="zh-CN"/>
              </w:rPr>
              <w:t>得5分</w:t>
            </w:r>
            <w:r>
              <w:rPr>
                <w:rFonts w:ascii="宋体" w:hAnsi="宋体" w:cs="宋体"/>
                <w:szCs w:val="21"/>
              </w:rPr>
              <w:t>，每增加1个</w:t>
            </w:r>
            <w:r>
              <w:rPr>
                <w:rFonts w:hint="eastAsia" w:ascii="宋体" w:hAnsi="宋体" w:cs="宋体"/>
                <w:szCs w:val="21"/>
                <w:lang w:val="en-US" w:eastAsia="zh-CN"/>
              </w:rPr>
              <w:t>项目</w:t>
            </w:r>
            <w:r>
              <w:rPr>
                <w:rFonts w:ascii="宋体" w:hAnsi="宋体" w:cs="宋体"/>
                <w:szCs w:val="21"/>
              </w:rPr>
              <w:t>加</w:t>
            </w:r>
            <w:r>
              <w:rPr>
                <w:rFonts w:hint="eastAsia" w:ascii="宋体" w:hAnsi="宋体" w:cs="宋体"/>
                <w:szCs w:val="21"/>
                <w:lang w:val="en-US" w:eastAsia="zh-CN"/>
              </w:rPr>
              <w:t>3</w:t>
            </w:r>
            <w:r>
              <w:rPr>
                <w:rFonts w:ascii="宋体" w:hAnsi="宋体" w:cs="宋体"/>
                <w:szCs w:val="21"/>
              </w:rPr>
              <w:t>分，最多</w:t>
            </w:r>
            <w:r>
              <w:rPr>
                <w:rFonts w:hint="eastAsia" w:ascii="宋体" w:hAnsi="宋体" w:cs="宋体"/>
                <w:szCs w:val="21"/>
                <w:lang w:val="en-US" w:eastAsia="zh-CN"/>
              </w:rPr>
              <w:t>得15</w:t>
            </w:r>
            <w:r>
              <w:rPr>
                <w:rFonts w:ascii="宋体" w:hAnsi="宋体" w:cs="宋体"/>
                <w:szCs w:val="21"/>
              </w:rPr>
              <w:t>分。</w:t>
            </w:r>
          </w:p>
        </w:tc>
        <w:tc>
          <w:tcPr>
            <w:tcW w:w="1712" w:type="dxa"/>
            <w:vAlign w:val="center"/>
          </w:tcPr>
          <w:p>
            <w:pPr>
              <w:adjustRightInd w:val="0"/>
              <w:snapToGrid w:val="0"/>
              <w:spacing w:line="0" w:lineRule="atLeast"/>
              <w:rPr>
                <w:rFonts w:hint="default"/>
                <w:b/>
                <w:bCs/>
                <w:sz w:val="32"/>
                <w:szCs w:val="40"/>
                <w:vertAlign w:val="baseline"/>
                <w:lang w:val="en-US" w:eastAsia="zh-CN"/>
              </w:rPr>
            </w:pPr>
            <w:r>
              <w:rPr>
                <w:rFonts w:hint="eastAsia"/>
              </w:rPr>
              <w:t>提供的相应工作经历及证书复印件加盖公章</w:t>
            </w:r>
          </w:p>
        </w:tc>
        <w:tc>
          <w:tcPr>
            <w:tcW w:w="555" w:type="dxa"/>
            <w:vAlign w:val="center"/>
          </w:tcPr>
          <w:p>
            <w:pPr>
              <w:widowControl/>
              <w:adjustRightInd w:val="0"/>
              <w:snapToGrid w:val="0"/>
              <w:spacing w:line="0" w:lineRule="atLeast"/>
              <w:jc w:val="center"/>
              <w:rPr>
                <w:rFonts w:hint="default"/>
                <w:b/>
                <w:bCs/>
                <w:sz w:val="32"/>
                <w:szCs w:val="40"/>
                <w:vertAlign w:val="baseline"/>
                <w:lang w:val="en-US" w:eastAsia="zh-CN"/>
              </w:rPr>
            </w:pPr>
            <w:r>
              <w:rPr>
                <w:rFonts w:hint="eastAsia" w:ascii="宋体" w:hAnsi="宋体" w:cs="宋体"/>
                <w:szCs w:val="21"/>
                <w:lang w:val="en-US" w:eastAsia="zh-CN"/>
              </w:rPr>
              <w:t>15</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887" w:hRule="atLeast"/>
        </w:trPr>
        <w:tc>
          <w:tcPr>
            <w:tcW w:w="505" w:type="dxa"/>
            <w:vAlign w:val="center"/>
          </w:tcPr>
          <w:p>
            <w:pPr>
              <w:widowControl/>
              <w:adjustRightInd w:val="0"/>
              <w:snapToGrid w:val="0"/>
              <w:spacing w:line="0" w:lineRule="atLeast"/>
              <w:jc w:val="center"/>
              <w:rPr>
                <w:rFonts w:hint="default"/>
                <w:b/>
                <w:bCs/>
                <w:sz w:val="32"/>
                <w:szCs w:val="40"/>
                <w:vertAlign w:val="baseline"/>
                <w:lang w:val="en-US" w:eastAsia="zh-CN"/>
              </w:rPr>
            </w:pPr>
            <w:r>
              <w:rPr>
                <w:rFonts w:hint="eastAsia" w:ascii="宋体" w:hAnsi="宋体" w:cs="宋体"/>
                <w:szCs w:val="21"/>
                <w:lang w:val="en-US" w:eastAsia="zh-CN"/>
              </w:rPr>
              <w:t>5</w:t>
            </w:r>
          </w:p>
        </w:tc>
        <w:tc>
          <w:tcPr>
            <w:tcW w:w="1275" w:type="dxa"/>
            <w:vAlign w:val="center"/>
          </w:tcPr>
          <w:p>
            <w:pPr>
              <w:jc w:val="center"/>
              <w:rPr>
                <w:rFonts w:hint="default"/>
                <w:b/>
                <w:bCs/>
                <w:sz w:val="32"/>
                <w:szCs w:val="40"/>
                <w:vertAlign w:val="baseline"/>
                <w:lang w:val="en-US" w:eastAsia="zh-CN"/>
              </w:rPr>
            </w:pPr>
            <w:r>
              <w:rPr>
                <w:rFonts w:hint="eastAsia"/>
              </w:rPr>
              <w:t>拟委任项目负责人资格和能力</w:t>
            </w:r>
          </w:p>
        </w:tc>
        <w:tc>
          <w:tcPr>
            <w:tcW w:w="4750" w:type="dxa"/>
            <w:vAlign w:val="center"/>
          </w:tcPr>
          <w:p>
            <w:pPr>
              <w:adjustRightInd w:val="0"/>
              <w:snapToGrid w:val="0"/>
              <w:spacing w:line="0" w:lineRule="atLeast"/>
              <w:jc w:val="left"/>
              <w:rPr>
                <w:rFonts w:hint="default"/>
                <w:b/>
                <w:bCs/>
                <w:sz w:val="32"/>
                <w:szCs w:val="40"/>
                <w:vertAlign w:val="baseline"/>
                <w:lang w:val="en-US" w:eastAsia="zh-CN"/>
              </w:rPr>
            </w:pPr>
            <w:r>
              <w:rPr>
                <w:rFonts w:hint="eastAsia" w:ascii="宋体" w:hAnsi="宋体" w:cs="宋体"/>
                <w:szCs w:val="21"/>
                <w:highlight w:val="none"/>
              </w:rPr>
              <w:t>除满足资格审查条件外，如项目负责人具有十年以上</w:t>
            </w:r>
            <w:r>
              <w:rPr>
                <w:rFonts w:hint="eastAsia" w:ascii="宋体" w:hAnsi="宋体" w:cs="宋体"/>
                <w:szCs w:val="21"/>
                <w:highlight w:val="none"/>
                <w:lang w:val="en-US" w:eastAsia="zh-CN"/>
              </w:rPr>
              <w:t>财税尽调</w:t>
            </w:r>
            <w:r>
              <w:rPr>
                <w:rFonts w:hint="eastAsia" w:ascii="宋体" w:hAnsi="宋体" w:cs="宋体"/>
                <w:szCs w:val="21"/>
                <w:highlight w:val="none"/>
              </w:rPr>
              <w:t>工作经历</w:t>
            </w:r>
            <w:r>
              <w:rPr>
                <w:rFonts w:hint="eastAsia" w:ascii="宋体" w:hAnsi="宋体" w:cs="宋体"/>
                <w:szCs w:val="21"/>
                <w:highlight w:val="none"/>
                <w:lang w:eastAsia="zh-CN"/>
              </w:rPr>
              <w:t>，</w:t>
            </w:r>
            <w:r>
              <w:rPr>
                <w:rFonts w:hint="eastAsia"/>
                <w:highlight w:val="none"/>
              </w:rPr>
              <w:t>项目负责人</w:t>
            </w:r>
            <w:r>
              <w:rPr>
                <w:rFonts w:hint="eastAsia"/>
                <w:highlight w:val="none"/>
                <w:lang w:val="en-US" w:eastAsia="zh-CN"/>
              </w:rPr>
              <w:t>1年内</w:t>
            </w:r>
            <w:r>
              <w:rPr>
                <w:rFonts w:hint="eastAsia"/>
                <w:highlight w:val="none"/>
              </w:rPr>
              <w:t>主持过深圳本地</w:t>
            </w:r>
            <w:r>
              <w:rPr>
                <w:rFonts w:hint="eastAsia"/>
                <w:highlight w:val="none"/>
                <w:lang w:val="en-US" w:eastAsia="zh-CN"/>
              </w:rPr>
              <w:t>政府或国企委托的对</w:t>
            </w:r>
            <w:r>
              <w:rPr>
                <w:rFonts w:hint="eastAsia" w:ascii="宋体" w:hAnsi="宋体" w:cs="宋体"/>
                <w:szCs w:val="21"/>
                <w:highlight w:val="none"/>
                <w:lang w:val="en-US" w:eastAsia="zh-CN"/>
              </w:rPr>
              <w:t>对纾困房地产项目或旧改（包括城市更新、棚户区改造、土地整备和利益统筹）项目</w:t>
            </w:r>
            <w:r>
              <w:rPr>
                <w:rFonts w:hint="eastAsia"/>
                <w:highlight w:val="none"/>
                <w:lang w:val="en-US" w:eastAsia="zh-CN"/>
              </w:rPr>
              <w:t>进行的财税尽调</w:t>
            </w:r>
            <w:r>
              <w:rPr>
                <w:rFonts w:hint="eastAsia"/>
                <w:highlight w:val="none"/>
                <w:lang w:eastAsia="zh-CN"/>
              </w:rPr>
              <w:t>工作（</w:t>
            </w:r>
            <w:r>
              <w:rPr>
                <w:rFonts w:hint="eastAsia" w:ascii="宋体" w:hAnsi="宋体" w:cs="宋体"/>
                <w:szCs w:val="21"/>
                <w:highlight w:val="none"/>
                <w:lang w:val="en-US" w:eastAsia="zh-CN"/>
              </w:rPr>
              <w:t>近一年内至少完成过1项深圳范围内房地产项目尽调工作</w:t>
            </w:r>
            <w:r>
              <w:rPr>
                <w:rFonts w:hint="eastAsia"/>
                <w:highlight w:val="none"/>
                <w:lang w:eastAsia="zh-CN"/>
              </w:rPr>
              <w:t>）</w:t>
            </w:r>
            <w:r>
              <w:rPr>
                <w:rFonts w:hint="eastAsia"/>
                <w:highlight w:val="none"/>
                <w:lang w:val="en-US" w:eastAsia="zh-CN"/>
              </w:rPr>
              <w:t>得3分</w:t>
            </w:r>
            <w:r>
              <w:rPr>
                <w:rFonts w:hint="eastAsia" w:ascii="宋体" w:hAnsi="宋体" w:cs="宋体"/>
                <w:szCs w:val="21"/>
                <w:highlight w:val="none"/>
                <w:lang w:val="en-US" w:eastAsia="zh-CN"/>
              </w:rPr>
              <w:t>，</w:t>
            </w:r>
            <w:r>
              <w:rPr>
                <w:rFonts w:hint="eastAsia"/>
                <w:highlight w:val="none"/>
              </w:rPr>
              <w:t>每增加</w:t>
            </w:r>
            <w:r>
              <w:rPr>
                <w:highlight w:val="none"/>
              </w:rPr>
              <w:t>1个加</w:t>
            </w:r>
            <w:r>
              <w:rPr>
                <w:rFonts w:hint="eastAsia"/>
                <w:highlight w:val="none"/>
                <w:lang w:val="en-US" w:eastAsia="zh-CN"/>
              </w:rPr>
              <w:t>3</w:t>
            </w:r>
            <w:r>
              <w:rPr>
                <w:highlight w:val="none"/>
              </w:rPr>
              <w:t>分，最多</w:t>
            </w:r>
            <w:r>
              <w:rPr>
                <w:rFonts w:hint="eastAsia"/>
                <w:highlight w:val="none"/>
                <w:lang w:val="en-US" w:eastAsia="zh-CN"/>
              </w:rPr>
              <w:t>得</w:t>
            </w:r>
            <w:r>
              <w:rPr>
                <w:rFonts w:hint="eastAsia"/>
                <w:highlight w:val="none"/>
              </w:rPr>
              <w:t>1</w:t>
            </w:r>
            <w:r>
              <w:rPr>
                <w:rFonts w:hint="eastAsia"/>
                <w:highlight w:val="none"/>
                <w:lang w:val="en-US" w:eastAsia="zh-CN"/>
              </w:rPr>
              <w:t>5</w:t>
            </w:r>
            <w:r>
              <w:rPr>
                <w:highlight w:val="none"/>
              </w:rPr>
              <w:t>分</w:t>
            </w:r>
            <w:r>
              <w:rPr>
                <w:rFonts w:hint="eastAsia"/>
                <w:highlight w:val="none"/>
              </w:rPr>
              <w:t>。</w:t>
            </w:r>
          </w:p>
        </w:tc>
        <w:tc>
          <w:tcPr>
            <w:tcW w:w="1712" w:type="dxa"/>
            <w:vAlign w:val="center"/>
          </w:tcPr>
          <w:p>
            <w:pPr>
              <w:adjustRightInd w:val="0"/>
              <w:snapToGrid w:val="0"/>
              <w:spacing w:line="0" w:lineRule="atLeast"/>
              <w:rPr>
                <w:rFonts w:hint="default"/>
                <w:b/>
                <w:bCs/>
                <w:sz w:val="32"/>
                <w:szCs w:val="40"/>
                <w:vertAlign w:val="baseline"/>
                <w:lang w:val="en-US" w:eastAsia="zh-CN"/>
              </w:rPr>
            </w:pPr>
            <w:r>
              <w:rPr>
                <w:rFonts w:hint="eastAsia" w:ascii="宋体" w:hAnsi="宋体" w:cs="宋体"/>
                <w:szCs w:val="21"/>
              </w:rPr>
              <w:t>提供项目负责人姓名、任职情况、工作经历，及相关项目经验、获奖证书或相关证明材料</w:t>
            </w:r>
          </w:p>
        </w:tc>
        <w:tc>
          <w:tcPr>
            <w:tcW w:w="555" w:type="dxa"/>
            <w:vAlign w:val="center"/>
          </w:tcPr>
          <w:p>
            <w:pPr>
              <w:widowControl/>
              <w:adjustRightInd w:val="0"/>
              <w:snapToGrid w:val="0"/>
              <w:spacing w:line="0" w:lineRule="atLeast"/>
              <w:jc w:val="center"/>
              <w:rPr>
                <w:rFonts w:hint="default"/>
                <w:b/>
                <w:bCs/>
                <w:sz w:val="32"/>
                <w:szCs w:val="40"/>
                <w:vertAlign w:val="baseline"/>
                <w:lang w:val="en-US" w:eastAsia="zh-CN"/>
              </w:rPr>
            </w:pPr>
            <w:r>
              <w:rPr>
                <w:rFonts w:hint="eastAsia" w:ascii="宋体" w:hAnsi="宋体" w:cs="宋体"/>
                <w:szCs w:val="21"/>
                <w:lang w:val="en-US" w:eastAsia="zh-CN"/>
              </w:rPr>
              <w:t>15</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621" w:hRule="atLeast"/>
        </w:trPr>
        <w:tc>
          <w:tcPr>
            <w:tcW w:w="505" w:type="dxa"/>
            <w:vAlign w:val="center"/>
          </w:tcPr>
          <w:p>
            <w:pPr>
              <w:widowControl/>
              <w:adjustRightInd w:val="0"/>
              <w:snapToGrid w:val="0"/>
              <w:spacing w:line="0" w:lineRule="atLeast"/>
              <w:jc w:val="center"/>
              <w:rPr>
                <w:rFonts w:hint="default"/>
                <w:b/>
                <w:bCs/>
                <w:sz w:val="32"/>
                <w:szCs w:val="40"/>
                <w:vertAlign w:val="baseline"/>
                <w:lang w:val="en-US" w:eastAsia="zh-CN"/>
              </w:rPr>
            </w:pPr>
            <w:r>
              <w:rPr>
                <w:rFonts w:hint="eastAsia" w:ascii="宋体" w:hAnsi="宋体" w:cs="宋体"/>
                <w:szCs w:val="21"/>
                <w:lang w:val="en-US" w:eastAsia="zh-CN"/>
              </w:rPr>
              <w:t>6</w:t>
            </w:r>
          </w:p>
        </w:tc>
        <w:tc>
          <w:tcPr>
            <w:tcW w:w="1275" w:type="dxa"/>
            <w:vAlign w:val="center"/>
          </w:tcPr>
          <w:p>
            <w:pPr>
              <w:spacing w:line="0" w:lineRule="atLeast"/>
              <w:jc w:val="center"/>
              <w:rPr>
                <w:rFonts w:hint="default"/>
                <w:b/>
                <w:bCs/>
                <w:sz w:val="32"/>
                <w:szCs w:val="40"/>
                <w:vertAlign w:val="baseline"/>
                <w:lang w:val="en-US" w:eastAsia="zh-CN"/>
              </w:rPr>
            </w:pPr>
            <w:r>
              <w:rPr>
                <w:rFonts w:hint="eastAsia" w:ascii="宋体" w:hAnsi="宋体" w:cs="宋体"/>
                <w:szCs w:val="21"/>
              </w:rPr>
              <w:t>技术服务方案评审</w:t>
            </w:r>
          </w:p>
        </w:tc>
        <w:tc>
          <w:tcPr>
            <w:tcW w:w="4750" w:type="dxa"/>
            <w:vAlign w:val="center"/>
          </w:tcPr>
          <w:p>
            <w:pPr>
              <w:spacing w:line="0" w:lineRule="atLeast"/>
              <w:rPr>
                <w:rFonts w:hint="default"/>
                <w:b/>
                <w:bCs/>
                <w:sz w:val="32"/>
                <w:szCs w:val="40"/>
                <w:vertAlign w:val="baseline"/>
                <w:lang w:val="en-US" w:eastAsia="zh-CN"/>
              </w:rPr>
            </w:pPr>
            <w:r>
              <w:rPr>
                <w:rFonts w:hint="eastAsia" w:ascii="宋体" w:hAnsi="宋体" w:cs="宋体"/>
                <w:szCs w:val="21"/>
              </w:rPr>
              <w:t>对本项目工作内容的理解是否全面、准确进行横向比较评分</w:t>
            </w:r>
            <w:r>
              <w:rPr>
                <w:rFonts w:hint="eastAsia" w:ascii="宋体" w:hAnsi="宋体" w:cs="宋体"/>
                <w:szCs w:val="21"/>
                <w:lang w:eastAsia="zh-CN"/>
              </w:rPr>
              <w:t>。</w:t>
            </w:r>
            <w:r>
              <w:rPr>
                <w:rFonts w:hint="eastAsia" w:ascii="宋体" w:hAnsi="宋体" w:cs="宋体"/>
                <w:szCs w:val="21"/>
              </w:rPr>
              <w:t>打分参考：综合评审服务方案中对我司服务需求进行任务分解情况、技术服务团队工作职责及运作安排情况、各项过程技术服务成果质量把控能力、过程资料及档案管理、其他相关事宜。</w:t>
            </w:r>
          </w:p>
        </w:tc>
        <w:tc>
          <w:tcPr>
            <w:tcW w:w="1712" w:type="dxa"/>
            <w:vAlign w:val="center"/>
          </w:tcPr>
          <w:p>
            <w:pPr>
              <w:adjustRightInd w:val="0"/>
              <w:snapToGrid w:val="0"/>
              <w:spacing w:line="0" w:lineRule="atLeast"/>
              <w:jc w:val="both"/>
              <w:rPr>
                <w:rFonts w:hint="default"/>
                <w:b/>
                <w:bCs/>
                <w:sz w:val="32"/>
                <w:szCs w:val="40"/>
                <w:vertAlign w:val="baseline"/>
                <w:lang w:val="en-US" w:eastAsia="zh-CN"/>
              </w:rPr>
            </w:pPr>
            <w:r>
              <w:rPr>
                <w:rFonts w:hint="eastAsia" w:ascii="宋体" w:hAnsi="宋体" w:cs="宋体"/>
                <w:szCs w:val="21"/>
              </w:rPr>
              <w:t>提供技术服务方案，并加盖公章</w:t>
            </w:r>
          </w:p>
        </w:tc>
        <w:tc>
          <w:tcPr>
            <w:tcW w:w="555" w:type="dxa"/>
            <w:vAlign w:val="center"/>
          </w:tcPr>
          <w:p>
            <w:pPr>
              <w:spacing w:line="0" w:lineRule="atLeast"/>
              <w:jc w:val="center"/>
              <w:rPr>
                <w:rFonts w:hint="default"/>
                <w:b/>
                <w:bCs/>
                <w:sz w:val="32"/>
                <w:szCs w:val="40"/>
                <w:vertAlign w:val="baseline"/>
                <w:lang w:val="en-US" w:eastAsia="zh-CN"/>
              </w:rPr>
            </w:pPr>
            <w:r>
              <w:rPr>
                <w:rFonts w:hint="eastAsia" w:ascii="宋体" w:hAnsi="宋体" w:cs="宋体"/>
                <w:szCs w:val="21"/>
                <w:lang w:val="en-US" w:eastAsia="zh-CN"/>
              </w:rPr>
              <w:t>10</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812" w:hRule="atLeast"/>
        </w:trPr>
        <w:tc>
          <w:tcPr>
            <w:tcW w:w="505" w:type="dxa"/>
            <w:vAlign w:val="center"/>
          </w:tcPr>
          <w:p>
            <w:pPr>
              <w:widowControl/>
              <w:adjustRightInd w:val="0"/>
              <w:snapToGrid w:val="0"/>
              <w:spacing w:line="0" w:lineRule="atLeast"/>
              <w:jc w:val="center"/>
              <w:rPr>
                <w:rFonts w:hint="default"/>
                <w:b/>
                <w:bCs/>
                <w:sz w:val="32"/>
                <w:szCs w:val="40"/>
                <w:vertAlign w:val="baseline"/>
                <w:lang w:val="en-US" w:eastAsia="zh-CN"/>
              </w:rPr>
            </w:pPr>
            <w:r>
              <w:rPr>
                <w:rFonts w:hint="eastAsia" w:ascii="宋体" w:hAnsi="宋体" w:cs="宋体"/>
                <w:szCs w:val="21"/>
                <w:lang w:val="en-US" w:eastAsia="zh-CN"/>
              </w:rPr>
              <w:t>7</w:t>
            </w:r>
          </w:p>
        </w:tc>
        <w:tc>
          <w:tcPr>
            <w:tcW w:w="1275" w:type="dxa"/>
            <w:vAlign w:val="center"/>
          </w:tcPr>
          <w:p>
            <w:pPr>
              <w:spacing w:line="0" w:lineRule="atLeast"/>
              <w:jc w:val="center"/>
              <w:rPr>
                <w:rFonts w:ascii="宋体" w:hAnsi="宋体" w:cs="宋体"/>
                <w:szCs w:val="21"/>
              </w:rPr>
            </w:pPr>
            <w:r>
              <w:rPr>
                <w:rFonts w:hint="eastAsia" w:ascii="宋体" w:hAnsi="宋体" w:cs="宋体"/>
                <w:szCs w:val="21"/>
              </w:rPr>
              <w:t>报价</w:t>
            </w:r>
          </w:p>
          <w:p>
            <w:pPr>
              <w:spacing w:line="0" w:lineRule="atLeast"/>
              <w:jc w:val="center"/>
              <w:rPr>
                <w:rFonts w:hint="default"/>
                <w:b/>
                <w:bCs/>
                <w:sz w:val="32"/>
                <w:szCs w:val="40"/>
                <w:vertAlign w:val="baseline"/>
                <w:lang w:val="en-US" w:eastAsia="zh-CN"/>
              </w:rPr>
            </w:pPr>
            <w:r>
              <w:rPr>
                <w:rFonts w:hint="eastAsia" w:ascii="宋体" w:hAnsi="宋体" w:cs="宋体"/>
                <w:szCs w:val="21"/>
              </w:rPr>
              <w:t>得分</w:t>
            </w:r>
          </w:p>
        </w:tc>
        <w:tc>
          <w:tcPr>
            <w:tcW w:w="4750" w:type="dxa"/>
            <w:vAlign w:val="center"/>
          </w:tcPr>
          <w:p>
            <w:pPr>
              <w:spacing w:line="0" w:lineRule="atLeast"/>
              <w:rPr>
                <w:rFonts w:ascii="宋体" w:hAnsi="宋体" w:cs="宋体"/>
                <w:szCs w:val="21"/>
              </w:rPr>
            </w:pPr>
            <w:r>
              <w:rPr>
                <w:rFonts w:hint="eastAsia" w:ascii="宋体" w:hAnsi="宋体" w:cs="宋体"/>
                <w:szCs w:val="21"/>
              </w:rPr>
              <w:t>报价得分</w:t>
            </w:r>
            <w:r>
              <w:rPr>
                <w:rFonts w:ascii="宋体" w:hAnsi="宋体" w:cs="宋体"/>
                <w:szCs w:val="21"/>
              </w:rPr>
              <w:t>=</w:t>
            </w:r>
            <w:r>
              <w:rPr>
                <w:rFonts w:hint="eastAsia" w:ascii="宋体" w:hAnsi="宋体" w:cs="宋体"/>
                <w:szCs w:val="21"/>
                <w:lang w:val="en-US" w:eastAsia="zh-CN"/>
              </w:rPr>
              <w:t>2</w:t>
            </w:r>
            <w:r>
              <w:rPr>
                <w:rFonts w:ascii="宋体" w:hAnsi="宋体" w:cs="宋体"/>
                <w:szCs w:val="21"/>
              </w:rPr>
              <w:t>0*（</w:t>
            </w:r>
            <w:r>
              <w:rPr>
                <w:rFonts w:hint="eastAsia" w:ascii="宋体" w:hAnsi="宋体" w:cs="宋体"/>
                <w:szCs w:val="21"/>
              </w:rPr>
              <w:t>基准报价</w:t>
            </w:r>
            <w:r>
              <w:rPr>
                <w:rFonts w:ascii="宋体" w:hAnsi="宋体" w:cs="宋体"/>
                <w:szCs w:val="21"/>
              </w:rPr>
              <w:t>/</w:t>
            </w:r>
            <w:r>
              <w:rPr>
                <w:rFonts w:hint="eastAsia" w:ascii="宋体" w:hAnsi="宋体" w:cs="宋体"/>
                <w:szCs w:val="21"/>
              </w:rPr>
              <w:t>投标</w:t>
            </w:r>
            <w:r>
              <w:rPr>
                <w:rFonts w:ascii="宋体" w:hAnsi="宋体" w:cs="宋体"/>
                <w:szCs w:val="21"/>
              </w:rPr>
              <w:t>报价）</w:t>
            </w:r>
          </w:p>
          <w:p>
            <w:pPr>
              <w:spacing w:line="0" w:lineRule="atLeast"/>
              <w:rPr>
                <w:rFonts w:hint="default" w:ascii="宋体" w:hAnsi="宋体" w:cs="宋体" w:eastAsiaTheme="minorEastAsia"/>
                <w:kern w:val="2"/>
                <w:sz w:val="21"/>
                <w:szCs w:val="21"/>
                <w:lang w:val="en-US" w:eastAsia="zh-CN" w:bidi="ar-SA"/>
              </w:rPr>
            </w:pPr>
            <w:r>
              <w:rPr>
                <w:rFonts w:hint="eastAsia" w:ascii="宋体" w:hAnsi="宋体" w:cs="宋体"/>
                <w:szCs w:val="21"/>
              </w:rPr>
              <w:t>基准报价</w:t>
            </w:r>
            <w:r>
              <w:rPr>
                <w:rFonts w:ascii="宋体" w:hAnsi="宋体" w:cs="宋体"/>
                <w:szCs w:val="21"/>
              </w:rPr>
              <w:t>=</w:t>
            </w:r>
            <w:r>
              <w:rPr>
                <w:rFonts w:hint="eastAsia" w:ascii="宋体" w:hAnsi="宋体" w:cs="宋体"/>
                <w:szCs w:val="21"/>
              </w:rPr>
              <w:t>各有效投标人中的最低报价为基准报价</w:t>
            </w:r>
          </w:p>
        </w:tc>
        <w:tc>
          <w:tcPr>
            <w:tcW w:w="1712" w:type="dxa"/>
            <w:vAlign w:val="center"/>
          </w:tcPr>
          <w:p>
            <w:pPr>
              <w:adjustRightInd w:val="0"/>
              <w:snapToGrid w:val="0"/>
              <w:spacing w:line="0" w:lineRule="atLeast"/>
              <w:jc w:val="both"/>
              <w:rPr>
                <w:rFonts w:hint="default" w:ascii="宋体" w:hAnsi="宋体" w:cs="宋体" w:eastAsiaTheme="minorEastAsia"/>
                <w:kern w:val="2"/>
                <w:sz w:val="21"/>
                <w:szCs w:val="21"/>
                <w:lang w:val="en-US" w:eastAsia="zh-CN" w:bidi="ar-SA"/>
              </w:rPr>
            </w:pPr>
            <w:r>
              <w:rPr>
                <w:rFonts w:hint="eastAsia" w:ascii="宋体" w:hAnsi="宋体" w:cs="宋体"/>
                <w:szCs w:val="21"/>
              </w:rPr>
              <w:t>提供响应报价，并加盖公章</w:t>
            </w:r>
          </w:p>
        </w:tc>
        <w:tc>
          <w:tcPr>
            <w:tcW w:w="555" w:type="dxa"/>
            <w:vAlign w:val="center"/>
          </w:tcPr>
          <w:p>
            <w:pPr>
              <w:spacing w:line="0" w:lineRule="atLeast"/>
              <w:jc w:val="center"/>
              <w:rPr>
                <w:rFonts w:hint="default" w:ascii="宋体" w:hAnsi="宋体" w:cs="宋体" w:eastAsiaTheme="minorEastAsia"/>
                <w:kern w:val="2"/>
                <w:sz w:val="21"/>
                <w:szCs w:val="21"/>
                <w:lang w:val="en-US" w:eastAsia="zh-CN" w:bidi="ar-SA"/>
              </w:rPr>
            </w:pPr>
            <w:r>
              <w:rPr>
                <w:rFonts w:hint="eastAsia" w:ascii="宋体" w:hAnsi="宋体" w:cs="宋体"/>
                <w:szCs w:val="21"/>
                <w:lang w:val="en-US" w:eastAsia="zh-CN"/>
              </w:rPr>
              <w:t>20</w:t>
            </w:r>
            <w:r>
              <w:rPr>
                <w:rFonts w:hint="eastAsia" w:ascii="宋体" w:hAnsi="宋体" w:cs="宋体"/>
                <w:szCs w:val="21"/>
              </w:rPr>
              <w:t>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 w:hRule="atLeast"/>
        </w:trPr>
        <w:tc>
          <w:tcPr>
            <w:tcW w:w="8242" w:type="dxa"/>
            <w:gridSpan w:val="4"/>
          </w:tcPr>
          <w:p>
            <w:pPr>
              <w:jc w:val="center"/>
              <w:rPr>
                <w:rFonts w:hint="default"/>
                <w:b/>
                <w:bCs/>
                <w:sz w:val="32"/>
                <w:szCs w:val="40"/>
                <w:vertAlign w:val="baseline"/>
                <w:lang w:val="en-US" w:eastAsia="zh-CN"/>
              </w:rPr>
            </w:pPr>
            <w:r>
              <w:rPr>
                <w:rFonts w:hint="eastAsia"/>
                <w:b/>
                <w:bCs/>
                <w:sz w:val="32"/>
                <w:szCs w:val="40"/>
                <w:vertAlign w:val="baseline"/>
                <w:lang w:val="en-US" w:eastAsia="zh-CN"/>
              </w:rPr>
              <w:t>合计</w:t>
            </w:r>
          </w:p>
        </w:tc>
        <w:tc>
          <w:tcPr>
            <w:tcW w:w="555" w:type="dxa"/>
          </w:tcPr>
          <w:p>
            <w:pPr>
              <w:jc w:val="center"/>
              <w:rPr>
                <w:rFonts w:hint="default"/>
                <w:b/>
                <w:bCs/>
                <w:sz w:val="32"/>
                <w:szCs w:val="40"/>
                <w:vertAlign w:val="baseline"/>
                <w:lang w:val="en-US" w:eastAsia="zh-CN"/>
              </w:rPr>
            </w:pPr>
            <w:r>
              <w:rPr>
                <w:rFonts w:hint="eastAsia"/>
                <w:b w:val="0"/>
                <w:bCs w:val="0"/>
                <w:sz w:val="20"/>
                <w:szCs w:val="22"/>
                <w:vertAlign w:val="baseline"/>
                <w:lang w:val="en-US" w:eastAsia="zh-CN"/>
              </w:rPr>
              <w:t>100分</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651" w:hRule="atLeast"/>
        </w:trPr>
        <w:tc>
          <w:tcPr>
            <w:tcW w:w="8242" w:type="dxa"/>
            <w:gridSpan w:val="4"/>
          </w:tcPr>
          <w:p>
            <w:pPr>
              <w:jc w:val="center"/>
              <w:rPr>
                <w:rFonts w:hint="default"/>
                <w:b/>
                <w:bCs/>
                <w:sz w:val="32"/>
                <w:szCs w:val="40"/>
                <w:vertAlign w:val="baseline"/>
                <w:lang w:val="en-US" w:eastAsia="zh-CN"/>
              </w:rPr>
            </w:pPr>
            <w:r>
              <w:rPr>
                <w:rFonts w:hint="eastAsia" w:ascii="宋体" w:hAnsi="宋体" w:cs="宋体"/>
                <w:b/>
                <w:bCs/>
                <w:szCs w:val="21"/>
              </w:rPr>
              <w:t>拟推荐成交候选供应商（原则推荐评审综合得分最高的单位）</w:t>
            </w:r>
          </w:p>
        </w:tc>
        <w:tc>
          <w:tcPr>
            <w:tcW w:w="555" w:type="dxa"/>
          </w:tcPr>
          <w:p>
            <w:pPr>
              <w:jc w:val="center"/>
              <w:rPr>
                <w:rFonts w:hint="default"/>
                <w:b/>
                <w:bCs/>
                <w:sz w:val="32"/>
                <w:szCs w:val="40"/>
                <w:vertAlign w:val="baseline"/>
                <w:lang w:val="en-US" w:eastAsia="zh-CN"/>
              </w:rPr>
            </w:pPr>
          </w:p>
        </w:tc>
      </w:tr>
    </w:tbl>
    <w:p>
      <w:pPr>
        <w:jc w:val="left"/>
        <w:rPr>
          <w:rFonts w:hint="eastAsia" w:ascii="黑体" w:hAnsi="黑体" w:eastAsia="黑体"/>
          <w:szCs w:val="21"/>
        </w:rPr>
      </w:pPr>
      <w:r>
        <w:rPr>
          <w:rFonts w:hint="eastAsia" w:ascii="黑体" w:hAnsi="黑体" w:eastAsia="黑体"/>
          <w:szCs w:val="21"/>
        </w:rPr>
        <w:t>备注：</w:t>
      </w:r>
    </w:p>
    <w:p>
      <w:pPr>
        <w:jc w:val="left"/>
        <w:rPr>
          <w:rFonts w:ascii="黑体" w:hAnsi="黑体" w:eastAsia="黑体"/>
          <w:szCs w:val="21"/>
        </w:rPr>
      </w:pPr>
      <w:r>
        <w:rPr>
          <w:rFonts w:hint="eastAsia" w:ascii="黑体" w:hAnsi="黑体" w:eastAsia="黑体"/>
          <w:szCs w:val="21"/>
        </w:rPr>
        <w:t>1.各项评审打分按照四舍五入，小数点后保留2位进行计算；</w:t>
      </w:r>
    </w:p>
    <w:p>
      <w:pPr>
        <w:jc w:val="left"/>
        <w:rPr>
          <w:rFonts w:hint="eastAsia" w:ascii="宋体" w:hAnsi="宋体"/>
          <w:bCs/>
          <w:sz w:val="24"/>
        </w:rPr>
      </w:pPr>
      <w:r>
        <w:rPr>
          <w:rFonts w:hint="eastAsia" w:ascii="黑体" w:hAnsi="黑体" w:eastAsia="黑体"/>
          <w:szCs w:val="21"/>
        </w:rPr>
        <w:t>2.若出现拟推荐成交候选供应商票数相同的情况，以未推荐上述单位的评审专家对并列第一的候选供应商既定打分排序作为最终选定依据</w:t>
      </w:r>
      <w:r>
        <w:rPr>
          <w:rFonts w:hint="eastAsia" w:ascii="黑体" w:hAnsi="黑体" w:eastAsia="黑体"/>
          <w:szCs w:val="21"/>
          <w:lang w:eastAsia="zh-CN"/>
        </w:rPr>
        <w:t>。</w:t>
      </w:r>
    </w:p>
    <w:p>
      <w:pPr>
        <w:jc w:val="left"/>
        <w:rPr>
          <w:rFonts w:hint="default"/>
          <w:b/>
          <w:bCs/>
          <w:sz w:val="32"/>
          <w:szCs w:val="40"/>
          <w:lang w:val="en-US" w:eastAsia="zh-CN"/>
        </w:rPr>
      </w:pPr>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MDNiYmZhNzRiMjAxNzA1YTkyZTU3Zjk0NjQ1YWE2MTcifQ=="/>
  </w:docVars>
  <w:rsids>
    <w:rsidRoot w:val="00000000"/>
    <w:rsid w:val="00FB4A24"/>
    <w:rsid w:val="0E95318B"/>
    <w:rsid w:val="1D0858F9"/>
    <w:rsid w:val="2A6D4868"/>
    <w:rsid w:val="44F05F43"/>
    <w:rsid w:val="4B7E42CC"/>
    <w:rsid w:val="4D5B6DDE"/>
    <w:rsid w:val="534F2B4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qFormat="1"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qFormat/>
    <w:uiPriority w:val="0"/>
  </w:style>
  <w:style w:type="table" w:default="1" w:styleId="4">
    <w:name w:val="Normal Table"/>
    <w:semiHidden/>
    <w:qFormat/>
    <w:uiPriority w:val="0"/>
    <w:tblPr>
      <w:tblCellMar>
        <w:top w:w="0" w:type="dxa"/>
        <w:left w:w="108" w:type="dxa"/>
        <w:bottom w:w="0" w:type="dxa"/>
        <w:right w:w="108" w:type="dxa"/>
      </w:tblCellMar>
    </w:tblPr>
  </w:style>
  <w:style w:type="paragraph" w:styleId="2">
    <w:name w:val="footer"/>
    <w:basedOn w:val="1"/>
    <w:qFormat/>
    <w:uiPriority w:val="99"/>
    <w:pPr>
      <w:tabs>
        <w:tab w:val="center" w:pos="4153"/>
        <w:tab w:val="right" w:pos="8306"/>
      </w:tabs>
      <w:snapToGrid w:val="0"/>
      <w:jc w:val="left"/>
    </w:pPr>
    <w:rPr>
      <w:sz w:val="18"/>
      <w:szCs w:val="18"/>
    </w:rPr>
  </w:style>
  <w:style w:type="paragraph" w:styleId="3">
    <w:name w:val="header"/>
    <w:basedOn w:val="1"/>
    <w:qFormat/>
    <w:uiPriority w:val="0"/>
    <w:pPr>
      <w:pBdr>
        <w:bottom w:val="single" w:color="auto" w:sz="6" w:space="1"/>
      </w:pBdr>
      <w:tabs>
        <w:tab w:val="center" w:pos="4153"/>
        <w:tab w:val="right" w:pos="8306"/>
      </w:tabs>
      <w:snapToGrid w:val="0"/>
      <w:jc w:val="center"/>
    </w:pPr>
    <w:rPr>
      <w:sz w:val="18"/>
      <w:szCs w:val="18"/>
    </w:rPr>
  </w:style>
  <w:style w:type="table" w:styleId="5">
    <w:name w:val="Table Grid"/>
    <w:basedOn w:val="4"/>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7">
    <w:name w:val="page number"/>
    <w:basedOn w:val="6"/>
    <w:qFormat/>
    <w:uiPriority w:val="0"/>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2</Pages>
  <Words>1827</Words>
  <Characters>1880</Characters>
  <Lines>0</Lines>
  <Paragraphs>0</Paragraphs>
  <TotalTime>2</TotalTime>
  <ScaleCrop>false</ScaleCrop>
  <LinksUpToDate>false</LinksUpToDate>
  <CharactersWithSpaces>1881</CharactersWithSpaces>
  <Application>WPS Office_11.1.0.12763_F1E327BC-269C-435d-A152-05C5408002CA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user</dc:creator>
  <cp:lastModifiedBy>牛国夫</cp:lastModifiedBy>
  <cp:lastPrinted>2023-03-16T06:50:00Z</cp:lastPrinted>
  <dcterms:modified xsi:type="dcterms:W3CDTF">2023-03-22T11:29:09Z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2052-11.1.0.12763</vt:lpwstr>
  </property>
  <property fmtid="{D5CDD505-2E9C-101B-9397-08002B2CF9AE}" pid="3" name="ICV">
    <vt:lpwstr>7F1574C6F5704D42833964AECF97F1B1</vt:lpwstr>
  </property>
</Properties>
</file>