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深圳市龙岗区政务服务数据管理局202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napToGrid w:val="0"/>
        <w:spacing w:line="56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pStyle w:val="8"/>
        <w:widowControl/>
        <w:shd w:val="clear" w:color="auto" w:fill="FFFFFF"/>
        <w:snapToGrid w:val="0"/>
        <w:spacing w:before="0" w:beforeAutospacing="0" w:after="0" w:afterAutospacing="0" w:line="560" w:lineRule="exact"/>
        <w:ind w:firstLine="880" w:firstLineChars="200"/>
        <w:jc w:val="both"/>
        <w:rPr>
          <w:rFonts w:ascii="方正小标宋简体" w:hAnsi="方正小标宋简体" w:eastAsia="方正小标宋简体" w:cs="方正小标宋简体"/>
          <w:sz w:val="44"/>
          <w:szCs w:val="44"/>
          <w:shd w:val="clear" w:color="auto" w:fill="FFFFFF"/>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根据《中华人民共和国政府信息公开条例》（以下简称“《条例》”）规定，现公布龙岗区政务服务数据管理局202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年政府信息公开工作年度报告。本报告由总体情况、主动公开政府信息情况、收到和处理政府信息公开申请的情况、政府信息公开行政复议和行政诉讼情况、存在的问题和改进措施、其他</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rPr>
        <w:t>六部分组成</w:t>
      </w:r>
      <w:r>
        <w:rPr>
          <w:rFonts w:hint="eastAsia" w:ascii="仿宋_GB2312" w:hAnsi="仿宋_GB2312" w:eastAsia="仿宋_GB2312" w:cs="仿宋_GB2312"/>
          <w:sz w:val="32"/>
          <w:szCs w:val="32"/>
          <w:lang w:eastAsia="zh-CN"/>
        </w:rPr>
        <w:t>。本报告中所列数据的统计期限</w:t>
      </w:r>
      <w:r>
        <w:rPr>
          <w:rFonts w:hint="eastAsia" w:ascii="仿宋_GB2312" w:hAnsi="仿宋_GB2312" w:eastAsia="仿宋_GB2312" w:cs="仿宋_GB2312"/>
          <w:sz w:val="32"/>
          <w:szCs w:val="32"/>
        </w:rPr>
        <w:t>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年1月1日</w:t>
      </w:r>
      <w:r>
        <w:rPr>
          <w:rFonts w:hint="eastAsia" w:ascii="仿宋_GB2312" w:hAnsi="仿宋_GB2312" w:eastAsia="仿宋_GB2312" w:cs="仿宋_GB2312"/>
          <w:sz w:val="32"/>
          <w:szCs w:val="32"/>
          <w:lang w:eastAsia="zh-CN"/>
        </w:rPr>
        <w:t>起</w:t>
      </w:r>
      <w:r>
        <w:rPr>
          <w:rFonts w:hint="eastAsia" w:ascii="仿宋_GB2312" w:hAnsi="仿宋_GB2312" w:eastAsia="仿宋_GB2312" w:cs="仿宋_GB2312"/>
          <w:sz w:val="32"/>
          <w:szCs w:val="32"/>
        </w:rPr>
        <w:t>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w:t>
      </w:r>
    </w:p>
    <w:p>
      <w:pPr>
        <w:pStyle w:val="8"/>
        <w:widowControl/>
        <w:numPr>
          <w:ilvl w:val="0"/>
          <w:numId w:val="1"/>
        </w:numPr>
        <w:shd w:val="clear" w:color="auto" w:fill="FFFFFF"/>
        <w:snapToGrid w:val="0"/>
        <w:spacing w:before="0" w:beforeAutospacing="0" w:after="0" w:afterAutospacing="0" w:line="560" w:lineRule="exact"/>
        <w:ind w:firstLine="640" w:firstLineChars="20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年，我局认真贯彻执行《条例》、《国务院办公厅关于印发20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年政务公开工作要点的通知》等相关文件精神，</w:t>
      </w:r>
      <w:r>
        <w:rPr>
          <w:rFonts w:hint="default" w:ascii="仿宋_GB2312" w:hAnsi="仿宋_GB2312" w:eastAsia="仿宋_GB2312" w:cs="仿宋_GB2312"/>
          <w:color w:val="auto"/>
          <w:sz w:val="32"/>
          <w:szCs w:val="32"/>
        </w:rPr>
        <w:t>坚持问题导向，</w:t>
      </w:r>
      <w:r>
        <w:rPr>
          <w:rFonts w:hint="eastAsia" w:ascii="仿宋_GB2312" w:hAnsi="仿宋_GB2312" w:eastAsia="仿宋_GB2312" w:cs="仿宋_GB2312"/>
          <w:color w:val="auto"/>
          <w:sz w:val="32"/>
          <w:szCs w:val="32"/>
        </w:rPr>
        <w:t>立足实战需求，大力推进“放管服”改革</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智慧城市</w:t>
      </w:r>
      <w:r>
        <w:rPr>
          <w:rFonts w:hint="default" w:ascii="仿宋_GB2312" w:hAnsi="仿宋_GB2312" w:eastAsia="仿宋_GB2312" w:cs="仿宋_GB2312"/>
          <w:color w:val="auto"/>
          <w:sz w:val="32"/>
          <w:szCs w:val="32"/>
        </w:rPr>
        <w:t>和数字政府</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sz w:val="32"/>
          <w:szCs w:val="32"/>
        </w:rPr>
        <w:t>以信息化技术助力政务公开，不断推进基层标准化规范化建设，不断提升优化城区营商环境。20</w:t>
      </w:r>
      <w:r>
        <w:rPr>
          <w:rFonts w:hint="eastAsia" w:ascii="仿宋_GB2312" w:hAnsi="仿宋_GB2312" w:eastAsia="仿宋_GB2312" w:cs="仿宋_GB2312"/>
          <w:sz w:val="32"/>
          <w:szCs w:val="32"/>
          <w:lang w:val="en-US" w:eastAsia="zh-CN"/>
        </w:rPr>
        <w:t>22年，</w:t>
      </w:r>
      <w:r>
        <w:rPr>
          <w:rFonts w:hint="eastAsia" w:ascii="仿宋_GB2312" w:hAnsi="仿宋_GB2312" w:eastAsia="仿宋_GB2312" w:cs="仿宋_GB2312"/>
          <w:b w:val="0"/>
          <w:bCs w:val="0"/>
          <w:color w:val="auto"/>
          <w:sz w:val="32"/>
          <w:szCs w:val="32"/>
        </w:rPr>
        <w:t>龙岗区行政服务大厅获评2022年广东省县（区）标杆政务服务中心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全市首创“个转企”到店办服务获“学习强国”平台宣传和推广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龙岗人工智能融合赋能平台获评2021-2022数字技术赋能实体经济案例</w:t>
      </w:r>
      <w:r>
        <w:rPr>
          <w:rFonts w:hint="eastAsia" w:ascii="仿宋_GB2312" w:hAnsi="仿宋_GB2312" w:eastAsia="仿宋_GB2312" w:cs="仿宋_GB2312"/>
          <w:b w:val="0"/>
          <w:bCs w:val="0"/>
          <w:color w:val="auto"/>
          <w:sz w:val="32"/>
          <w:szCs w:val="32"/>
          <w:lang w:eastAsia="zh-CN"/>
        </w:rPr>
        <w:t>。</w:t>
      </w:r>
    </w:p>
    <w:p>
      <w:pPr>
        <w:numPr>
          <w:ilvl w:val="0"/>
          <w:numId w:val="2"/>
        </w:num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主动公开情况</w:t>
      </w:r>
    </w:p>
    <w:p>
      <w:pPr>
        <w:keepNext w:val="0"/>
        <w:keepLines w:val="0"/>
        <w:pageBreakBefore w:val="0"/>
        <w:widowControl/>
        <w:numPr>
          <w:ilvl w:val="-1"/>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楷体_GB2312" w:hAnsi="楷体_GB2312" w:eastAsia="楷体_GB2312" w:cs="楷体_GB2312"/>
          <w:b w:val="0"/>
          <w:bCs w:val="0"/>
          <w:color w:val="auto"/>
          <w:sz w:val="32"/>
          <w:szCs w:val="32"/>
          <w:highlight w:val="none"/>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年，我局在本单位网站主动公开政务信息</w:t>
      </w:r>
      <w:r>
        <w:rPr>
          <w:rFonts w:hint="eastAsia" w:ascii="仿宋_GB2312" w:hAnsi="仿宋_GB2312" w:eastAsia="仿宋_GB2312" w:cs="仿宋_GB2312"/>
          <w:sz w:val="32"/>
          <w:szCs w:val="32"/>
          <w:lang w:val="en-US" w:eastAsia="zh-CN"/>
        </w:rPr>
        <w:t>74</w:t>
      </w:r>
      <w:r>
        <w:rPr>
          <w:rFonts w:hint="eastAsia" w:ascii="仿宋_GB2312" w:hAnsi="仿宋_GB2312" w:eastAsia="仿宋_GB2312" w:cs="仿宋_GB2312"/>
          <w:sz w:val="32"/>
          <w:szCs w:val="32"/>
        </w:rPr>
        <w:t>条，包括通知公告</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条、工作动态</w:t>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资金信息7条、</w:t>
      </w:r>
      <w:r>
        <w:rPr>
          <w:rFonts w:hint="eastAsia" w:ascii="仿宋_GB2312" w:hAnsi="仿宋_GB2312" w:eastAsia="仿宋_GB2312" w:cs="仿宋_GB2312"/>
          <w:sz w:val="32"/>
          <w:szCs w:val="32"/>
        </w:rPr>
        <w:t>机构设置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条等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全年受理12345市民来电件</w:t>
      </w:r>
      <w:r>
        <w:rPr>
          <w:rFonts w:hint="eastAsia" w:ascii="仿宋_GB2312" w:hAnsi="仿宋_GB2312" w:eastAsia="仿宋_GB2312" w:cs="仿宋_GB2312"/>
          <w:sz w:val="32"/>
          <w:szCs w:val="32"/>
          <w:lang w:val="en-US" w:eastAsia="zh-CN"/>
        </w:rPr>
        <w:t>32万</w:t>
      </w:r>
      <w:r>
        <w:rPr>
          <w:rFonts w:hint="eastAsia" w:ascii="仿宋_GB2312" w:hAnsi="仿宋_GB2312" w:eastAsia="仿宋_GB2312" w:cs="仿宋_GB2312"/>
          <w:sz w:val="32"/>
          <w:szCs w:val="32"/>
        </w:rPr>
        <w:t>件次，</w:t>
      </w:r>
      <w:r>
        <w:rPr>
          <w:rFonts w:hint="eastAsia" w:ascii="仿宋_GB2312" w:hAnsi="仿宋_GB2312" w:eastAsia="仿宋_GB2312" w:cs="仿宋_GB2312"/>
          <w:color w:val="000000" w:themeColor="text1"/>
          <w:sz w:val="32"/>
          <w:szCs w:val="32"/>
          <w14:textFill>
            <w14:solidFill>
              <w14:schemeClr w14:val="tx1"/>
            </w14:solidFill>
          </w14:textFill>
        </w:rPr>
        <w:t>同比增长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111.43</w:t>
      </w:r>
      <w:r>
        <w:rPr>
          <w:rFonts w:hint="eastAsia" w:ascii="仿宋_GB2312" w:hAnsi="仿宋_GB2312" w:eastAsia="仿宋_GB2312" w:cs="仿宋_GB2312"/>
          <w:color w:val="000000" w:themeColor="text1"/>
          <w:sz w:val="32"/>
          <w:szCs w:val="32"/>
          <w14:textFill>
            <w14:solidFill>
              <w14:schemeClr w14:val="tx1"/>
            </w14:solidFill>
          </w14:textFill>
        </w:rPr>
        <w:t>%，办结率100%，</w:t>
      </w:r>
      <w:r>
        <w:rPr>
          <w:rFonts w:hint="eastAsia" w:ascii="仿宋_GB2312" w:hAnsi="仿宋_GB2312" w:eastAsia="仿宋_GB2312" w:cs="仿宋_GB2312"/>
          <w:sz w:val="32"/>
          <w:szCs w:val="32"/>
        </w:rPr>
        <w:t>有效解决了辖区市民的相关诉求。</w:t>
      </w:r>
      <w:r>
        <w:rPr>
          <w:rFonts w:hint="eastAsia" w:ascii="仿宋_GB2312" w:hAnsi="仿宋_GB2312" w:eastAsia="仿宋_GB2312" w:cs="仿宋_GB2312"/>
          <w:sz w:val="32"/>
          <w:szCs w:val="32"/>
          <w:lang w:val="en-US" w:eastAsia="zh-CN"/>
        </w:rPr>
        <w:t>一是继续丰富“龙岗政府在线”门户网站“抗击新冠肺炎 龙岗在行动”专题内容，让市民充分了解我区出台的相关政策指引以及防治知识；完成2022年区政府民生实事专题制作，全方位、实时公布项目进展情况；继续做好英文网站内容保障工作，完成香港中文大学（深圳）音乐学院专题和深圳龙岗国家冰球项目训练基地（深圳：中国女冰的摇篮）两个专题制作。</w:t>
      </w:r>
      <w:r>
        <w:rPr>
          <w:rFonts w:hint="eastAsia" w:ascii="仿宋_GB2312" w:hAnsi="仿宋_GB2312" w:eastAsia="仿宋_GB2312" w:cs="仿宋_GB2312"/>
          <w:b w:val="0"/>
          <w:bCs w:val="0"/>
          <w:sz w:val="32"/>
          <w:szCs w:val="32"/>
          <w:lang w:val="en-US" w:eastAsia="zh-CN"/>
        </w:rPr>
        <w:t>二是</w:t>
      </w:r>
      <w:r>
        <w:rPr>
          <w:rFonts w:hint="eastAsia" w:ascii="仿宋_GB2312" w:hAnsi="仿宋_GB2312" w:eastAsia="仿宋_GB2312" w:cs="仿宋_GB2312"/>
          <w:b w:val="0"/>
          <w:bCs w:val="0"/>
          <w:color w:val="auto"/>
          <w:sz w:val="32"/>
          <w:szCs w:val="32"/>
          <w:highlight w:val="none"/>
          <w:lang w:val="en-US" w:eastAsia="zh-CN"/>
        </w:rPr>
        <w:t>深化</w:t>
      </w:r>
      <w:r>
        <w:rPr>
          <w:rFonts w:hint="default"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eastAsia="zh-CN"/>
        </w:rPr>
        <w:t>放管服</w:t>
      </w:r>
      <w:r>
        <w:rPr>
          <w:rFonts w:hint="default" w:ascii="仿宋_GB2312" w:hAnsi="仿宋_GB2312" w:eastAsia="仿宋_GB2312" w:cs="仿宋_GB2312"/>
          <w:b w:val="0"/>
          <w:bCs w:val="0"/>
          <w:color w:val="auto"/>
          <w:sz w:val="32"/>
          <w:szCs w:val="32"/>
          <w:highlight w:val="none"/>
          <w:lang w:eastAsia="zh-CN"/>
        </w:rPr>
        <w:t>”改革</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以公开促</w:t>
      </w:r>
      <w:r>
        <w:rPr>
          <w:rFonts w:hint="default" w:ascii="仿宋_GB2312" w:hAnsi="仿宋_GB2312" w:eastAsia="仿宋_GB2312" w:cs="仿宋_GB2312"/>
          <w:b w:val="0"/>
          <w:bCs w:val="0"/>
          <w:color w:val="auto"/>
          <w:sz w:val="32"/>
          <w:szCs w:val="32"/>
          <w:highlight w:val="none"/>
          <w:lang w:eastAsia="zh-CN"/>
        </w:rPr>
        <w:t>服务</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深</w:t>
      </w:r>
      <w:r>
        <w:rPr>
          <w:rFonts w:hint="default" w:ascii="仿宋_GB2312" w:hAnsi="仿宋_GB2312" w:eastAsia="仿宋_GB2312" w:cs="仿宋_GB2312"/>
          <w:sz w:val="32"/>
          <w:szCs w:val="32"/>
          <w:highlight w:val="none"/>
          <w:lang w:eastAsia="zh-CN"/>
        </w:rPr>
        <w:t>化一件事一次办改革</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围绕一件事人生主题进行深化梳理，围绕“出生”“死亡”</w:t>
      </w:r>
      <w:r>
        <w:rPr>
          <w:rFonts w:hint="eastAsia" w:ascii="仿宋_GB2312" w:hAnsi="仿宋_GB2312" w:eastAsia="仿宋_GB2312" w:cs="仿宋_GB2312"/>
          <w:sz w:val="32"/>
          <w:szCs w:val="32"/>
          <w:highlight w:val="none"/>
          <w:lang w:eastAsia="zh-CN"/>
        </w:rPr>
        <w:t>等</w:t>
      </w:r>
      <w:r>
        <w:rPr>
          <w:rFonts w:hint="default" w:ascii="仿宋_GB2312" w:hAnsi="仿宋_GB2312" w:eastAsia="仿宋_GB2312" w:cs="仿宋_GB2312"/>
          <w:sz w:val="32"/>
          <w:szCs w:val="32"/>
          <w:highlight w:val="none"/>
          <w:lang w:eastAsia="zh-CN"/>
        </w:rPr>
        <w:t>环节开展线下一件事探索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在广东省政务服务网龙岗专区推出209个“一件事一次办”主题。</w:t>
      </w:r>
      <w:r>
        <w:rPr>
          <w:rFonts w:hint="default" w:ascii="仿宋_GB2312" w:hAnsi="仿宋_GB2312" w:eastAsia="仿宋_GB2312" w:cs="仿宋_GB2312"/>
          <w:b w:val="0"/>
          <w:bCs w:val="0"/>
          <w:sz w:val="32"/>
          <w:szCs w:val="32"/>
          <w:highlight w:val="none"/>
          <w:lang w:eastAsia="zh-CN"/>
        </w:rPr>
        <w:t>加快补贴事项主动兑现改革。</w:t>
      </w:r>
      <w:r>
        <w:rPr>
          <w:rFonts w:hint="eastAsia" w:ascii="仿宋_GB2312" w:hAnsi="仿宋_GB2312" w:eastAsia="仿宋_GB2312" w:cs="仿宋_GB2312"/>
          <w:sz w:val="32"/>
          <w:szCs w:val="32"/>
          <w:highlight w:val="none"/>
          <w:lang w:val="en-US" w:eastAsia="zh-CN"/>
        </w:rPr>
        <w:t>组织区相关部门多轮梳理区级自然人补贴事项，组织区人力资源局、民政局、卫健局、残联等4个部门共43项事项进行了具体调研；将“主动兑现”原来的“申请、受理、审核、提交收款材料、核拨、拨付</w:t>
      </w:r>
      <w:bookmarkStart w:id="0" w:name="_GoBack"/>
      <w:bookmarkEnd w:id="0"/>
      <w:r>
        <w:rPr>
          <w:rFonts w:hint="eastAsia" w:ascii="仿宋_GB2312" w:hAnsi="仿宋_GB2312" w:eastAsia="仿宋_GB2312" w:cs="仿宋_GB2312"/>
          <w:sz w:val="32"/>
          <w:szCs w:val="32"/>
          <w:highlight w:val="none"/>
          <w:lang w:val="en-US" w:eastAsia="zh-CN"/>
        </w:rPr>
        <w:t>”六大流程优化为“数据比对、意愿确认、拨付到账”三个环节；组织相关部门全面梳理区级补贴类事项，将区残联3项补贴事项作为我区首批“主动兑现”（政策直通车）事项。持续完善广东政务服务网龙岗专区“跨城通办”专栏，</w:t>
      </w:r>
      <w:r>
        <w:rPr>
          <w:rFonts w:hint="eastAsia" w:ascii="仿宋_GB2312" w:hAnsi="仿宋_GB2312" w:eastAsia="仿宋_GB2312" w:cs="仿宋_GB2312"/>
          <w:color w:val="auto"/>
          <w:sz w:val="32"/>
          <w:szCs w:val="32"/>
          <w:highlight w:val="none"/>
        </w:rPr>
        <w:t>首批实现</w:t>
      </w:r>
      <w:r>
        <w:rPr>
          <w:rFonts w:hint="default" w:ascii="仿宋_GB2312" w:hAnsi="仿宋_GB2312" w:eastAsia="仿宋_GB2312" w:cs="仿宋_GB2312"/>
          <w:color w:val="auto"/>
          <w:sz w:val="32"/>
          <w:szCs w:val="32"/>
          <w:highlight w:val="none"/>
        </w:rPr>
        <w:t>湖南省</w:t>
      </w:r>
      <w:r>
        <w:rPr>
          <w:rFonts w:hint="eastAsia" w:ascii="仿宋_GB2312" w:hAnsi="仿宋_GB2312" w:eastAsia="仿宋_GB2312" w:cs="仿宋_GB2312"/>
          <w:color w:val="auto"/>
          <w:sz w:val="32"/>
          <w:szCs w:val="32"/>
          <w:highlight w:val="none"/>
        </w:rPr>
        <w:t>宜章县38个政务服务事项</w:t>
      </w:r>
      <w:r>
        <w:rPr>
          <w:rFonts w:hint="default" w:ascii="仿宋_GB2312" w:hAnsi="仿宋_GB2312" w:eastAsia="仿宋_GB2312" w:cs="仿宋_GB2312"/>
          <w:color w:val="auto"/>
          <w:sz w:val="32"/>
          <w:szCs w:val="32"/>
          <w:highlight w:val="none"/>
        </w:rPr>
        <w:t>在</w:t>
      </w:r>
      <w:r>
        <w:rPr>
          <w:rFonts w:hint="eastAsia" w:ascii="仿宋_GB2312" w:hAnsi="仿宋_GB2312" w:eastAsia="仿宋_GB2312" w:cs="仿宋_GB2312"/>
          <w:color w:val="auto"/>
          <w:sz w:val="32"/>
          <w:szCs w:val="32"/>
          <w:highlight w:val="none"/>
        </w:rPr>
        <w:t>龙岗</w:t>
      </w:r>
      <w:r>
        <w:rPr>
          <w:rFonts w:hint="eastAsia" w:ascii="仿宋_GB2312" w:hAnsi="仿宋_GB2312" w:eastAsia="仿宋_GB2312" w:cs="仿宋_GB2312"/>
          <w:color w:val="auto"/>
          <w:sz w:val="32"/>
          <w:szCs w:val="32"/>
          <w:highlight w:val="none"/>
          <w:lang w:val="en-US" w:eastAsia="zh-CN"/>
        </w:rPr>
        <w:t>“跨省通办”</w:t>
      </w:r>
      <w:r>
        <w:rPr>
          <w:rFonts w:hint="default"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与东莞、惠州开展合作，</w:t>
      </w:r>
      <w:r>
        <w:rPr>
          <w:rFonts w:hint="default" w:ascii="仿宋_GB2312" w:hAnsi="仿宋_GB2312" w:eastAsia="仿宋_GB2312" w:cs="仿宋_GB2312"/>
          <w:color w:val="auto"/>
          <w:sz w:val="32"/>
          <w:szCs w:val="32"/>
          <w:highlight w:val="none"/>
          <w:lang w:eastAsia="zh-CN"/>
        </w:rPr>
        <w:t>累计</w:t>
      </w:r>
      <w:r>
        <w:rPr>
          <w:rFonts w:hint="eastAsia" w:ascii="仿宋_GB2312" w:hAnsi="仿宋_GB2312" w:eastAsia="仿宋_GB2312" w:cs="仿宋_GB2312"/>
          <w:color w:val="auto"/>
          <w:sz w:val="32"/>
          <w:szCs w:val="32"/>
          <w:highlight w:val="none"/>
          <w:lang w:val="en-US" w:eastAsia="zh-CN"/>
        </w:rPr>
        <w:t>实现“跨城通办”事项457项</w:t>
      </w:r>
      <w:r>
        <w:rPr>
          <w:rFonts w:hint="default"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完善“全市域通办”功能模块配置</w:t>
      </w:r>
      <w:r>
        <w:rPr>
          <w:rFonts w:hint="default" w:ascii="仿宋_GB2312" w:hAnsi="仿宋_GB2312" w:eastAsia="仿宋_GB2312" w:cs="仿宋_GB2312"/>
          <w:color w:val="auto"/>
          <w:sz w:val="32"/>
          <w:szCs w:val="32"/>
          <w:highlight w:val="none"/>
          <w:lang w:eastAsia="zh-CN"/>
        </w:rPr>
        <w:t>，区、街道共12个大厅均设立“全市域通办”服务窗口，累计</w:t>
      </w:r>
      <w:r>
        <w:rPr>
          <w:rFonts w:hint="eastAsia" w:ascii="仿宋_GB2312" w:hAnsi="仿宋_GB2312" w:eastAsia="仿宋_GB2312" w:cs="仿宋_GB2312"/>
          <w:color w:val="auto"/>
          <w:sz w:val="32"/>
          <w:szCs w:val="32"/>
          <w:highlight w:val="none"/>
          <w:lang w:val="en-US" w:eastAsia="zh-CN"/>
        </w:rPr>
        <w:t>实现事项485项。</w:t>
      </w:r>
      <w:r>
        <w:rPr>
          <w:rFonts w:hint="eastAsia" w:ascii="仿宋_GB2312" w:hAnsi="仿宋_GB2312" w:eastAsia="仿宋_GB2312" w:cs="仿宋_GB2312"/>
          <w:b w:val="0"/>
          <w:bCs w:val="0"/>
          <w:color w:val="auto"/>
          <w:sz w:val="32"/>
          <w:szCs w:val="32"/>
          <w:highlight w:val="none"/>
          <w:lang w:val="en-US" w:eastAsia="zh-CN"/>
        </w:rPr>
        <w:t>三</w:t>
      </w:r>
      <w:r>
        <w:rPr>
          <w:rFonts w:hint="default" w:ascii="仿宋_GB2312" w:hAnsi="仿宋_GB2312" w:eastAsia="仿宋_GB2312" w:cs="仿宋_GB2312"/>
          <w:b w:val="0"/>
          <w:bCs w:val="0"/>
          <w:color w:val="auto"/>
          <w:sz w:val="32"/>
          <w:szCs w:val="32"/>
          <w:highlight w:val="none"/>
          <w:lang w:eastAsia="zh-CN"/>
        </w:rPr>
        <w:t>是</w:t>
      </w:r>
      <w:r>
        <w:rPr>
          <w:rFonts w:hint="eastAsia" w:ascii="仿宋_GB2312" w:hAnsi="仿宋_GB2312" w:eastAsia="仿宋_GB2312" w:cs="仿宋_GB2312"/>
          <w:b w:val="0"/>
          <w:bCs w:val="0"/>
          <w:i w:val="0"/>
          <w:strike w:val="0"/>
          <w:color w:val="auto"/>
          <w:kern w:val="2"/>
          <w:sz w:val="32"/>
          <w:szCs w:val="32"/>
          <w:highlight w:val="none"/>
          <w:u w:val="none"/>
          <w:lang w:val="en-US" w:eastAsia="zh-CN" w:bidi="ar-SA"/>
        </w:rPr>
        <w:t>移动政务服务门户</w:t>
      </w:r>
      <w:r>
        <w:rPr>
          <w:rFonts w:hint="eastAsia" w:ascii="仿宋_GB2312" w:hAnsi="仿宋_GB2312" w:eastAsia="仿宋_GB2312" w:cs="仿宋_GB2312"/>
          <w:b w:val="0"/>
          <w:bCs w:val="0"/>
          <w:color w:val="auto"/>
          <w:sz w:val="32"/>
          <w:szCs w:val="32"/>
          <w:highlight w:val="none"/>
          <w:lang w:eastAsia="zh-CN"/>
        </w:rPr>
        <w:t>作用更加凸显，</w:t>
      </w:r>
      <w:r>
        <w:rPr>
          <w:rFonts w:hint="eastAsia" w:ascii="仿宋_GB2312" w:hAnsi="仿宋_GB2312" w:eastAsia="仿宋_GB2312" w:cs="仿宋_GB2312"/>
          <w:b w:val="0"/>
          <w:bCs w:val="0"/>
          <w:color w:val="auto"/>
          <w:sz w:val="32"/>
          <w:szCs w:val="32"/>
          <w:highlight w:val="none"/>
          <w:lang w:val="en-US" w:eastAsia="zh-CN"/>
        </w:rPr>
        <w:t>增强政务公开实效</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i w:val="0"/>
          <w:strike w:val="0"/>
          <w:color w:val="auto"/>
          <w:kern w:val="2"/>
          <w:sz w:val="32"/>
          <w:szCs w:val="32"/>
          <w:highlight w:val="none"/>
          <w:u w:val="none"/>
          <w:lang w:val="en-US" w:eastAsia="zh-CN" w:bidi="ar-SA"/>
        </w:rPr>
        <w:t>依托“i深圳”APP，持续加大“i龙岗”专区建设，增设民生服务地图、龙码等特色</w:t>
      </w:r>
      <w:r>
        <w:rPr>
          <w:rFonts w:hint="eastAsia" w:ascii="仿宋_GB2312" w:hAnsi="仿宋_GB2312" w:eastAsia="仿宋_GB2312" w:cs="仿宋_GB2312"/>
          <w:i w:val="0"/>
          <w:strike w:val="0"/>
          <w:color w:val="auto"/>
          <w:sz w:val="32"/>
          <w:szCs w:val="32"/>
          <w:highlight w:val="none"/>
          <w:u w:val="none"/>
          <w:lang w:eastAsia="zh-CN"/>
        </w:rPr>
        <w:t>服务栏目，</w:t>
      </w:r>
      <w:r>
        <w:rPr>
          <w:rFonts w:hint="eastAsia" w:ascii="仿宋_GB2312" w:hAnsi="仿宋_GB2312" w:eastAsia="仿宋_GB2312" w:cs="仿宋_GB2312"/>
          <w:i w:val="0"/>
          <w:strike w:val="0"/>
          <w:color w:val="auto"/>
          <w:sz w:val="32"/>
          <w:szCs w:val="32"/>
          <w:highlight w:val="none"/>
          <w:u w:val="none"/>
          <w:lang w:val="en-US" w:eastAsia="zh-CN"/>
        </w:rPr>
        <w:t>并接入</w:t>
      </w:r>
      <w:r>
        <w:rPr>
          <w:rFonts w:hint="eastAsia" w:ascii="仿宋_GB2312" w:hAnsi="仿宋_GB2312" w:eastAsia="仿宋_GB2312" w:cs="仿宋_GB2312"/>
          <w:i w:val="0"/>
          <w:strike w:val="0"/>
          <w:color w:val="auto"/>
          <w:sz w:val="32"/>
          <w:szCs w:val="32"/>
          <w:highlight w:val="none"/>
          <w:u w:val="none"/>
          <w:lang w:eastAsia="zh-CN"/>
        </w:rPr>
        <w:t>全区20多个单位超过100项移动政务服务和便民服务</w:t>
      </w:r>
      <w:r>
        <w:rPr>
          <w:rFonts w:hint="eastAsia" w:ascii="仿宋_GB2312" w:hAnsi="仿宋_GB2312" w:eastAsia="仿宋_GB2312" w:cs="仿宋_GB2312"/>
          <w:i w:val="0"/>
          <w:strike w:val="0"/>
          <w:color w:val="auto"/>
          <w:sz w:val="32"/>
          <w:szCs w:val="32"/>
          <w:highlight w:val="none"/>
          <w:u w:val="none"/>
          <w:lang w:val="en-US" w:eastAsia="zh-CN"/>
        </w:rPr>
        <w:t>，日均访问量、活跃率</w:t>
      </w:r>
      <w:r>
        <w:rPr>
          <w:rFonts w:hint="default" w:ascii="仿宋_GB2312" w:hAnsi="仿宋_GB2312" w:eastAsia="仿宋_GB2312" w:cs="仿宋_GB2312"/>
          <w:b w:val="0"/>
          <w:bCs w:val="0"/>
          <w:color w:val="auto"/>
          <w:sz w:val="32"/>
          <w:szCs w:val="32"/>
          <w:highlight w:val="none"/>
          <w:lang w:eastAsia="zh-CN"/>
        </w:rPr>
        <w:t>连续八个月</w:t>
      </w:r>
      <w:r>
        <w:rPr>
          <w:rFonts w:hint="eastAsia" w:ascii="仿宋_GB2312" w:hAnsi="仿宋_GB2312" w:eastAsia="仿宋_GB2312" w:cs="仿宋_GB2312"/>
          <w:b w:val="0"/>
          <w:bCs w:val="0"/>
          <w:color w:val="auto"/>
          <w:sz w:val="32"/>
          <w:szCs w:val="32"/>
          <w:highlight w:val="none"/>
          <w:lang w:eastAsia="zh-CN"/>
        </w:rPr>
        <w:t>均位列</w:t>
      </w:r>
      <w:r>
        <w:rPr>
          <w:rFonts w:hint="default" w:ascii="仿宋_GB2312" w:hAnsi="仿宋_GB2312" w:eastAsia="仿宋_GB2312" w:cs="仿宋_GB2312"/>
          <w:b w:val="0"/>
          <w:bCs w:val="0"/>
          <w:color w:val="auto"/>
          <w:sz w:val="32"/>
          <w:szCs w:val="32"/>
          <w:highlight w:val="none"/>
          <w:lang w:eastAsia="zh-CN"/>
        </w:rPr>
        <w:t>全市</w:t>
      </w:r>
      <w:r>
        <w:rPr>
          <w:rFonts w:hint="eastAsia" w:ascii="仿宋_GB2312" w:hAnsi="仿宋_GB2312" w:eastAsia="仿宋_GB2312" w:cs="仿宋_GB2312"/>
          <w:b w:val="0"/>
          <w:bCs w:val="0"/>
          <w:color w:val="auto"/>
          <w:sz w:val="32"/>
          <w:szCs w:val="32"/>
          <w:highlight w:val="none"/>
          <w:lang w:eastAsia="zh-CN"/>
        </w:rPr>
        <w:t>各</w:t>
      </w:r>
      <w:r>
        <w:rPr>
          <w:rFonts w:hint="default" w:ascii="仿宋_GB2312" w:hAnsi="仿宋_GB2312" w:eastAsia="仿宋_GB2312" w:cs="仿宋_GB2312"/>
          <w:b w:val="0"/>
          <w:bCs w:val="0"/>
          <w:color w:val="auto"/>
          <w:sz w:val="32"/>
          <w:szCs w:val="32"/>
          <w:highlight w:val="none"/>
          <w:lang w:eastAsia="zh-CN"/>
        </w:rPr>
        <w:t>区首位。</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（二）依申请公开情况</w:t>
      </w:r>
    </w:p>
    <w:p>
      <w:pPr>
        <w:pStyle w:val="8"/>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年，我局未收到政府信息公开申请。</w:t>
      </w:r>
    </w:p>
    <w:p>
      <w:pPr>
        <w:pStyle w:val="8"/>
        <w:widowControl/>
        <w:spacing w:before="0" w:beforeAutospacing="0" w:after="0" w:afterAutospacing="0" w:line="560" w:lineRule="exact"/>
        <w:ind w:firstLine="645"/>
        <w:jc w:val="both"/>
        <w:rPr>
          <w:rFonts w:ascii="楷体" w:hAnsi="楷体" w:eastAsia="楷体" w:cs="楷体"/>
          <w:sz w:val="32"/>
          <w:szCs w:val="32"/>
        </w:rPr>
      </w:pPr>
      <w:r>
        <w:rPr>
          <w:rFonts w:hint="eastAsia" w:ascii="楷体" w:hAnsi="楷体" w:eastAsia="楷体" w:cs="楷体"/>
          <w:sz w:val="32"/>
          <w:szCs w:val="32"/>
        </w:rPr>
        <w:t>（三）政府信息规范化、标准化管理情况</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一是严格贯彻落实《广东省人民政府办公厅关于进一步推进省市县三级主动公开基本目录编制发布工作的通知》等有关文件的要求，</w:t>
      </w:r>
      <w:r>
        <w:rPr>
          <w:rFonts w:hint="eastAsia" w:ascii="仿宋_GB2312" w:hAnsi="仿宋_GB2312" w:eastAsia="仿宋_GB2312" w:cs="仿宋_GB2312"/>
          <w:sz w:val="32"/>
          <w:szCs w:val="32"/>
          <w:lang w:val="en-US" w:eastAsia="zh-CN"/>
        </w:rPr>
        <w:t>动态调整更新本单位的</w:t>
      </w:r>
      <w:r>
        <w:rPr>
          <w:rFonts w:hint="eastAsia" w:ascii="仿宋_GB2312" w:hAnsi="仿宋_GB2312" w:eastAsia="仿宋_GB2312" w:cs="仿宋_GB2312"/>
          <w:sz w:val="32"/>
          <w:szCs w:val="32"/>
        </w:rPr>
        <w:t>主动公开基本目录</w:t>
      </w:r>
      <w:r>
        <w:rPr>
          <w:rFonts w:hint="eastAsia" w:ascii="仿宋_GB2312" w:hAnsi="宋体" w:eastAsia="仿宋_GB2312" w:cs="宋体"/>
          <w:sz w:val="32"/>
          <w:szCs w:val="32"/>
        </w:rPr>
        <w:t>。二是</w:t>
      </w:r>
      <w:r>
        <w:rPr>
          <w:rFonts w:hint="eastAsia" w:ascii="仿宋_GB2312" w:hAnsi="仿宋_GB2312" w:eastAsia="仿宋_GB2312" w:cs="仿宋_GB2312"/>
          <w:sz w:val="32"/>
          <w:szCs w:val="32"/>
        </w:rPr>
        <w:t>完善全网站群信息发布审核机制，委托专业媒体机构审核各单位拟发布信息，规范信息发布质量，杜绝涉敏涉密信息上网。三是</w:t>
      </w:r>
      <w:r>
        <w:rPr>
          <w:rFonts w:hint="eastAsia" w:ascii="仿宋_GB2312" w:hAnsi="仿宋_GB2312" w:eastAsia="仿宋_GB2312" w:cs="仿宋_GB2312"/>
          <w:sz w:val="32"/>
          <w:szCs w:val="32"/>
          <w:lang w:eastAsia="zh-CN"/>
        </w:rPr>
        <w:t>推动我区政务新媒体健康有序发展。</w:t>
      </w:r>
      <w:r>
        <w:rPr>
          <w:rFonts w:hint="eastAsia" w:ascii="仿宋_GB2312" w:hAnsi="仿宋_GB2312" w:eastAsia="仿宋_GB2312" w:cs="仿宋_GB2312"/>
          <w:sz w:val="32"/>
          <w:szCs w:val="32"/>
          <w:lang w:val="en-US" w:eastAsia="zh-CN"/>
        </w:rPr>
        <w:t>从运营管理、制度规范等方面进一步</w:t>
      </w:r>
      <w:r>
        <w:rPr>
          <w:rFonts w:hint="eastAsia" w:ascii="仿宋_GB2312" w:hAnsi="仿宋_GB2312" w:eastAsia="仿宋_GB2312" w:cs="仿宋_GB2312"/>
          <w:sz w:val="32"/>
          <w:szCs w:val="32"/>
          <w:lang w:eastAsia="zh-CN"/>
        </w:rPr>
        <w:t>规范我区政务新媒体的建设和管理，督促政务新媒体主办单位建立完善制度规则，落实管理责任</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rPr>
        <w:t>开展政务新媒体全网巡查工作。召开全</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政务</w:t>
      </w:r>
      <w:r>
        <w:rPr>
          <w:rFonts w:ascii="仿宋_GB2312" w:hAnsi="仿宋_GB2312" w:eastAsia="仿宋_GB2312" w:cs="仿宋_GB2312"/>
          <w:sz w:val="32"/>
          <w:szCs w:val="32"/>
        </w:rPr>
        <w:t>新媒体</w:t>
      </w:r>
      <w:r>
        <w:rPr>
          <w:rFonts w:hint="eastAsia" w:ascii="仿宋_GB2312" w:hAnsi="仿宋_GB2312" w:eastAsia="仿宋_GB2312" w:cs="仿宋_GB2312"/>
          <w:sz w:val="32"/>
          <w:szCs w:val="32"/>
        </w:rPr>
        <w:t>专题会议，督促各政务新媒体主办单位落实主体责任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发出日常检</w:t>
      </w:r>
      <w:r>
        <w:rPr>
          <w:rFonts w:hint="eastAsia" w:ascii="仿宋_GB2312" w:hAnsi="仿宋_GB2312" w:eastAsia="仿宋_GB2312" w:cs="仿宋_GB2312"/>
          <w:sz w:val="32"/>
          <w:szCs w:val="32"/>
          <w:highlight w:val="none"/>
        </w:rPr>
        <w:t>测预</w:t>
      </w:r>
      <w:r>
        <w:rPr>
          <w:rFonts w:hint="eastAsia" w:ascii="仿宋_GB2312" w:hAnsi="仿宋_GB2312" w:eastAsia="仿宋_GB2312" w:cs="仿宋_GB2312"/>
          <w:color w:val="auto"/>
          <w:sz w:val="32"/>
          <w:szCs w:val="32"/>
          <w:highlight w:val="none"/>
        </w:rPr>
        <w:t>警</w:t>
      </w:r>
      <w:r>
        <w:rPr>
          <w:rFonts w:hint="eastAsia" w:ascii="仿宋_GB2312" w:hAnsi="仿宋_GB2312" w:eastAsia="仿宋_GB2312" w:cs="仿宋_GB2312"/>
          <w:color w:val="auto"/>
          <w:sz w:val="32"/>
          <w:szCs w:val="32"/>
          <w:highlight w:val="none"/>
          <w:lang w:val="en-US" w:eastAsia="zh-CN"/>
        </w:rPr>
        <w:t>71</w:t>
      </w:r>
      <w:r>
        <w:rPr>
          <w:rFonts w:hint="eastAsia" w:ascii="仿宋_GB2312" w:hAnsi="仿宋_GB2312" w:eastAsia="仿宋_GB2312" w:cs="仿宋_GB2312"/>
          <w:color w:val="auto"/>
          <w:sz w:val="32"/>
          <w:szCs w:val="32"/>
          <w:highlight w:val="none"/>
        </w:rPr>
        <w:t>次，修改错敏词条</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sz w:val="32"/>
          <w:szCs w:val="32"/>
        </w:rPr>
        <w:t>发出相关整改通知</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sz w:val="32"/>
          <w:szCs w:val="32"/>
        </w:rPr>
        <w:t>次。</w:t>
      </w:r>
    </w:p>
    <w:p>
      <w:pPr>
        <w:pStyle w:val="8"/>
        <w:widowControl/>
        <w:numPr>
          <w:ilvl w:val="0"/>
          <w:numId w:val="3"/>
        </w:numPr>
        <w:spacing w:before="0" w:beforeAutospacing="0" w:after="0" w:afterAutospacing="0" w:line="560" w:lineRule="exact"/>
        <w:ind w:firstLine="645"/>
        <w:jc w:val="both"/>
        <w:rPr>
          <w:rFonts w:ascii="楷体" w:hAnsi="楷体" w:eastAsia="楷体" w:cs="楷体"/>
          <w:sz w:val="32"/>
          <w:szCs w:val="32"/>
        </w:rPr>
      </w:pPr>
      <w:r>
        <w:rPr>
          <w:rFonts w:hint="eastAsia" w:ascii="楷体" w:hAnsi="楷体" w:eastAsia="楷体" w:cs="楷体"/>
          <w:sz w:val="32"/>
          <w:szCs w:val="32"/>
        </w:rPr>
        <w:t>政府信息公开平台建设情况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1"/>
        <w:rPr>
          <w:rFonts w:hint="eastAsia" w:eastAsia="仿宋_GB2312"/>
          <w:lang w:val="en-US" w:eastAsia="zh-CN"/>
        </w:rPr>
      </w:pPr>
      <w:r>
        <w:rPr>
          <w:rFonts w:hint="eastAsia" w:ascii="仿宋_GB2312" w:hAnsi="仿宋_GB2312" w:eastAsia="仿宋_GB2312" w:cs="仿宋_GB2312"/>
          <w:sz w:val="32"/>
          <w:szCs w:val="32"/>
          <w:lang w:val="en-US" w:eastAsia="zh-CN"/>
        </w:rPr>
        <w:t>一是“龙岗政府在线”门户</w:t>
      </w:r>
      <w:r>
        <w:rPr>
          <w:rFonts w:hint="eastAsia" w:ascii="仿宋_GB2312" w:hAnsi="仿宋_GB2312" w:eastAsia="仿宋_GB2312" w:cs="仿宋_GB2312"/>
          <w:sz w:val="32"/>
          <w:szCs w:val="32"/>
        </w:rPr>
        <w:t>网站优化升级。根据深圳市统一部署，对网站PC端和移动端网页代码改造适配，获取适老化无障碍服务标识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在原有错敏词校对功能上添加对附件的校验、龙岗区自定义词库和错敏词校验使用记录功能，进一步规避稿件内容错误，增强信息发布质量。</w:t>
      </w:r>
      <w:r>
        <w:rPr>
          <w:rFonts w:hint="eastAsia" w:ascii="仿宋_GB2312" w:hAnsi="仿宋_GB2312" w:eastAsia="仿宋_GB2312" w:cs="仿宋_GB2312"/>
          <w:sz w:val="32"/>
          <w:szCs w:val="32"/>
          <w:shd w:val="clear" w:color="auto" w:fill="FFFFFF"/>
        </w:rPr>
        <w:t>二</w:t>
      </w:r>
      <w:r>
        <w:rPr>
          <w:rFonts w:ascii="仿宋_GB2312" w:hAnsi="仿宋_GB2312" w:eastAsia="仿宋_GB2312" w:cs="仿宋_GB2312"/>
          <w:sz w:val="32"/>
          <w:szCs w:val="32"/>
          <w:shd w:val="clear" w:color="auto" w:fill="FFFFFF"/>
        </w:rPr>
        <w:t>是</w:t>
      </w:r>
      <w:r>
        <w:rPr>
          <w:rFonts w:hint="eastAsia" w:ascii="仿宋_GB2312" w:hAnsi="仿宋_GB2312" w:eastAsia="仿宋_GB2312" w:cs="仿宋_GB2312"/>
          <w:sz w:val="32"/>
          <w:szCs w:val="32"/>
        </w:rPr>
        <w:t>持续回应群众关切，</w:t>
      </w:r>
      <w:r>
        <w:rPr>
          <w:rFonts w:hint="eastAsia" w:ascii="仿宋_GB2312" w:eastAsia="仿宋_GB2312" w:cs="仿宋_GB2312" w:hAnsiTheme="majorEastAsia"/>
          <w:sz w:val="32"/>
          <w:szCs w:val="32"/>
        </w:rPr>
        <w:t>推进“一网统管”事件处置信息平台建设。</w:t>
      </w:r>
      <w:r>
        <w:rPr>
          <w:rFonts w:hint="eastAsia" w:ascii="仿宋_GB2312" w:eastAsia="仿宋_GB2312" w:cs="仿宋_GB2312" w:hAnsiTheme="majorEastAsia"/>
          <w:sz w:val="32"/>
          <w:szCs w:val="32"/>
          <w:lang w:val="en-US" w:eastAsia="zh-CN"/>
        </w:rPr>
        <w:t>全面</w:t>
      </w:r>
      <w:r>
        <w:rPr>
          <w:rFonts w:hint="eastAsia" w:ascii="仿宋_GB2312" w:hAnsi="仿宋_GB2312" w:eastAsia="仿宋_GB2312" w:cs="仿宋_GB2312"/>
          <w:color w:val="auto"/>
          <w:kern w:val="2"/>
          <w:sz w:val="32"/>
          <w:szCs w:val="32"/>
          <w:highlight w:val="none"/>
          <w:lang w:val="en-US" w:eastAsia="zh-CN" w:bidi="ar"/>
        </w:rPr>
        <w:t>整合了 12345 热线、书记在线、“码上办”矛盾纠纷调解、政府在线网民留言、综合网格巡查、妇女儿童维权关爱、物联网感知等 147 类事件来源</w:t>
      </w:r>
      <w:r>
        <w:rPr>
          <w:rFonts w:hint="eastAsia" w:ascii="仿宋_GB2312" w:hAnsi="仿宋_GB2312" w:eastAsia="仿宋_GB2312" w:cs="仿宋_GB2312"/>
          <w:sz w:val="32"/>
          <w:szCs w:val="32"/>
        </w:rPr>
        <w:t>，实现所有事件在一个平台流转处置。自上线以来，</w:t>
      </w:r>
      <w:r>
        <w:rPr>
          <w:rFonts w:hint="eastAsia" w:ascii="仿宋_GB2312" w:hAnsi="仿宋_GB2312" w:eastAsia="仿宋_GB2312" w:cs="仿宋_GB2312"/>
          <w:sz w:val="32"/>
          <w:szCs w:val="32"/>
          <w:highlight w:val="none"/>
        </w:rPr>
        <w:t>日均接收各渠道事件</w:t>
      </w:r>
      <w:r>
        <w:rPr>
          <w:rFonts w:hint="eastAsia" w:ascii="仿宋_GB2312" w:hAnsi="仿宋_GB2312" w:eastAsia="仿宋_GB2312" w:cs="仿宋_GB2312"/>
          <w:sz w:val="32"/>
          <w:szCs w:val="32"/>
          <w:highlight w:val="none"/>
          <w:lang w:eastAsia="zh-CN"/>
        </w:rPr>
        <w:t>超过</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00件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022年8月以来</w:t>
      </w:r>
      <w:r>
        <w:rPr>
          <w:rFonts w:hint="eastAsia" w:ascii="仿宋_GB2312" w:hAnsi="仿宋_GB2312" w:eastAsia="仿宋_GB2312" w:cs="仿宋_GB2312"/>
          <w:sz w:val="32"/>
          <w:szCs w:val="32"/>
          <w:highlight w:val="none"/>
        </w:rPr>
        <w:t>共接收各类事件超过</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rPr>
        <w:t>万</w:t>
      </w:r>
      <w:r>
        <w:rPr>
          <w:rFonts w:hint="eastAsia" w:ascii="仿宋_GB2312" w:hAnsi="仿宋_GB2312" w:eastAsia="仿宋_GB2312" w:cs="仿宋_GB2312"/>
          <w:sz w:val="32"/>
          <w:szCs w:val="32"/>
          <w:highlight w:val="none"/>
          <w:lang w:eastAsia="zh-CN"/>
        </w:rPr>
        <w:t>余</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lang w:val="en-US" w:eastAsia="zh-CN"/>
        </w:rPr>
        <w:t>有效答复、解决消费纠纷、物业管理、违法建筑、疫情防控等市民关心的热点难点问题。</w:t>
      </w:r>
      <w:r>
        <w:rPr>
          <w:rFonts w:hint="eastAsia" w:ascii="仿宋_GB2312" w:hAnsi="仿宋_GB2312" w:eastAsia="仿宋_GB2312" w:cs="仿宋_GB2312"/>
          <w:sz w:val="32"/>
          <w:szCs w:val="32"/>
          <w:shd w:val="clear" w:color="auto" w:fill="FFFFFF"/>
        </w:rPr>
        <w:t>三</w:t>
      </w:r>
      <w:r>
        <w:rPr>
          <w:rFonts w:ascii="仿宋_GB2312" w:hAnsi="仿宋_GB2312" w:eastAsia="仿宋_GB2312" w:cs="仿宋_GB2312"/>
          <w:sz w:val="32"/>
          <w:szCs w:val="32"/>
          <w:shd w:val="clear" w:color="auto" w:fill="FFFFFF"/>
        </w:rPr>
        <w:t>是</w:t>
      </w:r>
      <w:r>
        <w:rPr>
          <w:rFonts w:hint="eastAsia" w:ascii="仿宋_GB2312" w:hAnsi="仿宋_GB2312" w:eastAsia="仿宋_GB2312" w:cs="仿宋_GB2312"/>
          <w:sz w:val="32"/>
          <w:szCs w:val="32"/>
          <w:shd w:val="clear" w:color="auto" w:fill="FFFFFF"/>
          <w:lang w:val="en-US" w:eastAsia="zh-CN"/>
        </w:rPr>
        <w:t>创新宣传方式。</w:t>
      </w:r>
      <w:r>
        <w:rPr>
          <w:rFonts w:hint="eastAsia" w:ascii="仿宋_GB2312" w:hAnsi="仿宋_GB2312" w:eastAsia="仿宋_GB2312" w:cs="仿宋_GB2312"/>
          <w:sz w:val="32"/>
          <w:szCs w:val="32"/>
          <w:lang w:eastAsia="zh-CN"/>
        </w:rPr>
        <w:t>为展现</w:t>
      </w:r>
      <w:r>
        <w:rPr>
          <w:rFonts w:hint="eastAsia" w:ascii="仿宋_GB2312" w:hAnsi="仿宋_GB2312" w:eastAsia="仿宋_GB2312" w:cs="仿宋_GB2312"/>
          <w:sz w:val="32"/>
          <w:szCs w:val="32"/>
          <w:lang w:val="en-US" w:eastAsia="zh-CN"/>
        </w:rPr>
        <w:t>龙岗区行政服务大厅</w:t>
      </w:r>
      <w:r>
        <w:rPr>
          <w:rFonts w:hint="eastAsia" w:ascii="仿宋_GB2312" w:hAnsi="仿宋_GB2312" w:eastAsia="仿宋_GB2312" w:cs="仿宋_GB2312"/>
          <w:sz w:val="32"/>
          <w:szCs w:val="32"/>
          <w:lang w:eastAsia="zh-CN"/>
        </w:rPr>
        <w:t>亮点和风采，利用微视频和短视频新媒体宣传模式，组织拍摄政务大厅</w:t>
      </w:r>
      <w:r>
        <w:rPr>
          <w:rFonts w:hint="eastAsia" w:ascii="仿宋_GB2312" w:hAnsi="仿宋_GB2312" w:eastAsia="仿宋_GB2312" w:cs="仿宋_GB2312"/>
          <w:sz w:val="32"/>
          <w:szCs w:val="32"/>
          <w:lang w:val="en-US" w:eastAsia="zh-CN"/>
        </w:rPr>
        <w:t>7分钟</w:t>
      </w:r>
      <w:r>
        <w:rPr>
          <w:rFonts w:hint="eastAsia" w:ascii="仿宋_GB2312" w:hAnsi="仿宋_GB2312" w:eastAsia="仿宋_GB2312" w:cs="仿宋_GB2312"/>
          <w:sz w:val="32"/>
          <w:szCs w:val="32"/>
          <w:lang w:eastAsia="zh-CN"/>
        </w:rPr>
        <w:t>宣传片、“新年贺岁片”、“一杯咖啡办成事”、“龙岗政务十二时辰”、“三八节宣传视频”、“抗疫志愿服务视频”等视频；发布“龙岗政务服务”微信公众号推文</w:t>
      </w:r>
      <w:r>
        <w:rPr>
          <w:rFonts w:hint="eastAsia" w:ascii="仿宋_GB2312" w:hAnsi="仿宋_GB2312" w:eastAsia="仿宋_GB2312" w:cs="仿宋_GB2312"/>
          <w:sz w:val="32"/>
          <w:szCs w:val="32"/>
          <w:lang w:val="en-US" w:eastAsia="zh-CN"/>
        </w:rPr>
        <w:t>115篇；相关改革创新举措获得新华财经、南方日报、羊城晚报、第一现场等媒体宣传报道40余次。</w:t>
      </w:r>
    </w:p>
    <w:p>
      <w:pPr>
        <w:pStyle w:val="8"/>
        <w:widowControl/>
        <w:numPr>
          <w:ilvl w:val="0"/>
          <w:numId w:val="3"/>
        </w:numPr>
        <w:spacing w:before="0" w:beforeAutospacing="0" w:after="0" w:afterAutospacing="0" w:line="560" w:lineRule="exact"/>
        <w:ind w:firstLine="645"/>
        <w:jc w:val="both"/>
        <w:rPr>
          <w:rFonts w:ascii="楷体_GB2312" w:hAnsi="仿宋_GB2312" w:eastAsia="楷体_GB2312" w:cs="仿宋_GB2312"/>
          <w:sz w:val="32"/>
          <w:szCs w:val="32"/>
        </w:rPr>
      </w:pPr>
      <w:r>
        <w:rPr>
          <w:rFonts w:hint="eastAsia" w:ascii="楷体_GB2312" w:hAnsi="楷体" w:eastAsia="楷体_GB2312" w:cs="楷体"/>
          <w:sz w:val="32"/>
          <w:szCs w:val="32"/>
        </w:rPr>
        <w:t>政府信息公开监督保障情况</w:t>
      </w:r>
      <w:r>
        <w:rPr>
          <w:rFonts w:ascii="楷体_GB2312" w:hAnsi="仿宋_GB2312" w:eastAsia="楷体_GB2312" w:cs="仿宋_GB2312"/>
          <w:sz w:val="32"/>
          <w:szCs w:val="32"/>
        </w:rPr>
        <w:t xml:space="preserve"> </w:t>
      </w:r>
    </w:p>
    <w:p>
      <w:pPr>
        <w:pStyle w:val="8"/>
        <w:widowControl/>
        <w:shd w:val="clear" w:color="auto" w:fill="FFFFFF"/>
        <w:spacing w:before="0" w:beforeAutospacing="0" w:after="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hint="eastAsia" w:ascii="仿宋_GB2312" w:hAnsi="仿宋_GB2312" w:eastAsia="仿宋_GB2312" w:cs="仿宋_GB2312"/>
          <w:kern w:val="2"/>
          <w:sz w:val="32"/>
          <w:szCs w:val="32"/>
        </w:rPr>
        <w:t>一是通过绩效考核、第三方监督、公众参与等方式加强信息公开的监督保障工作，将决策公开、管理服务公开、依申请公开、政务新媒体等内容纳入绩效管理范畴，充分发挥绩效管理的导向作用和激励作用。二是更新完善我局政府信息公开指南，</w:t>
      </w:r>
      <w:r>
        <w:rPr>
          <w:rFonts w:hint="eastAsia" w:ascii="仿宋_GB2312" w:hAnsi="仿宋_GB2312" w:eastAsia="仿宋_GB2312" w:cs="仿宋_GB2312"/>
          <w:kern w:val="2"/>
          <w:sz w:val="32"/>
          <w:szCs w:val="32"/>
          <w:shd w:val="clear" w:color="auto" w:fill="FFFFFF"/>
        </w:rPr>
        <w:t>在政府信息公开指南公开联系电话、地址等信息，广泛听取群众意见、建议。</w:t>
      </w:r>
    </w:p>
    <w:p>
      <w:pPr>
        <w:pStyle w:val="8"/>
        <w:widowControl/>
        <w:numPr>
          <w:ilvl w:val="0"/>
          <w:numId w:val="1"/>
        </w:numPr>
        <w:shd w:val="clear" w:color="auto" w:fill="FFFFFF"/>
        <w:spacing w:before="0" w:beforeAutospacing="0" w:after="0" w:afterAutospacing="0" w:line="560" w:lineRule="exact"/>
        <w:ind w:firstLine="640" w:firstLineChars="200"/>
        <w:jc w:val="both"/>
        <w:rPr>
          <w:rFonts w:hint="eastAsia" w:ascii="黑体" w:hAnsi="黑体" w:eastAsia="黑体" w:cs="黑体"/>
          <w:bCs/>
          <w:color w:val="333333"/>
          <w:sz w:val="32"/>
          <w:szCs w:val="32"/>
          <w:shd w:val="clear" w:color="auto" w:fill="FFFFFF"/>
        </w:rPr>
      </w:pPr>
      <w:r>
        <w:rPr>
          <w:rFonts w:hint="eastAsia" w:ascii="黑体" w:hAnsi="黑体" w:eastAsia="黑体" w:cs="黑体"/>
          <w:bCs/>
          <w:color w:val="333333"/>
          <w:sz w:val="32"/>
          <w:szCs w:val="32"/>
          <w:shd w:val="clear" w:color="auto" w:fill="FFFFFF"/>
        </w:rPr>
        <w:t>主动公开政府信息情况</w:t>
      </w:r>
    </w:p>
    <w:tbl>
      <w:tblPr>
        <w:tblStyle w:val="10"/>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46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本年</w:t>
            </w:r>
            <w:r>
              <w:rPr>
                <w:rFonts w:hint="eastAsia" w:ascii="宋体" w:hAnsi="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7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rPr>
                <w:rFonts w:ascii="宋体" w:hAnsi="宋体" w:cs="宋体"/>
                <w:color w:val="000000"/>
                <w:kern w:val="0"/>
                <w:sz w:val="20"/>
                <w:szCs w:val="20"/>
                <w:lang w:bidi="ar"/>
              </w:rPr>
            </w:pPr>
            <w:r>
              <w:rPr>
                <w:rFonts w:hint="eastAsia" w:ascii="宋体" w:hAnsi="宋体" w:cs="宋体"/>
                <w:color w:val="000000"/>
                <w:kern w:val="0"/>
                <w:sz w:val="20"/>
                <w:szCs w:val="20"/>
                <w:lang w:bidi="ar"/>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46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4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415"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402"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51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spacing w:line="560" w:lineRule="exact"/>
              <w:rPr>
                <w:rFonts w:ascii="宋体"/>
                <w:sz w:val="24"/>
                <w:szCs w:val="24"/>
              </w:rPr>
            </w:pPr>
            <w:r>
              <w:rPr>
                <w:rFonts w:hint="eastAsia" w:ascii="宋体" w:hAnsi="宋体" w:cs="宋体"/>
                <w:color w:val="000000"/>
                <w:kern w:val="0"/>
                <w:sz w:val="20"/>
                <w:szCs w:val="20"/>
                <w:lang w:bidi="ar"/>
              </w:rPr>
              <w:t>0</w:t>
            </w:r>
          </w:p>
        </w:tc>
      </w:tr>
    </w:tbl>
    <w:p>
      <w:pPr>
        <w:rPr>
          <w:rFonts w:ascii="黑体" w:hAnsi="黑体" w:eastAsia="黑体" w:cs="黑体"/>
          <w:sz w:val="32"/>
          <w:szCs w:val="32"/>
        </w:rPr>
      </w:pPr>
    </w:p>
    <w:p>
      <w:pPr>
        <w:pStyle w:val="8"/>
        <w:widowControl/>
        <w:shd w:val="clear" w:color="auto" w:fill="FFFFFF"/>
        <w:spacing w:before="0" w:beforeAutospacing="0" w:after="0" w:afterAutospacing="0" w:line="560" w:lineRule="exact"/>
        <w:ind w:firstLine="640" w:firstLineChars="200"/>
        <w:jc w:val="both"/>
        <w:rPr>
          <w:rFonts w:ascii="宋体" w:hAnsi="宋体" w:cs="宋体"/>
          <w:color w:val="333333"/>
          <w:szCs w:val="24"/>
        </w:rPr>
      </w:pPr>
      <w:r>
        <w:rPr>
          <w:rFonts w:hint="eastAsia" w:ascii="黑体" w:hAnsi="黑体" w:eastAsia="黑体" w:cs="黑体"/>
          <w:bCs/>
          <w:color w:val="333333"/>
          <w:sz w:val="32"/>
          <w:szCs w:val="32"/>
          <w:shd w:val="clear" w:color="auto" w:fill="FFFFFF"/>
        </w:rPr>
        <w:t>三、收到和处理政府信息公开申请情况</w:t>
      </w: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31"/>
        <w:gridCol w:w="690"/>
        <w:gridCol w:w="690"/>
        <w:gridCol w:w="690"/>
        <w:gridCol w:w="690"/>
        <w:gridCol w:w="690"/>
        <w:gridCol w:w="690"/>
        <w:gridCol w:w="66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494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560" w:lineRule="exact"/>
            </w:pPr>
            <w:r>
              <w:rPr>
                <w:rFonts w:ascii="楷体" w:hAnsi="楷体" w:eastAsia="楷体" w:cs="楷体"/>
                <w:kern w:val="0"/>
                <w:sz w:val="20"/>
                <w:szCs w:val="20"/>
                <w:lang w:bidi="ar"/>
              </w:rPr>
              <w:t>（本列数据的勾稽关系为：第一项加第二项之和，等于第三项加第四项之和）</w:t>
            </w:r>
          </w:p>
        </w:tc>
        <w:tc>
          <w:tcPr>
            <w:tcW w:w="480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90"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自然人</w:t>
            </w:r>
          </w:p>
        </w:tc>
        <w:tc>
          <w:tcPr>
            <w:tcW w:w="345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法人或其他组织</w:t>
            </w:r>
          </w:p>
        </w:tc>
        <w:tc>
          <w:tcPr>
            <w:tcW w:w="666"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4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90"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商业</w:t>
            </w:r>
          </w:p>
          <w:p>
            <w:pPr>
              <w:widowControl/>
              <w:spacing w:line="560" w:lineRule="exact"/>
            </w:pPr>
            <w:r>
              <w:rPr>
                <w:rFonts w:hint="eastAsia" w:ascii="宋体" w:hAnsi="宋体" w:cs="宋体"/>
                <w:kern w:val="0"/>
                <w:sz w:val="20"/>
                <w:szCs w:val="20"/>
                <w:lang w:bidi="ar"/>
              </w:rPr>
              <w:t>企业</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科研</w:t>
            </w:r>
          </w:p>
          <w:p>
            <w:pPr>
              <w:widowControl/>
              <w:spacing w:line="560" w:lineRule="exact"/>
            </w:pPr>
            <w:r>
              <w:rPr>
                <w:rFonts w:hint="eastAsia" w:ascii="宋体" w:hAnsi="宋体" w:cs="宋体"/>
                <w:kern w:val="0"/>
                <w:sz w:val="20"/>
                <w:szCs w:val="20"/>
                <w:lang w:bidi="ar"/>
              </w:rPr>
              <w:t>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社会公益组织</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法律服务机构</w:t>
            </w:r>
          </w:p>
        </w:tc>
        <w:tc>
          <w:tcPr>
            <w:tcW w:w="69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其他</w:t>
            </w:r>
          </w:p>
        </w:tc>
        <w:tc>
          <w:tcPr>
            <w:tcW w:w="666"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一、本年新收政府信息公开申请数量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二、上年结转政府信息公开申请数量</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三、本年度办理结果</w:t>
            </w: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（一）予以公开</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（三）不予公开</w:t>
            </w: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1.属于国家秘密</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2.其他法律行政法规禁止公开</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3.危及“三安全一稳定”</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4.保护第三方合法权益</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5.属于三类内部事务信息</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6.属于四类过程性信息</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7.属于行政执法案卷</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8.属于行政查询事项</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（四）无法提供</w:t>
            </w: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1.本机关不掌握相关政府信息</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2.没有现成信息需要另行制作</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3.补正后申请内容仍不明确</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（五）不予处理</w:t>
            </w: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1.信访举报投诉类申请</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2.重复申请</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3.要求提供公开出版物</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ascii="宋体" w:hAnsi="宋体" w:cs="宋体"/>
                <w:kern w:val="0"/>
                <w:sz w:val="20"/>
                <w:szCs w:val="20"/>
                <w:lang w:bidi="ar"/>
              </w:rPr>
              <w:t>4.无正当理由大量反复申请</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9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5.要求行政机关确认或重新出具已获取信息</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outset"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（六）其他处理</w:t>
            </w: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1.申请人无正当理由逾期不补正、行政机关不再处理其政府信息公开申请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2.申请人逾期未按收费通知要求缴纳费用、行政机关不再处理其政府信息公开申请</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3231"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3.其他</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spacing w:line="560" w:lineRule="exact"/>
              <w:rPr>
                <w:rFonts w:ascii="宋体"/>
                <w:sz w:val="24"/>
                <w:szCs w:val="24"/>
              </w:rPr>
            </w:pPr>
          </w:p>
        </w:tc>
        <w:tc>
          <w:tcPr>
            <w:tcW w:w="417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（七）总计</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widowControl/>
              <w:spacing w:line="560" w:lineRule="exact"/>
            </w:pPr>
            <w:r>
              <w:rPr>
                <w:rFonts w:hint="eastAsia" w:cs="Calibri" w:eastAsiaTheme="minorEastAsia"/>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494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ascii="宋体" w:hAnsi="宋体" w:cs="宋体"/>
                <w:kern w:val="0"/>
                <w:sz w:val="20"/>
                <w:szCs w:val="20"/>
                <w:lang w:bidi="ar"/>
              </w:rPr>
              <w:t>四、结转下年度继续办理</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9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560" w:lineRule="exact"/>
            </w:pPr>
            <w:r>
              <w:rPr>
                <w:rFonts w:hint="eastAsia" w:cs="Calibri" w:eastAsiaTheme="minorEastAsia"/>
                <w:kern w:val="0"/>
                <w:sz w:val="20"/>
                <w:szCs w:val="20"/>
                <w:lang w:bidi="ar"/>
              </w:rPr>
              <w:t>0</w:t>
            </w:r>
          </w:p>
        </w:tc>
        <w:tc>
          <w:tcPr>
            <w:tcW w:w="666" w:type="dxa"/>
            <w:tcBorders>
              <w:top w:val="nil"/>
              <w:left w:val="nil"/>
              <w:bottom w:val="single" w:color="auto" w:sz="8" w:space="0"/>
              <w:right w:val="single" w:color="auto" w:sz="8" w:space="0"/>
            </w:tcBorders>
            <w:shd w:val="clear" w:color="auto" w:fill="auto"/>
            <w:tcMar>
              <w:left w:w="57" w:type="dxa"/>
              <w:right w:w="57" w:type="dxa"/>
            </w:tcMar>
          </w:tcPr>
          <w:p>
            <w:pPr>
              <w:spacing w:line="560" w:lineRule="exact"/>
              <w:jc w:val="left"/>
              <w:rPr>
                <w:rFonts w:ascii="宋体"/>
                <w:sz w:val="24"/>
                <w:szCs w:val="24"/>
              </w:rPr>
            </w:pPr>
            <w:r>
              <w:rPr>
                <w:rFonts w:hint="eastAsia" w:cs="Calibri" w:eastAsiaTheme="minorEastAsia"/>
                <w:kern w:val="0"/>
                <w:sz w:val="20"/>
                <w:szCs w:val="20"/>
                <w:lang w:bidi="ar"/>
              </w:rPr>
              <w:t>0</w:t>
            </w:r>
          </w:p>
        </w:tc>
      </w:tr>
    </w:tbl>
    <w:p>
      <w:pPr>
        <w:pStyle w:val="8"/>
        <w:widowControl/>
        <w:shd w:val="clear" w:color="auto" w:fill="FFFFFF"/>
        <w:spacing w:before="0" w:beforeAutospacing="0" w:after="0" w:afterAutospacing="0" w:line="560" w:lineRule="exact"/>
        <w:jc w:val="both"/>
        <w:rPr>
          <w:rFonts w:ascii="黑体" w:hAnsi="黑体" w:eastAsia="黑体" w:cs="黑体"/>
          <w:bCs/>
          <w:color w:val="333333"/>
          <w:sz w:val="32"/>
          <w:szCs w:val="32"/>
          <w:shd w:val="clear" w:color="auto" w:fill="FFFFFF"/>
        </w:rPr>
      </w:pPr>
    </w:p>
    <w:p>
      <w:pPr>
        <w:pStyle w:val="8"/>
        <w:widowControl/>
        <w:shd w:val="clear" w:color="auto" w:fill="FFFFFF"/>
        <w:spacing w:before="0" w:beforeAutospacing="0" w:after="0" w:afterAutospacing="0" w:line="560" w:lineRule="exact"/>
        <w:jc w:val="both"/>
        <w:rPr>
          <w:rFonts w:ascii="黑体" w:hAnsi="黑体" w:eastAsia="黑体" w:cs="黑体"/>
          <w:color w:val="333333"/>
          <w:sz w:val="32"/>
          <w:szCs w:val="32"/>
        </w:rPr>
      </w:pPr>
      <w:r>
        <w:rPr>
          <w:rFonts w:hint="eastAsia" w:ascii="黑体" w:hAnsi="黑体" w:eastAsia="黑体" w:cs="黑体"/>
          <w:bCs/>
          <w:color w:val="333333"/>
          <w:sz w:val="32"/>
          <w:szCs w:val="32"/>
          <w:shd w:val="clear" w:color="auto" w:fill="FFFFFF"/>
        </w:rPr>
        <w:t>四、政府信息公开行政复议、行政诉讼情况</w:t>
      </w:r>
    </w:p>
    <w:tbl>
      <w:tblPr>
        <w:tblStyle w:val="10"/>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4"/>
        <w:gridCol w:w="644"/>
        <w:gridCol w:w="644"/>
        <w:gridCol w:w="644"/>
        <w:gridCol w:w="644"/>
        <w:gridCol w:w="644"/>
        <w:gridCol w:w="644"/>
        <w:gridCol w:w="645"/>
        <w:gridCol w:w="645"/>
        <w:gridCol w:w="645"/>
        <w:gridCol w:w="645"/>
        <w:gridCol w:w="646"/>
        <w:gridCol w:w="646"/>
        <w:gridCol w:w="646"/>
        <w:gridCol w:w="7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7" w:hRule="atLeast"/>
          <w:jc w:val="center"/>
        </w:trPr>
        <w:tc>
          <w:tcPr>
            <w:tcW w:w="32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行政复议</w:t>
            </w:r>
          </w:p>
        </w:tc>
        <w:tc>
          <w:tcPr>
            <w:tcW w:w="65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结果维持</w:t>
            </w:r>
          </w:p>
        </w:tc>
        <w:tc>
          <w:tcPr>
            <w:tcW w:w="64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spacing w:line="560" w:lineRule="exact"/>
            </w:pPr>
            <w:r>
              <w:rPr>
                <w:rFonts w:hint="eastAsia" w:ascii="宋体" w:hAnsi="宋体" w:cs="宋体"/>
                <w:kern w:val="0"/>
                <w:sz w:val="20"/>
                <w:szCs w:val="20"/>
                <w:lang w:bidi="ar"/>
              </w:rPr>
              <w:t>纠正</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spacing w:line="560" w:lineRule="exact"/>
            </w:pPr>
            <w:r>
              <w:rPr>
                <w:rFonts w:hint="eastAsia" w:ascii="宋体" w:hAnsi="宋体" w:cs="宋体"/>
                <w:kern w:val="0"/>
                <w:sz w:val="20"/>
                <w:szCs w:val="20"/>
                <w:lang w:bidi="ar"/>
              </w:rPr>
              <w:t>结果</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spacing w:line="560" w:lineRule="exact"/>
            </w:pPr>
            <w:r>
              <w:rPr>
                <w:rFonts w:hint="eastAsia" w:ascii="宋体" w:hAnsi="宋体" w:cs="宋体"/>
                <w:kern w:val="0"/>
                <w:sz w:val="20"/>
                <w:szCs w:val="20"/>
                <w:lang w:bidi="ar"/>
              </w:rPr>
              <w:t>审结</w:t>
            </w:r>
          </w:p>
        </w:tc>
        <w:tc>
          <w:tcPr>
            <w:tcW w:w="644"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总计</w:t>
            </w:r>
          </w:p>
        </w:tc>
        <w:tc>
          <w:tcPr>
            <w:tcW w:w="322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未经复议直接起诉</w:t>
            </w:r>
          </w:p>
        </w:tc>
        <w:tc>
          <w:tcPr>
            <w:tcW w:w="330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4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44"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spacing w:line="560" w:lineRule="exact"/>
            </w:pPr>
            <w:r>
              <w:rPr>
                <w:rFonts w:hint="eastAsia" w:ascii="宋体" w:hAnsi="宋体" w:cs="宋体"/>
                <w:kern w:val="0"/>
                <w:sz w:val="20"/>
                <w:szCs w:val="20"/>
                <w:lang w:bidi="ar"/>
              </w:rPr>
              <w:t>维持</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spacing w:line="560" w:lineRule="exact"/>
            </w:pPr>
            <w:r>
              <w:rPr>
                <w:rFonts w:hint="eastAsia" w:ascii="宋体" w:hAnsi="宋体" w:cs="宋体"/>
                <w:kern w:val="0"/>
                <w:sz w:val="20"/>
                <w:szCs w:val="20"/>
                <w:lang w:bidi="ar"/>
              </w:rPr>
              <w:t>纠正</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其他</w:t>
            </w:r>
          </w:p>
          <w:p>
            <w:pPr>
              <w:widowControl/>
              <w:spacing w:line="560" w:lineRule="exact"/>
            </w:pPr>
            <w:r>
              <w:rPr>
                <w:rFonts w:hint="eastAsia" w:ascii="宋体" w:hAnsi="宋体" w:cs="宋体"/>
                <w:kern w:val="0"/>
                <w:sz w:val="20"/>
                <w:szCs w:val="20"/>
                <w:lang w:bidi="ar"/>
              </w:rPr>
              <w:t>结果</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spacing w:line="560" w:lineRule="exact"/>
            </w:pPr>
            <w:r>
              <w:rPr>
                <w:rFonts w:hint="eastAsia" w:ascii="宋体" w:hAnsi="宋体" w:cs="宋体"/>
                <w:kern w:val="0"/>
                <w:sz w:val="20"/>
                <w:szCs w:val="20"/>
                <w:lang w:bidi="ar"/>
              </w:rPr>
              <w:t>审结</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color w:val="000000"/>
                <w:kern w:val="0"/>
                <w:sz w:val="20"/>
                <w:szCs w:val="20"/>
                <w:lang w:bidi="ar"/>
              </w:rPr>
              <w:t>总计</w:t>
            </w:r>
          </w:p>
        </w:tc>
        <w:tc>
          <w:tcPr>
            <w:tcW w:w="64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spacing w:line="560" w:lineRule="exact"/>
            </w:pPr>
            <w:r>
              <w:rPr>
                <w:rFonts w:hint="eastAsia" w:ascii="宋体" w:hAnsi="宋体" w:cs="宋体"/>
                <w:kern w:val="0"/>
                <w:sz w:val="20"/>
                <w:szCs w:val="20"/>
                <w:lang w:bidi="ar"/>
              </w:rPr>
              <w:t>维持</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结果</w:t>
            </w:r>
          </w:p>
          <w:p>
            <w:pPr>
              <w:widowControl/>
              <w:spacing w:line="560" w:lineRule="exact"/>
            </w:pPr>
            <w:r>
              <w:rPr>
                <w:rFonts w:hint="eastAsia" w:ascii="宋体" w:hAnsi="宋体" w:cs="宋体"/>
                <w:kern w:val="0"/>
                <w:sz w:val="20"/>
                <w:szCs w:val="20"/>
                <w:lang w:bidi="ar"/>
              </w:rPr>
              <w:t>纠正</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bidi="ar"/>
              </w:rPr>
              <w:t>其他</w:t>
            </w:r>
          </w:p>
          <w:p>
            <w:pPr>
              <w:widowControl/>
              <w:spacing w:line="560" w:lineRule="exact"/>
            </w:pPr>
            <w:r>
              <w:rPr>
                <w:rFonts w:hint="eastAsia" w:ascii="宋体" w:hAnsi="宋体" w:cs="宋体"/>
                <w:color w:val="000000"/>
                <w:kern w:val="0"/>
                <w:sz w:val="20"/>
                <w:szCs w:val="20"/>
                <w:lang w:bidi="ar"/>
              </w:rPr>
              <w:t>结果</w:t>
            </w:r>
          </w:p>
        </w:tc>
        <w:tc>
          <w:tcPr>
            <w:tcW w:w="64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ascii="宋体" w:hAnsi="宋体" w:eastAsia="宋体" w:cs="宋体"/>
                <w:kern w:val="0"/>
                <w:sz w:val="20"/>
                <w:szCs w:val="20"/>
                <w:lang w:eastAsia="zh-CN" w:bidi="ar"/>
              </w:rPr>
            </w:pPr>
            <w:r>
              <w:rPr>
                <w:rFonts w:hint="eastAsia" w:ascii="宋体" w:hAnsi="宋体" w:cs="宋体"/>
                <w:kern w:val="0"/>
                <w:sz w:val="20"/>
                <w:szCs w:val="20"/>
                <w:lang w:bidi="ar"/>
              </w:rPr>
              <w:t>尚未</w:t>
            </w:r>
          </w:p>
          <w:p>
            <w:pPr>
              <w:widowControl/>
              <w:spacing w:line="560" w:lineRule="exact"/>
            </w:pPr>
            <w:r>
              <w:rPr>
                <w:rFonts w:hint="eastAsia" w:ascii="宋体" w:hAnsi="宋体" w:cs="宋体"/>
                <w:kern w:val="0"/>
                <w:sz w:val="20"/>
                <w:szCs w:val="20"/>
                <w:lang w:bidi="ar"/>
              </w:rPr>
              <w:t>审结</w:t>
            </w:r>
          </w:p>
        </w:tc>
        <w:tc>
          <w:tcPr>
            <w:tcW w:w="72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eastAsia="黑体"/>
                <w:lang w:eastAsia="zh-CN"/>
              </w:rPr>
            </w:pPr>
            <w:r>
              <w:rPr>
                <w:rFonts w:hint="eastAsia" w:ascii="黑体" w:hAnsi="宋体" w:eastAsia="黑体" w:cs="黑体"/>
                <w:kern w:val="0"/>
                <w:sz w:val="20"/>
                <w:szCs w:val="20"/>
                <w:lang w:val="en-US" w:eastAsia="zh-CN" w:bidi="ar"/>
              </w:rPr>
              <w:t>2</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eastAsia="黑体"/>
                <w:lang w:eastAsia="zh-CN"/>
              </w:rPr>
            </w:pPr>
            <w:r>
              <w:rPr>
                <w:rFonts w:hint="eastAsia" w:ascii="黑体" w:hAnsi="宋体" w:eastAsia="黑体" w:cs="黑体"/>
                <w:kern w:val="0"/>
                <w:sz w:val="20"/>
                <w:szCs w:val="20"/>
                <w:lang w:val="en-US" w:eastAsia="zh-CN"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eastAsia="黑体"/>
                <w:lang w:eastAsia="zh-CN"/>
              </w:rPr>
            </w:pPr>
            <w:r>
              <w:rPr>
                <w:rFonts w:hint="eastAsia" w:ascii="黑体" w:hAnsi="宋体" w:eastAsia="黑体" w:cs="黑体"/>
                <w:kern w:val="0"/>
                <w:sz w:val="20"/>
                <w:szCs w:val="20"/>
                <w:lang w:val="en-US" w:eastAsia="zh-CN" w:bidi="ar"/>
              </w:rPr>
              <w:t>1</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eastAsia="黑体"/>
                <w:lang w:val="en-US" w:eastAsia="zh-CN"/>
              </w:rPr>
            </w:pPr>
            <w:r>
              <w:rPr>
                <w:rFonts w:hint="eastAsia" w:ascii="黑体" w:hAnsi="宋体" w:eastAsia="黑体" w:cs="黑体"/>
                <w:kern w:val="0"/>
                <w:sz w:val="20"/>
                <w:szCs w:val="20"/>
                <w:lang w:val="en-US" w:eastAsia="zh-CN" w:bidi="ar"/>
              </w:rPr>
              <w:t>3</w:t>
            </w:r>
          </w:p>
        </w:tc>
        <w:tc>
          <w:tcPr>
            <w:tcW w:w="64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rPr>
                <w:rFonts w:hint="eastAsia" w:eastAsia="黑体"/>
                <w:lang w:eastAsia="zh-CN"/>
              </w:rPr>
            </w:pPr>
            <w:r>
              <w:rPr>
                <w:rFonts w:hint="eastAsia" w:ascii="黑体" w:hAnsi="宋体" w:eastAsia="黑体" w:cs="黑体"/>
                <w:kern w:val="0"/>
                <w:sz w:val="20"/>
                <w:szCs w:val="20"/>
                <w:lang w:val="en-US" w:eastAsia="zh-CN"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64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60" w:lineRule="exact"/>
            </w:pPr>
            <w:r>
              <w:rPr>
                <w:rFonts w:hint="eastAsia" w:ascii="黑体" w:hAnsi="宋体" w:eastAsia="黑体" w:cs="黑体"/>
                <w:kern w:val="0"/>
                <w:sz w:val="20"/>
                <w:szCs w:val="20"/>
                <w:lang w:bidi="ar"/>
              </w:rPr>
              <w:t>0</w:t>
            </w:r>
          </w:p>
        </w:tc>
        <w:tc>
          <w:tcPr>
            <w:tcW w:w="72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560" w:lineRule="exact"/>
              <w:rPr>
                <w:rFonts w:ascii="宋体"/>
                <w:sz w:val="24"/>
                <w:szCs w:val="24"/>
              </w:rPr>
            </w:pPr>
            <w:r>
              <w:rPr>
                <w:rFonts w:hint="eastAsia" w:ascii="黑体" w:hAnsi="宋体" w:eastAsia="黑体" w:cs="黑体"/>
                <w:kern w:val="0"/>
                <w:sz w:val="20"/>
                <w:szCs w:val="20"/>
                <w:lang w:bidi="ar"/>
              </w:rPr>
              <w:t>0</w:t>
            </w:r>
          </w:p>
        </w:tc>
      </w:tr>
    </w:tbl>
    <w:p>
      <w:pPr>
        <w:pStyle w:val="8"/>
        <w:widowControl/>
        <w:spacing w:before="0" w:beforeAutospacing="0" w:after="0" w:afterAutospacing="0" w:line="560" w:lineRule="exact"/>
        <w:jc w:val="both"/>
        <w:rPr>
          <w:rFonts w:ascii="仿宋_GB2312" w:hAnsi="仿宋_GB2312" w:eastAsia="仿宋_GB2312" w:cs="仿宋_GB2312"/>
          <w:sz w:val="32"/>
          <w:szCs w:val="32"/>
        </w:rPr>
      </w:pPr>
    </w:p>
    <w:p>
      <w:pPr>
        <w:pStyle w:val="8"/>
        <w:widowControl/>
        <w:numPr>
          <w:ilvl w:val="0"/>
          <w:numId w:val="4"/>
        </w:numPr>
        <w:shd w:val="clear" w:color="auto" w:fill="FFFFFF"/>
        <w:spacing w:before="0" w:beforeAutospacing="0" w:after="0" w:afterAutospacing="0" w:line="560" w:lineRule="exact"/>
        <w:ind w:firstLine="640" w:firstLineChars="200"/>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存在的主要问题及改进情况</w:t>
      </w:r>
    </w:p>
    <w:p>
      <w:pPr>
        <w:pStyle w:val="8"/>
        <w:widowControl/>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202</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年我局</w:t>
      </w:r>
      <w:r>
        <w:rPr>
          <w:rFonts w:hint="eastAsia" w:ascii="仿宋_GB2312" w:hAnsi="仿宋_GB2312" w:eastAsia="仿宋_GB2312" w:cs="仿宋_GB2312"/>
          <w:sz w:val="32"/>
          <w:szCs w:val="32"/>
          <w:shd w:val="clear" w:color="auto" w:fill="FFFFFF"/>
          <w:lang w:val="en-US" w:eastAsia="zh-CN"/>
        </w:rPr>
        <w:t>政务公开</w:t>
      </w:r>
      <w:r>
        <w:rPr>
          <w:rFonts w:hint="eastAsia" w:ascii="仿宋_GB2312" w:hAnsi="仿宋_GB2312" w:eastAsia="仿宋_GB2312" w:cs="仿宋_GB2312"/>
          <w:sz w:val="32"/>
          <w:szCs w:val="32"/>
          <w:shd w:val="clear" w:color="auto" w:fill="FFFFFF"/>
        </w:rPr>
        <w:t>工作</w:t>
      </w:r>
      <w:r>
        <w:rPr>
          <w:rFonts w:hint="eastAsia" w:ascii="仿宋_GB2312" w:hAnsi="仿宋_GB2312" w:eastAsia="仿宋_GB2312" w:cs="仿宋_GB2312"/>
          <w:sz w:val="32"/>
          <w:szCs w:val="32"/>
          <w:shd w:val="clear" w:color="auto" w:fill="FFFFFF"/>
          <w:lang w:val="en-US" w:eastAsia="zh-CN"/>
        </w:rPr>
        <w:t>扎实</w:t>
      </w:r>
      <w:r>
        <w:rPr>
          <w:rFonts w:hint="eastAsia" w:ascii="仿宋_GB2312" w:hAnsi="仿宋_GB2312" w:eastAsia="仿宋_GB2312" w:cs="仿宋_GB2312"/>
          <w:sz w:val="32"/>
          <w:szCs w:val="32"/>
          <w:shd w:val="clear" w:color="auto" w:fill="FFFFFF"/>
        </w:rPr>
        <w:t>推进，但仍存在改进的地方：一是要进一步加大创新探索力度，</w:t>
      </w:r>
      <w:r>
        <w:rPr>
          <w:rFonts w:hint="eastAsia" w:ascii="仿宋_GB2312" w:hAnsi="仿宋_GB2312" w:eastAsia="仿宋_GB2312" w:cs="仿宋_GB2312"/>
          <w:sz w:val="32"/>
          <w:szCs w:val="32"/>
        </w:rPr>
        <w:t>以信息化技术助力政务公开</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充分发挥“龙岗政府在线”门户网站平台的作用，优化升级门户网站，持续加大政府信息公开力度。</w:t>
      </w:r>
      <w:r>
        <w:rPr>
          <w:rFonts w:hint="eastAsia" w:ascii="仿宋_GB2312" w:hAnsi="仿宋_GB2312" w:eastAsia="仿宋_GB2312" w:cs="仿宋_GB2312"/>
          <w:color w:val="000000"/>
          <w:sz w:val="32"/>
          <w:szCs w:val="32"/>
          <w:shd w:val="clear" w:color="auto" w:fill="FFFFFF"/>
        </w:rPr>
        <w:t>二是</w:t>
      </w:r>
      <w:r>
        <w:rPr>
          <w:rFonts w:ascii="仿宋_GB2312" w:hAnsi="Helvetica" w:eastAsia="仿宋_GB2312" w:cs="仿宋_GB2312"/>
          <w:sz w:val="31"/>
          <w:szCs w:val="31"/>
        </w:rPr>
        <w:t>不断强化政府信息与政务公开培训，增强“应公开、尽公开”的意识，</w:t>
      </w:r>
      <w:r>
        <w:rPr>
          <w:rFonts w:hint="eastAsia" w:ascii="仿宋_GB2312" w:hAnsi="Helvetica" w:eastAsia="仿宋_GB2312" w:cs="仿宋_GB2312"/>
          <w:sz w:val="31"/>
          <w:szCs w:val="31"/>
        </w:rPr>
        <w:t>扩宽局</w:t>
      </w:r>
      <w:r>
        <w:rPr>
          <w:rFonts w:ascii="仿宋_GB2312" w:hAnsi="Helvetica" w:eastAsia="仿宋_GB2312" w:cs="仿宋_GB2312"/>
          <w:sz w:val="31"/>
          <w:szCs w:val="31"/>
        </w:rPr>
        <w:t>机关</w:t>
      </w:r>
      <w:r>
        <w:rPr>
          <w:rFonts w:hint="eastAsia" w:ascii="仿宋_GB2312" w:hAnsi="Helvetica" w:eastAsia="仿宋_GB2312" w:cs="仿宋_GB2312"/>
          <w:sz w:val="31"/>
          <w:szCs w:val="31"/>
        </w:rPr>
        <w:t>、大数据中心政府信息公开</w:t>
      </w:r>
      <w:r>
        <w:rPr>
          <w:rFonts w:ascii="仿宋_GB2312" w:hAnsi="Helvetica" w:eastAsia="仿宋_GB2312" w:cs="仿宋_GB2312"/>
          <w:sz w:val="31"/>
          <w:szCs w:val="31"/>
        </w:rPr>
        <w:t>的</w:t>
      </w:r>
      <w:r>
        <w:rPr>
          <w:rFonts w:hint="eastAsia" w:ascii="仿宋_GB2312" w:hAnsi="Helvetica" w:eastAsia="仿宋_GB2312" w:cs="仿宋_GB2312"/>
          <w:sz w:val="31"/>
          <w:szCs w:val="31"/>
        </w:rPr>
        <w:t>范围</w:t>
      </w:r>
      <w:r>
        <w:rPr>
          <w:rFonts w:hint="eastAsia" w:ascii="仿宋_GB2312" w:hAnsi="Helvetica" w:eastAsia="仿宋_GB2312" w:cs="仿宋_GB2312"/>
          <w:sz w:val="31"/>
          <w:szCs w:val="31"/>
          <w:lang w:eastAsia="zh-CN"/>
        </w:rPr>
        <w:t>。</w:t>
      </w:r>
    </w:p>
    <w:p>
      <w:pPr>
        <w:pStyle w:val="8"/>
        <w:widowControl/>
        <w:numPr>
          <w:ilvl w:val="0"/>
          <w:numId w:val="5"/>
        </w:numPr>
        <w:shd w:val="clear" w:color="auto" w:fill="FFFFFF"/>
        <w:spacing w:before="0" w:beforeAutospacing="0" w:after="0" w:afterAutospacing="0" w:line="560" w:lineRule="exact"/>
        <w:ind w:firstLine="640" w:firstLineChars="20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其他需要报告的事项</w:t>
      </w:r>
    </w:p>
    <w:p>
      <w:pPr>
        <w:spacing w:line="560" w:lineRule="exact"/>
        <w:ind w:firstLine="620" w:firstLineChars="200"/>
        <w:rPr>
          <w:rFonts w:ascii="仿宋_GB2312" w:hAnsi="Helvetica" w:eastAsia="仿宋_GB2312" w:cs="仿宋_GB2312"/>
          <w:sz w:val="31"/>
          <w:szCs w:val="31"/>
        </w:rPr>
      </w:pPr>
      <w:r>
        <w:rPr>
          <w:rFonts w:hint="eastAsia" w:ascii="仿宋_GB2312" w:hAnsi="Helvetica" w:eastAsia="仿宋_GB2312" w:cs="仿宋_GB2312"/>
          <w:sz w:val="31"/>
          <w:szCs w:val="31"/>
        </w:rPr>
        <w:t>202</w:t>
      </w:r>
      <w:r>
        <w:rPr>
          <w:rFonts w:hint="eastAsia" w:ascii="仿宋_GB2312" w:hAnsi="Helvetica" w:eastAsia="仿宋_GB2312" w:cs="仿宋_GB2312"/>
          <w:sz w:val="31"/>
          <w:szCs w:val="31"/>
          <w:lang w:val="en-US" w:eastAsia="zh-CN"/>
        </w:rPr>
        <w:t>2</w:t>
      </w:r>
      <w:r>
        <w:rPr>
          <w:rFonts w:hint="eastAsia" w:ascii="仿宋_GB2312" w:hAnsi="Helvetica" w:eastAsia="仿宋_GB2312" w:cs="仿宋_GB2312"/>
          <w:sz w:val="31"/>
          <w:szCs w:val="31"/>
        </w:rPr>
        <w:t>年度，我</w:t>
      </w:r>
      <w:r>
        <w:rPr>
          <w:rFonts w:hint="default" w:ascii="仿宋_GB2312" w:hAnsi="Helvetica" w:eastAsia="仿宋_GB2312" w:cs="仿宋_GB2312"/>
          <w:sz w:val="31"/>
          <w:szCs w:val="31"/>
        </w:rPr>
        <w:t>局</w:t>
      </w:r>
      <w:r>
        <w:rPr>
          <w:rFonts w:hint="default" w:ascii="仿宋_GB2312" w:hAnsi="Helvetica" w:eastAsia="仿宋_GB2312" w:cs="仿宋_GB2312"/>
          <w:kern w:val="2"/>
          <w:sz w:val="31"/>
          <w:szCs w:val="31"/>
          <w:shd w:val="clear" w:color="auto" w:fill="auto"/>
          <w:lang w:bidi="ar"/>
        </w:rPr>
        <w:t>严格</w:t>
      </w:r>
      <w:r>
        <w:rPr>
          <w:rFonts w:hint="default" w:ascii="仿宋_GB2312" w:hAnsi="Helvetica" w:eastAsia="仿宋_GB2312" w:cs="仿宋_GB2312"/>
          <w:kern w:val="2"/>
          <w:sz w:val="31"/>
          <w:szCs w:val="31"/>
          <w:shd w:val="clear" w:color="auto" w:fill="auto"/>
          <w:lang w:val="en-US" w:eastAsia="zh-CN" w:bidi="ar"/>
        </w:rPr>
        <w:t>按照</w:t>
      </w:r>
      <w:r>
        <w:rPr>
          <w:rFonts w:ascii="仿宋_GB2312" w:hAnsi="Helvetica" w:eastAsia="仿宋_GB2312" w:cs="仿宋_GB2312"/>
          <w:i w:val="0"/>
          <w:iCs w:val="0"/>
          <w:caps w:val="0"/>
          <w:color w:val="auto"/>
          <w:spacing w:val="0"/>
          <w:sz w:val="31"/>
          <w:szCs w:val="31"/>
          <w:shd w:val="clear" w:fill="auto"/>
        </w:rPr>
        <w:t>《国务院办公厅关于印发〈政府信息公开信息处理费管理办法〉的通知》（国办函〔2020〕109号）规定的按件、按量收费标准，本年度未产生信息处理费。</w:t>
      </w:r>
    </w:p>
    <w:p>
      <w:pPr>
        <w:pStyle w:val="12"/>
        <w:spacing w:line="560" w:lineRule="exact"/>
        <w:ind w:firstLine="640"/>
        <w:rPr>
          <w:rFonts w:ascii="仿宋_GB2312" w:hAnsi="仿宋_GB2312" w:eastAsia="仿宋_GB2312" w:cs="仿宋_GB2312"/>
          <w:sz w:val="32"/>
          <w:szCs w:val="32"/>
        </w:rPr>
      </w:pPr>
    </w:p>
    <w:p>
      <w:pPr>
        <w:spacing w:line="560" w:lineRule="exact"/>
      </w:pPr>
    </w:p>
    <w:p>
      <w:pPr>
        <w:spacing w:line="560" w:lineRule="exact"/>
        <w:ind w:left="0" w:firstLine="640" w:firstLineChars="200"/>
        <w:rPr>
          <w:rFonts w:ascii="仿宋_GB2312" w:hAnsi="Helvetica" w:eastAsia="仿宋_GB2312" w:cs="仿宋_GB2312"/>
          <w:kern w:val="2"/>
          <w:sz w:val="31"/>
          <w:szCs w:val="31"/>
          <w:shd w:val="clear" w:color="auto" w:fill="auto"/>
          <w:lang w:bidi="ar"/>
        </w:rPr>
      </w:pPr>
      <w:r>
        <w:rPr>
          <w:rFonts w:hint="eastAsia" w:ascii="仿宋" w:hAnsi="仿宋" w:eastAsia="仿宋" w:cs="仿宋"/>
          <w:kern w:val="0"/>
          <w:sz w:val="32"/>
          <w:szCs w:val="32"/>
          <w:shd w:val="clear" w:color="auto" w:fill="FFFFFF"/>
          <w:lang w:bidi="ar"/>
        </w:rPr>
        <w:t xml:space="preserve">                    </w:t>
      </w:r>
      <w:r>
        <w:rPr>
          <w:rFonts w:hint="default" w:ascii="仿宋_GB2312" w:hAnsi="Helvetica" w:eastAsia="仿宋_GB2312" w:cs="仿宋_GB2312"/>
          <w:kern w:val="2"/>
          <w:sz w:val="31"/>
          <w:szCs w:val="31"/>
          <w:shd w:val="clear" w:color="auto" w:fill="auto"/>
          <w:lang w:bidi="ar"/>
        </w:rPr>
        <w:t xml:space="preserve"> 深圳市龙岗区政务服务数据管理局                    </w:t>
      </w:r>
    </w:p>
    <w:p>
      <w:pPr>
        <w:spacing w:line="560" w:lineRule="exact"/>
        <w:ind w:firstLine="620" w:firstLineChars="200"/>
        <w:rPr>
          <w:rFonts w:ascii="仿宋_GB2312" w:hAnsi="Helvetica" w:eastAsia="仿宋_GB2312" w:cs="仿宋_GB2312"/>
          <w:sz w:val="31"/>
          <w:szCs w:val="31"/>
        </w:rPr>
      </w:pPr>
      <w:r>
        <w:rPr>
          <w:rFonts w:hint="default" w:ascii="仿宋_GB2312" w:hAnsi="Helvetica" w:eastAsia="仿宋_GB2312" w:cs="仿宋_GB2312"/>
          <w:kern w:val="2"/>
          <w:sz w:val="31"/>
          <w:szCs w:val="31"/>
          <w:shd w:val="clear" w:color="auto" w:fill="auto"/>
          <w:lang w:bidi="ar"/>
        </w:rPr>
        <w:t xml:space="preserve">                            202</w:t>
      </w:r>
      <w:r>
        <w:rPr>
          <w:rFonts w:hint="default" w:ascii="仿宋_GB2312" w:hAnsi="Helvetica" w:eastAsia="仿宋_GB2312" w:cs="仿宋_GB2312"/>
          <w:kern w:val="2"/>
          <w:sz w:val="31"/>
          <w:szCs w:val="31"/>
          <w:shd w:val="clear" w:color="auto" w:fill="auto"/>
          <w:lang w:val="en-US" w:eastAsia="zh-CN" w:bidi="ar"/>
        </w:rPr>
        <w:t>3</w:t>
      </w:r>
      <w:r>
        <w:rPr>
          <w:rFonts w:hint="default" w:ascii="仿宋_GB2312" w:hAnsi="Helvetica" w:eastAsia="仿宋_GB2312" w:cs="仿宋_GB2312"/>
          <w:kern w:val="2"/>
          <w:sz w:val="31"/>
          <w:szCs w:val="31"/>
          <w:shd w:val="clear" w:color="auto" w:fill="auto"/>
          <w:lang w:bidi="ar"/>
        </w:rPr>
        <w:t>年1月</w:t>
      </w:r>
      <w:r>
        <w:rPr>
          <w:rFonts w:hint="default" w:ascii="仿宋_GB2312" w:hAnsi="Helvetica" w:eastAsia="仿宋_GB2312" w:cs="仿宋_GB2312"/>
          <w:kern w:val="2"/>
          <w:sz w:val="31"/>
          <w:szCs w:val="31"/>
          <w:shd w:val="clear" w:color="auto" w:fill="auto"/>
          <w:lang w:val="en-US" w:eastAsia="zh-CN" w:bidi="ar"/>
        </w:rPr>
        <w:t>30</w:t>
      </w:r>
      <w:r>
        <w:rPr>
          <w:rFonts w:hint="default" w:ascii="仿宋_GB2312" w:hAnsi="Helvetica" w:eastAsia="仿宋_GB2312" w:cs="仿宋_GB2312"/>
          <w:kern w:val="2"/>
          <w:sz w:val="31"/>
          <w:szCs w:val="31"/>
          <w:shd w:val="clear" w:color="auto" w:fill="auto"/>
          <w:lang w:bidi="ar"/>
        </w:rPr>
        <w:t>日</w:t>
      </w:r>
    </w:p>
    <w:p>
      <w:pPr>
        <w:spacing w:line="560" w:lineRule="exact"/>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225391"/>
    </w:sdtPr>
    <w:sdtContent>
      <w:p>
        <w:pPr>
          <w:pStyle w:val="6"/>
          <w:ind w:right="180"/>
          <w:jc w:val="right"/>
        </w:pP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7</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asciiTheme="minorEastAsia" w:hAnsiTheme="minorEastAsia" w:eastAsiaTheme="minorEastAsia"/>
        <w:sz w:val="28"/>
        <w:szCs w:val="28"/>
      </w:rPr>
      <w:t>—</w:t>
    </w:r>
    <w:sdt>
      <w:sdtPr>
        <w:rPr>
          <w:rFonts w:hint="eastAsia" w:asciiTheme="minorEastAsia" w:hAnsiTheme="minorEastAsia" w:eastAsiaTheme="minorEastAsia"/>
          <w:sz w:val="28"/>
          <w:szCs w:val="28"/>
        </w:rPr>
        <w:id w:val="-1380316557"/>
      </w:sdtPr>
      <w:sdtEndPr>
        <w:rPr>
          <w:rFonts w:hint="default" w:ascii="Calibri" w:hAnsi="Calibri" w:eastAsia="宋体"/>
          <w:sz w:val="18"/>
          <w:szCs w:val="18"/>
        </w:rPr>
      </w:sdtEndPr>
      <w:sdtContent>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sdtContent>
    </w:sdt>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9DA6A5"/>
    <w:multiLevelType w:val="singleLevel"/>
    <w:tmpl w:val="449DA6A5"/>
    <w:lvl w:ilvl="0" w:tentative="0">
      <w:start w:val="1"/>
      <w:numFmt w:val="chineseCounting"/>
      <w:suff w:val="nothing"/>
      <w:lvlText w:val="（%1）"/>
      <w:lvlJc w:val="left"/>
      <w:rPr>
        <w:rFonts w:hint="eastAsia"/>
      </w:rPr>
    </w:lvl>
  </w:abstractNum>
  <w:abstractNum w:abstractNumId="1">
    <w:nsid w:val="4DAB82D9"/>
    <w:multiLevelType w:val="singleLevel"/>
    <w:tmpl w:val="4DAB82D9"/>
    <w:lvl w:ilvl="0" w:tentative="0">
      <w:start w:val="1"/>
      <w:numFmt w:val="chineseCounting"/>
      <w:suff w:val="nothing"/>
      <w:lvlText w:val="%1、"/>
      <w:lvlJc w:val="left"/>
      <w:rPr>
        <w:rFonts w:hint="eastAsia"/>
      </w:rPr>
    </w:lvl>
  </w:abstractNum>
  <w:abstractNum w:abstractNumId="2">
    <w:nsid w:val="5FFD282B"/>
    <w:multiLevelType w:val="singleLevel"/>
    <w:tmpl w:val="5FFD282B"/>
    <w:lvl w:ilvl="0" w:tentative="0">
      <w:start w:val="4"/>
      <w:numFmt w:val="chineseCounting"/>
      <w:suff w:val="nothing"/>
      <w:lvlText w:val="（%1）"/>
      <w:lvlJc w:val="left"/>
    </w:lvl>
  </w:abstractNum>
  <w:abstractNum w:abstractNumId="3">
    <w:nsid w:val="5FFE6019"/>
    <w:multiLevelType w:val="singleLevel"/>
    <w:tmpl w:val="5FFE6019"/>
    <w:lvl w:ilvl="0" w:tentative="0">
      <w:start w:val="6"/>
      <w:numFmt w:val="chineseCounting"/>
      <w:suff w:val="nothing"/>
      <w:lvlText w:val="%1、"/>
      <w:lvlJc w:val="left"/>
    </w:lvl>
  </w:abstractNum>
  <w:abstractNum w:abstractNumId="4">
    <w:nsid w:val="6FFA4E49"/>
    <w:multiLevelType w:val="singleLevel"/>
    <w:tmpl w:val="6FFA4E49"/>
    <w:lvl w:ilvl="0" w:tentative="0">
      <w:start w:val="5"/>
      <w:numFmt w:val="chineseCounting"/>
      <w:suff w:val="nothing"/>
      <w:lvlText w:val="%1、"/>
      <w:lvlJc w:val="left"/>
      <w:rPr>
        <w:rFonts w:hint="eastAsia"/>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isplayBackgroundShape w:val="1"/>
  <w:embedSystemFonts/>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3MDk5NDUwMzM1OTZhNGVhOWI0ZmIzYTA4ZmQzZTgifQ=="/>
  </w:docVars>
  <w:rsids>
    <w:rsidRoot w:val="0D1108E6"/>
    <w:rsid w:val="000821A8"/>
    <w:rsid w:val="000F5861"/>
    <w:rsid w:val="00145C0C"/>
    <w:rsid w:val="002849FF"/>
    <w:rsid w:val="008D1395"/>
    <w:rsid w:val="009D17E9"/>
    <w:rsid w:val="00B80C80"/>
    <w:rsid w:val="00DF5CDD"/>
    <w:rsid w:val="00E23E03"/>
    <w:rsid w:val="00E3155B"/>
    <w:rsid w:val="02221EAD"/>
    <w:rsid w:val="033A29E0"/>
    <w:rsid w:val="049A3E33"/>
    <w:rsid w:val="06FC600B"/>
    <w:rsid w:val="074A3353"/>
    <w:rsid w:val="0AF4359C"/>
    <w:rsid w:val="0D1108E6"/>
    <w:rsid w:val="0F17324F"/>
    <w:rsid w:val="15D7539E"/>
    <w:rsid w:val="15D85211"/>
    <w:rsid w:val="19CC4987"/>
    <w:rsid w:val="1B780ECD"/>
    <w:rsid w:val="1C8B0D86"/>
    <w:rsid w:val="1DB64BB3"/>
    <w:rsid w:val="1E8B3DF3"/>
    <w:rsid w:val="1EE47C26"/>
    <w:rsid w:val="266A4D51"/>
    <w:rsid w:val="293C24D6"/>
    <w:rsid w:val="321B6109"/>
    <w:rsid w:val="347F6A9E"/>
    <w:rsid w:val="35846F37"/>
    <w:rsid w:val="36DF5788"/>
    <w:rsid w:val="37DC2C4B"/>
    <w:rsid w:val="38FF5B9D"/>
    <w:rsid w:val="3BE359C8"/>
    <w:rsid w:val="442306FA"/>
    <w:rsid w:val="49505470"/>
    <w:rsid w:val="49A56493"/>
    <w:rsid w:val="4BFB4B72"/>
    <w:rsid w:val="50632B14"/>
    <w:rsid w:val="53EE0737"/>
    <w:rsid w:val="5455030E"/>
    <w:rsid w:val="55213D7B"/>
    <w:rsid w:val="55F73A8A"/>
    <w:rsid w:val="566D2E9B"/>
    <w:rsid w:val="5F6D308F"/>
    <w:rsid w:val="61131D47"/>
    <w:rsid w:val="623122C8"/>
    <w:rsid w:val="62A60A33"/>
    <w:rsid w:val="63657FDA"/>
    <w:rsid w:val="66C642B8"/>
    <w:rsid w:val="680832B7"/>
    <w:rsid w:val="6B0366DC"/>
    <w:rsid w:val="6C16515A"/>
    <w:rsid w:val="6EA025D0"/>
    <w:rsid w:val="734D5AA4"/>
    <w:rsid w:val="76B24D0C"/>
    <w:rsid w:val="7CE7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outlineLvl w:val="0"/>
    </w:pPr>
    <w:rPr>
      <w:rFonts w:eastAsia="黑体"/>
      <w:kern w:val="44"/>
      <w:sz w:val="32"/>
    </w:rPr>
  </w:style>
  <w:style w:type="character" w:default="1" w:styleId="11">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Calibri" w:hAnsi="Calibri"/>
    </w:rPr>
  </w:style>
  <w:style w:type="paragraph" w:styleId="4">
    <w:name w:val="Body Text Indent"/>
    <w:basedOn w:val="1"/>
    <w:qFormat/>
    <w:uiPriority w:val="0"/>
    <w:pPr>
      <w:spacing w:after="120" w:line="400" w:lineRule="exact"/>
    </w:pPr>
    <w:rPr>
      <w:rFonts w:ascii="仿宋_GB2312" w:hAnsi="仿宋_GB2312" w:eastAsia="仿宋" w:cs="仿宋_GB2312"/>
      <w:color w:val="000000"/>
      <w:kern w:val="1"/>
      <w:szCs w:val="20"/>
    </w:rPr>
  </w:style>
  <w:style w:type="paragraph" w:styleId="5">
    <w:name w:val="Balloon Text"/>
    <w:basedOn w:val="1"/>
    <w:link w:val="13"/>
    <w:qFormat/>
    <w:uiPriority w:val="0"/>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spacing w:before="100" w:beforeAutospacing="1" w:after="100" w:afterAutospacing="1"/>
      <w:jc w:val="left"/>
    </w:pPr>
    <w:rPr>
      <w:kern w:val="0"/>
      <w:sz w:val="24"/>
    </w:rPr>
  </w:style>
  <w:style w:type="paragraph" w:styleId="9">
    <w:name w:val="Body Text First Indent 2"/>
    <w:basedOn w:val="4"/>
    <w:next w:val="1"/>
    <w:unhideWhenUsed/>
    <w:qFormat/>
    <w:uiPriority w:val="0"/>
    <w:pPr>
      <w:tabs>
        <w:tab w:val="left" w:pos="0"/>
      </w:tabs>
    </w:pPr>
    <w:rPr>
      <w:rFonts w:ascii="Calibri" w:hAnsi="Calibri"/>
      <w:sz w:val="28"/>
      <w:szCs w:val="22"/>
    </w:rPr>
  </w:style>
  <w:style w:type="paragraph" w:customStyle="1" w:styleId="12">
    <w:name w:val="列出段落1"/>
    <w:basedOn w:val="1"/>
    <w:next w:val="1"/>
    <w:qFormat/>
    <w:uiPriority w:val="99"/>
    <w:pPr>
      <w:ind w:firstLine="420" w:firstLineChars="200"/>
    </w:pPr>
  </w:style>
  <w:style w:type="character" w:customStyle="1" w:styleId="13">
    <w:name w:val="批注框文本 Char"/>
    <w:basedOn w:val="11"/>
    <w:link w:val="5"/>
    <w:qFormat/>
    <w:uiPriority w:val="0"/>
    <w:rPr>
      <w:rFonts w:ascii="Calibri" w:hAnsi="Calibri"/>
      <w:kern w:val="2"/>
      <w:sz w:val="18"/>
      <w:szCs w:val="18"/>
    </w:rPr>
  </w:style>
  <w:style w:type="character" w:customStyle="1" w:styleId="14">
    <w:name w:val="页脚 Char"/>
    <w:basedOn w:val="11"/>
    <w:link w:val="6"/>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8</Pages>
  <Words>3340</Words>
  <Characters>3465</Characters>
  <Lines>28</Lines>
  <Paragraphs>7</Paragraphs>
  <TotalTime>20</TotalTime>
  <ScaleCrop>false</ScaleCrop>
  <LinksUpToDate>false</LinksUpToDate>
  <CharactersWithSpaces>3540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2022-01-28T01:30:00Z</dcterms:created>
  <dc:creator>谭阳洋</dc:creator>
  <cp:lastModifiedBy>小熊饼干</cp:lastModifiedBy>
  <dcterms:modified xsi:type="dcterms:W3CDTF">2023-01-31T09:43:49Z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CF92C37473EF4FA1A1EE4A797DBF210C</vt:lpwstr>
  </property>
</Properties>
</file>