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cs="宋体"/>
          <w:b/>
          <w:bCs/>
          <w:color w:val="000033"/>
          <w:kern w:val="0"/>
          <w:sz w:val="40"/>
          <w:szCs w:val="40"/>
          <w:lang w:eastAsia="zh-CN"/>
        </w:rPr>
        <w:t>皮肤科过敏原检测试剂</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2023-05</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bookmarkStart w:id="0" w:name="_GoBack"/>
      <w:bookmarkEnd w:id="0"/>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sz w:val="24"/>
                <w:szCs w:val="24"/>
                <w:lang w:val="en-US" w:eastAsia="zh-CN"/>
              </w:rPr>
              <w:t>过敏原特异性IgE抗体检测仪及试剂</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ZTA4YjJjYjkxMDBkNDcxNGEyM2E3OTdkZDNiNTYifQ=="/>
  </w:docVars>
  <w:rsids>
    <w:rsidRoot w:val="00C2492C"/>
    <w:rsid w:val="00140F89"/>
    <w:rsid w:val="0085240D"/>
    <w:rsid w:val="00AB6EF5"/>
    <w:rsid w:val="00C2492C"/>
    <w:rsid w:val="03841A02"/>
    <w:rsid w:val="074C3197"/>
    <w:rsid w:val="0BAC2C52"/>
    <w:rsid w:val="1251598A"/>
    <w:rsid w:val="1445133B"/>
    <w:rsid w:val="19C44AD6"/>
    <w:rsid w:val="1B647444"/>
    <w:rsid w:val="22F523F8"/>
    <w:rsid w:val="23E56CE2"/>
    <w:rsid w:val="24C20151"/>
    <w:rsid w:val="25427464"/>
    <w:rsid w:val="2B1A347B"/>
    <w:rsid w:val="30504035"/>
    <w:rsid w:val="34367ABB"/>
    <w:rsid w:val="381B3253"/>
    <w:rsid w:val="3C9879F3"/>
    <w:rsid w:val="3EA206DC"/>
    <w:rsid w:val="41E46BE4"/>
    <w:rsid w:val="4DF32ED0"/>
    <w:rsid w:val="573B05CC"/>
    <w:rsid w:val="59E11AC0"/>
    <w:rsid w:val="59F71B9F"/>
    <w:rsid w:val="5B7C7C5E"/>
    <w:rsid w:val="5BF41392"/>
    <w:rsid w:val="5E937E40"/>
    <w:rsid w:val="64E76E33"/>
    <w:rsid w:val="66E82D23"/>
    <w:rsid w:val="6BC54A1B"/>
    <w:rsid w:val="6E42590F"/>
    <w:rsid w:val="724A29DD"/>
    <w:rsid w:val="7C5B50C1"/>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3492</Words>
  <Characters>3622</Characters>
  <Lines>31</Lines>
  <Paragraphs>8</Paragraphs>
  <TotalTime>3</TotalTime>
  <ScaleCrop>false</ScaleCrop>
  <LinksUpToDate>false</LinksUpToDate>
  <CharactersWithSpaces>3953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sbk</cp:lastModifiedBy>
  <cp:lastPrinted>2021-03-08T07:13:00Z</cp:lastPrinted>
  <dcterms:modified xsi:type="dcterms:W3CDTF">2023-01-28T00:57:25Z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A5DD19D57D984C1E9088F04CF71AA12A</vt:lpwstr>
  </property>
</Properties>
</file>