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  <w:t>附件</w:t>
      </w: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关于《深圳市龙岗区发展和改革局“深龙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英才计划”重点企业遴选操作规程》的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起草说明</w:t>
      </w:r>
    </w:p>
    <w:p>
      <w:pPr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snapToGrid w:val="0"/>
        <w:spacing w:line="560" w:lineRule="exact"/>
        <w:ind w:firstLine="640" w:firstLineChars="200"/>
        <w:rPr>
          <w:rStyle w:val="8"/>
          <w:rFonts w:hint="eastAsia" w:ascii="CESI仿宋-GB2312" w:hAnsi="CESI仿宋-GB2312" w:eastAsia="CESI仿宋-GB2312" w:cs="CESI仿宋-GB23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一、相关背景</w:t>
      </w:r>
      <w:r>
        <w:rPr>
          <w:rFonts w:hint="default" w:ascii="黑体" w:hAnsi="黑体" w:eastAsia="黑体" w:cs="黑体"/>
          <w:color w:val="auto"/>
          <w:sz w:val="32"/>
          <w:szCs w:val="32"/>
          <w:lang w:eastAsia="zh-CN"/>
        </w:rPr>
        <w:t>及必要性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为深入推进重点企业遴选工作，助力企业引才留才，根据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龙岗区“深龙英才计划”有关工作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要求，结合实际</w:t>
      </w:r>
      <w:r>
        <w:rPr>
          <w:rStyle w:val="8"/>
          <w:rFonts w:hint="eastAsia" w:ascii="CESI仿宋-GB2312" w:hAnsi="CESI仿宋-GB2312" w:eastAsia="CESI仿宋-GB2312" w:cs="CESI仿宋-GB2312"/>
          <w:sz w:val="32"/>
          <w:szCs w:val="32"/>
        </w:rPr>
        <w:t>制定了《深圳市龙岗区发展和改革局“深龙英才计划”重点企业遴选操作规程》（以下简称《操作规程》）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</w:t>
      </w:r>
      <w:r>
        <w:rPr>
          <w:rFonts w:hint="default" w:ascii="黑体" w:hAnsi="黑体" w:eastAsia="黑体" w:cs="黑体"/>
          <w:color w:val="auto"/>
          <w:sz w:val="32"/>
          <w:szCs w:val="32"/>
          <w:lang w:eastAsia="zh-CN"/>
        </w:rPr>
        <w:t>起草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依据</w:t>
      </w:r>
    </w:p>
    <w:p>
      <w:pPr>
        <w:snapToGrid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为持续贯彻新时代人才工作的新理念新战略新举措，全面落实中央、省委、市委、区委有关决策部署，坚持“引育并举”“精准评价”“部门联动”原则，围绕“11+2”战略性新兴产业和未来产业集群，聚焦我区“3+4”重点产业发展方向，遵循企业发展和人才成长规律，促进靶向支持重点企业引育人才工作顺利开展，推动人才引领龙岗产业高质量发展，依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“深龙英才计划”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有关工作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要求，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局</w:t>
      </w:r>
      <w:r>
        <w:rPr>
          <w:rFonts w:hint="default" w:ascii="仿宋_GB2312" w:eastAsia="仿宋_GB2312"/>
          <w:color w:val="auto"/>
          <w:sz w:val="32"/>
          <w:szCs w:val="32"/>
          <w:lang w:eastAsia="zh-CN"/>
        </w:rPr>
        <w:t>起草了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《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操作规程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0"/>
        <w:rPr>
          <w:rFonts w:hint="eastAsia" w:ascii="CESI黑体-GB2312" w:hAnsi="CESI黑体-GB2312" w:eastAsia="CESI黑体-GB2312" w:cs="CESI黑体-GB2312"/>
          <w:b w:val="0"/>
          <w:bCs/>
          <w:sz w:val="30"/>
          <w:szCs w:val="30"/>
          <w:lang w:eastAsia="zh-CN"/>
        </w:rPr>
      </w:pPr>
      <w:r>
        <w:rPr>
          <w:rFonts w:hint="eastAsia" w:ascii="CESI黑体-GB2312" w:hAnsi="CESI黑体-GB2312" w:eastAsia="CESI黑体-GB2312" w:cs="CESI黑体-GB2312"/>
          <w:b w:val="0"/>
          <w:bCs/>
          <w:sz w:val="30"/>
          <w:szCs w:val="30"/>
          <w:lang w:eastAsia="zh-CN"/>
        </w:rPr>
        <w:t>三、主要内容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outlineLvl w:val="9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《</w:t>
      </w:r>
      <w:r>
        <w:rPr>
          <w:rStyle w:val="8"/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操作规程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》共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六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章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12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条，具体包括：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 xml:space="preserve"> 第一章总则，共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条。明确《</w:t>
      </w:r>
      <w:r>
        <w:rPr>
          <w:rStyle w:val="8"/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操作规程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》制定的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背景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，</w:t>
      </w:r>
      <w:r>
        <w:rPr>
          <w:rFonts w:hint="default" w:ascii="仿宋_GB2312" w:eastAsia="仿宋_GB2312"/>
          <w:color w:val="auto"/>
          <w:sz w:val="32"/>
          <w:szCs w:val="32"/>
          <w:lang w:eastAsia="zh-CN"/>
        </w:rPr>
        <w:t>以及入选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企业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可享受的政策待遇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第二章申报对象，共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条。</w:t>
      </w:r>
      <w:r>
        <w:rPr>
          <w:rFonts w:hint="default" w:ascii="仿宋_GB2312" w:eastAsia="仿宋_GB2312"/>
          <w:color w:val="auto"/>
          <w:sz w:val="32"/>
          <w:szCs w:val="32"/>
          <w:lang w:eastAsia="zh-CN"/>
        </w:rPr>
        <w:t>明确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新企业</w:t>
      </w:r>
      <w:r>
        <w:rPr>
          <w:rFonts w:hint="default" w:ascii="仿宋_GB2312" w:eastAsia="仿宋_GB2312"/>
          <w:color w:val="auto"/>
          <w:sz w:val="32"/>
          <w:szCs w:val="32"/>
          <w:lang w:eastAsia="zh-CN"/>
        </w:rPr>
        <w:t>申报主体资格条件，包括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实际经营地</w:t>
      </w:r>
      <w:r>
        <w:rPr>
          <w:rFonts w:hint="default" w:ascii="仿宋_GB2312" w:eastAsia="仿宋_GB2312"/>
          <w:color w:val="auto"/>
          <w:sz w:val="32"/>
          <w:szCs w:val="32"/>
          <w:lang w:eastAsia="zh-CN"/>
        </w:rPr>
        <w:t>、行业类别、征信情况等。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第三章遴选标准及积分规则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，共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条。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明确</w:t>
      </w:r>
      <w:r>
        <w:rPr>
          <w:rFonts w:hint="default" w:ascii="仿宋_GB2312" w:eastAsia="仿宋_GB2312"/>
          <w:color w:val="auto"/>
          <w:sz w:val="32"/>
          <w:szCs w:val="32"/>
          <w:lang w:eastAsia="zh-CN"/>
        </w:rPr>
        <w:t>重点企业遴选的入选企业数量、遴选方法、遴选标准等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第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四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章申报程序，共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条。</w:t>
      </w:r>
      <w:r>
        <w:rPr>
          <w:rFonts w:hint="default" w:ascii="仿宋_GB2312" w:eastAsia="仿宋_GB2312"/>
          <w:color w:val="auto"/>
          <w:sz w:val="32"/>
          <w:szCs w:val="32"/>
          <w:lang w:eastAsia="zh-CN"/>
        </w:rPr>
        <w:t>确定重点企业申报及审定程序，包括发布申报指南、申报材料、企业申报程序、产业主管部门审定程序、公示及告知程序等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第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五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章监督管理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，共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条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。</w:t>
      </w:r>
      <w:r>
        <w:rPr>
          <w:rFonts w:hint="default" w:ascii="仿宋_GB2312" w:eastAsia="仿宋_GB2312"/>
          <w:color w:val="auto"/>
          <w:sz w:val="32"/>
          <w:szCs w:val="32"/>
          <w:lang w:eastAsia="zh-CN"/>
        </w:rPr>
        <w:t>规定入选重点企业后续动态监督管理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及资格中止及失信惩罚机制。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第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六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章附则，共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条。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明</w:t>
      </w:r>
      <w:r>
        <w:rPr>
          <w:rFonts w:hint="default" w:ascii="仿宋_GB2312" w:eastAsia="仿宋_GB2312"/>
          <w:color w:val="auto"/>
          <w:sz w:val="32"/>
          <w:szCs w:val="32"/>
          <w:lang w:eastAsia="zh-CN"/>
        </w:rPr>
        <w:t>确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解释</w:t>
      </w:r>
      <w:r>
        <w:rPr>
          <w:rFonts w:hint="default" w:ascii="仿宋_GB2312" w:eastAsia="仿宋_GB2312"/>
          <w:color w:val="auto"/>
          <w:sz w:val="32"/>
          <w:szCs w:val="32"/>
          <w:lang w:eastAsia="zh-CN"/>
        </w:rPr>
        <w:t>部门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eastAsia="仿宋_GB2312"/>
          <w:color w:val="auto"/>
          <w:sz w:val="32"/>
          <w:szCs w:val="32"/>
          <w:lang w:eastAsia="zh-CN"/>
        </w:rPr>
        <w:t>有效期等内容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lang w:eastAsia="zh-CN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jNDYzMzVkZmRhNjY0ZWQ2YjMzMjRkOTNkYzNiODUifQ=="/>
  </w:docVars>
  <w:rsids>
    <w:rsidRoot w:val="4A1947CF"/>
    <w:rsid w:val="377E2754"/>
    <w:rsid w:val="3B7C221D"/>
    <w:rsid w:val="4A1947CF"/>
    <w:rsid w:val="5F4B515C"/>
    <w:rsid w:val="6E0FFBFD"/>
    <w:rsid w:val="6F64544F"/>
    <w:rsid w:val="7F771D39"/>
    <w:rsid w:val="99FF19A6"/>
    <w:rsid w:val="B9675FD6"/>
    <w:rsid w:val="FCAE716F"/>
    <w:rsid w:val="FFB6D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34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3"/>
    <w:qFormat/>
    <w:uiPriority w:val="0"/>
    <w:pPr>
      <w:ind w:firstLine="420" w:firstLineChars="200"/>
    </w:pPr>
    <w:rPr>
      <w:rFonts w:eastAsia="宋体"/>
    </w:rPr>
  </w:style>
  <w:style w:type="character" w:customStyle="1" w:styleId="8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623</Words>
  <Characters>629</Characters>
  <Lines>0</Lines>
  <Paragraphs>0</Paragraphs>
  <TotalTime>2</TotalTime>
  <ScaleCrop>false</ScaleCrop>
  <LinksUpToDate>false</LinksUpToDate>
  <CharactersWithSpaces>630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2018-07-12T23:11:00Z</dcterms:created>
  <dc:creator>d</dc:creator>
  <cp:lastModifiedBy>温秋菊收文</cp:lastModifiedBy>
  <dcterms:modified xsi:type="dcterms:W3CDTF">2023-01-19T21:33:24Z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975948FF2E53C48ECA92B663ED64EB12</vt:lpwstr>
  </property>
</Properties>
</file>