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XM20230037）</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left"/>
        <w:rPr>
          <w:rFonts w:hint="eastAsia" w:ascii="楷体_GB2312" w:hAnsi="宋体" w:eastAsia="楷体_GB2312" w:cs="宋体"/>
          <w:sz w:val="24"/>
        </w:rPr>
      </w:pPr>
      <w:r>
        <w:rPr>
          <w:rFonts w:hint="eastAsia" w:ascii="楷体_GB2312" w:hAnsi="宋体" w:eastAsia="楷体_GB2312" w:cs="宋体"/>
          <w:sz w:val="24"/>
        </w:rPr>
        <w:t>一、</w:t>
      </w:r>
      <w:r>
        <w:rPr>
          <w:rFonts w:hint="eastAsia" w:ascii="楷体_GB2312" w:hAnsi="宋体" w:eastAsia="楷体_GB2312" w:cs="宋体"/>
          <w:sz w:val="24"/>
          <w:lang w:val="en-US" w:eastAsia="zh-CN"/>
        </w:rPr>
        <w:t>北京中医药大学深圳医院（龙岗）关于医用专科材料议价公告（项目编号：XM20230037）</w:t>
      </w:r>
    </w:p>
    <w:p>
      <w:pPr>
        <w:widowControl/>
        <w:jc w:val="left"/>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根据《深圳市卫生系统医用耗材采购管理办法（试行）》的规定，我院近期将对一批医用专科材料进行院内公开招标，欢迎符合资质要求的供应商积极参加与竞争。</w:t>
      </w:r>
    </w:p>
    <w:p>
      <w:pPr>
        <w:widowControl/>
        <w:jc w:val="left"/>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签订采</w:t>
      </w:r>
      <w:r>
        <w:rPr>
          <w:rFonts w:hint="eastAsia" w:ascii="楷体_GB2312" w:hAnsi="宋体" w:eastAsia="楷体_GB2312" w:cs="宋体"/>
          <w:sz w:val="24"/>
          <w:lang w:val="en-US" w:eastAsia="zh-CN"/>
        </w:rPr>
        <w:t>18</w:t>
      </w:r>
      <w:r>
        <w:rPr>
          <w:rFonts w:hint="eastAsia" w:ascii="楷体_GB2312" w:hAnsi="宋体" w:eastAsia="楷体_GB2312" w:cs="宋体"/>
          <w:sz w:val="24"/>
        </w:rPr>
        <w:t>个月的供货合同，按需采购。</w:t>
      </w:r>
    </w:p>
    <w:p>
      <w:pPr>
        <w:widowControl/>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，否则视为不合格（证件、资料全部加盖公章）</w:t>
      </w:r>
      <w:r>
        <w:rPr>
          <w:rFonts w:hint="eastAsia" w:ascii="楷体_GB2312" w:hAnsi="宋体" w:eastAsia="楷体_GB2312" w:cs="宋体"/>
          <w:sz w:val="24"/>
        </w:rPr>
        <w:t>。</w:t>
      </w:r>
    </w:p>
    <w:p>
      <w:pPr>
        <w:widowControl/>
        <w:jc w:val="left"/>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未被列入失信被执行人、重大税收违法案件当事人名单、政府采购严重违法失信行为记录名单。注：“信用中国”“中国政府采购网”“深圳信用网”以及“深圳市政府采购监管网”为供应商信用信息的查询渠道</w:t>
      </w:r>
      <w:r>
        <w:rPr>
          <w:rFonts w:hint="eastAsia" w:ascii="楷体_GB2312" w:hAnsi="宋体" w:eastAsia="楷体_GB2312" w:cs="宋体"/>
          <w:sz w:val="24"/>
        </w:rPr>
        <w:t>。</w:t>
      </w:r>
    </w:p>
    <w:p>
      <w:pPr>
        <w:widowControl/>
        <w:jc w:val="left"/>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法，第二轮采用</w:t>
      </w:r>
      <w:r>
        <w:rPr>
          <w:rFonts w:hint="eastAsia" w:ascii="楷体_GB2312" w:hAnsi="宋体" w:eastAsia="楷体_GB2312" w:cs="宋体"/>
          <w:sz w:val="24"/>
        </w:rPr>
        <w:t>竞价</w:t>
      </w:r>
      <w:r>
        <w:rPr>
          <w:rFonts w:hint="eastAsia" w:ascii="楷体_GB2312" w:hAnsi="宋体" w:eastAsia="楷体_GB2312" w:cs="宋体"/>
          <w:sz w:val="24"/>
          <w:lang w:eastAsia="zh-CN"/>
        </w:rPr>
        <w:t>或议价</w:t>
      </w:r>
      <w:r>
        <w:rPr>
          <w:rFonts w:hint="eastAsia" w:ascii="楷体_GB2312" w:hAnsi="宋体" w:eastAsia="楷体_GB2312" w:cs="宋体"/>
          <w:sz w:val="24"/>
        </w:rPr>
        <w:t>的采购方式。</w:t>
      </w:r>
    </w:p>
    <w:p>
      <w:pPr>
        <w:widowControl/>
        <w:jc w:val="left"/>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w:t>
      </w:r>
      <w:r>
        <w:rPr>
          <w:rFonts w:hint="eastAsia" w:ascii="楷体_GB2312" w:hAnsi="宋体" w:eastAsia="楷体_GB2312" w:cs="宋体"/>
          <w:sz w:val="24"/>
        </w:rPr>
        <w:t>通知。</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（一）报名时间：有意参加投标的供应商请于</w:t>
      </w:r>
      <w:r>
        <w:rPr>
          <w:rFonts w:hint="eastAsia" w:ascii="楷体_GB2312" w:hAnsi="宋体" w:eastAsia="楷体_GB2312" w:cs="宋体"/>
          <w:sz w:val="24"/>
          <w:lang w:val="en-US" w:eastAsia="zh-CN"/>
        </w:rPr>
        <w:t>2023</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1</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9</w:t>
      </w:r>
      <w:r>
        <w:rPr>
          <w:rFonts w:hint="eastAsia" w:ascii="楷体_GB2312" w:hAnsi="宋体" w:eastAsia="楷体_GB2312" w:cs="宋体"/>
          <w:sz w:val="24"/>
          <w:lang w:eastAsia="zh-CN"/>
        </w:rPr>
        <w:t>日至</w:t>
      </w:r>
      <w:r>
        <w:rPr>
          <w:rFonts w:hint="eastAsia" w:ascii="楷体_GB2312" w:hAnsi="宋体" w:eastAsia="楷体_GB2312" w:cs="宋体"/>
          <w:sz w:val="24"/>
          <w:lang w:val="en-US" w:eastAsia="zh-CN"/>
        </w:rPr>
        <w:t>2023</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1</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13</w:t>
      </w:r>
      <w:r>
        <w:rPr>
          <w:rFonts w:hint="eastAsia" w:ascii="楷体_GB2312" w:hAnsi="宋体" w:eastAsia="楷体_GB2312" w:cs="宋体"/>
          <w:sz w:val="24"/>
          <w:lang w:eastAsia="zh-CN"/>
        </w:rPr>
        <w:t>日下午5：00前进行线上报名，逾期不予受理。</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（三）递交资料地点：北京中医药大学深圳医院（龙岗）科教楼招采办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jc w:val="left"/>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w:t>
      </w:r>
      <w:r>
        <w:rPr>
          <w:rFonts w:hint="eastAsia" w:ascii="楷体_GB2312" w:hAnsi="宋体" w:eastAsia="楷体_GB2312" w:cs="宋体"/>
          <w:sz w:val="24"/>
          <w:lang w:eastAsia="zh-CN"/>
        </w:rPr>
        <w:t>：</w:t>
      </w:r>
      <w:r>
        <w:rPr>
          <w:rFonts w:hint="eastAsia" w:ascii="楷体_GB2312" w:hAnsi="宋体" w:eastAsia="楷体_GB2312" w:cs="宋体"/>
          <w:sz w:val="24"/>
        </w:rPr>
        <w:t>0755-28338833转3318，廖老师。</w:t>
      </w: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w:t>
      </w:r>
      <w:r>
        <w:rPr>
          <w:rFonts w:hint="eastAsia" w:ascii="楷体_GB2312" w:hAnsi="宋体" w:eastAsia="楷体_GB2312" w:cs="宋体"/>
          <w:sz w:val="24"/>
          <w:lang w:eastAsia="zh-CN"/>
        </w:rPr>
        <w:t>，如提供虚假材料，移交上级有关部门处理并列不良记录名单且三年内不得在我院投标；上述每一条款必须实质性满足和响应，否则投标无效；政策性原因：若因政府统一招标，将按政府招标结果执行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rPr>
        <w:t>附件</w:t>
      </w:r>
      <w:r>
        <w:rPr>
          <w:rFonts w:hint="eastAsia" w:ascii="楷体_GB2312" w:hAnsi="宋体" w:eastAsia="楷体_GB2312" w:cs="宋体"/>
          <w:sz w:val="24"/>
          <w:lang w:eastAsia="zh-CN"/>
        </w:rPr>
        <w:t>一</w:t>
      </w:r>
      <w:r>
        <w:rPr>
          <w:rFonts w:hint="eastAsia" w:ascii="楷体_GB2312" w:hAnsi="宋体" w:eastAsia="楷体_GB2312" w:cs="宋体"/>
          <w:sz w:val="24"/>
        </w:rPr>
        <w:t>：</w:t>
      </w:r>
      <w:r>
        <w:rPr>
          <w:rFonts w:hint="eastAsia" w:ascii="楷体_GB2312" w:hAnsi="宋体" w:eastAsia="楷体_GB2312" w:cs="宋体"/>
          <w:sz w:val="24"/>
          <w:lang w:val="zh-CN"/>
        </w:rPr>
        <w:t>北京中医药大学深圳医院（龙岗）医用耗材采购文件</w:t>
      </w:r>
    </w:p>
    <w:p>
      <w:pPr>
        <w:widowControl/>
        <w:jc w:val="left"/>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附件二：线上报名流程</w:t>
      </w: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r>
        <w:rPr>
          <w:rFonts w:hint="eastAsia" w:ascii="楷体_GB2312" w:hAnsi="宋体" w:eastAsia="楷体_GB2312" w:cs="宋体"/>
          <w:sz w:val="24"/>
          <w:lang w:val="en-US" w:eastAsia="zh-CN"/>
        </w:rPr>
        <w:t>2023</w:t>
      </w:r>
      <w:r>
        <w:rPr>
          <w:rFonts w:hint="eastAsia" w:ascii="楷体_GB2312" w:hAnsi="宋体" w:eastAsia="楷体_GB2312" w:cs="宋体"/>
          <w:sz w:val="24"/>
        </w:rPr>
        <w:t>年</w:t>
      </w:r>
      <w:r>
        <w:rPr>
          <w:rFonts w:hint="eastAsia" w:ascii="楷体_GB2312" w:hAnsi="宋体" w:eastAsia="楷体_GB2312" w:cs="宋体"/>
          <w:sz w:val="24"/>
          <w:lang w:val="en-US" w:eastAsia="zh-CN"/>
        </w:rPr>
        <w:t>1</w:t>
      </w:r>
      <w:r>
        <w:rPr>
          <w:rFonts w:hint="eastAsia" w:ascii="楷体_GB2312" w:hAnsi="宋体" w:eastAsia="楷体_GB2312" w:cs="宋体"/>
          <w:sz w:val="24"/>
        </w:rPr>
        <w:t>月</w:t>
      </w:r>
      <w:r>
        <w:rPr>
          <w:rFonts w:hint="eastAsia" w:ascii="楷体_GB2312" w:hAnsi="宋体" w:eastAsia="楷体_GB2312" w:cs="宋体"/>
          <w:sz w:val="24"/>
          <w:lang w:val="en-US" w:eastAsia="zh-CN"/>
        </w:rPr>
        <w:t>6</w:t>
      </w:r>
      <w:r>
        <w:rPr>
          <w:rFonts w:hint="eastAsia" w:ascii="楷体_GB2312" w:hAnsi="宋体" w:eastAsia="楷体_GB2312" w:cs="宋体"/>
          <w:sz w:val="24"/>
        </w:rPr>
        <w:t>日</w:t>
      </w: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Style w:val="12"/>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1257"/>
        <w:gridCol w:w="2754"/>
        <w:gridCol w:w="1885"/>
        <w:gridCol w:w="2482"/>
        <w:gridCol w:w="1222"/>
        <w:gridCol w:w="866"/>
        <w:gridCol w:w="1222"/>
        <w:gridCol w:w="712"/>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包类</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采购项目名称</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参数需求</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最高限价（元）</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最高限价单位</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预计未来一年需求量</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需求科室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超敏C反应蛋白(hs—CRP)测定试剂盒(乳胶增强免疫散射比浊法)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适用于全自动血液细胞分析仪BC-5385crp配套试剂及耗材</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10.80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常规血球CRP乳胶试剂（C-Ⅱ）</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M-5DP稀释液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MA-5 LEO(I)溶血剂</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MA-5 LEO(II)溶血剂</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MA-5LH溶血剂</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探头清洁液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中文/50mL×1</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血细胞分析用溶血剂</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中文/200mL×1</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血细胞分析用溶血剂</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中文/200mL×4</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C-反应蛋白(CRP)校准品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BC-5D质控物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高值/3mL*6</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BC-5D质控物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中值/3mL*6</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BC-5D质控物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低值/3mL*6</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血细胞分析仪用质控物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高值</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3mL×1</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487.00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血细胞分析仪用质控物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中值</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3mL×1</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487.00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血细胞分析仪用质控物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低值</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3mL×1</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487.00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BC-5D质控物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高中低值各2</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支/3mL*6</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血细胞分析仪用校准物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3mL*2</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1433.00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甲胎蛋白检测试剂盒（电化学发光法）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适用于全自动化学发光免疫分析仪Cobas 8000 e602配套试剂及耗材</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2158.45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甲胎蛋白检测试剂盒（电化学发光法）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3296.45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癌胚抗原测定试剂盒(电化学发光法)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2158.45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癌胚抗原测定试剂盒(电化学发光法)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4321.60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总前列腺特异性抗原（PSA）测定试剂盒（电化学发光法）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3716.29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总前列腺特异性抗原（PSA）测定试剂盒（电化学发光法）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7436.91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游离前列腺特异性抗原测定试剂盒（电化学发光法）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3947.32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糖类抗原125检测试剂盒(电化学发光法)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4603.75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糖类抗原15-3测定试剂盒（电化学发光法）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4039.45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糖类抗原19-9测定试剂盒(电化学发光法)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4603.75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糖类抗原72-4测定试剂盒（电化学发光法）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4979.95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神经元特异性烯醇化酶测定试剂盒（电化学发光法） NSE</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3354.43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非小细胞肺癌相关抗原21-1定量测定试剂盒(电化学发光法)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4360.00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S100检测试剂盒(电化学发光法)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13325.44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人附睾蛋白4检测试剂盒(电化学发光法)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4515.52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胃泌素释放肽前体检测试剂盒(电化学发光法)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3894.29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鳞状上皮细胞癌抗原检测试剂盒(电化学发光法)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3283.34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促甲状腺激素检测试剂盒(电化学发光法)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2351.99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2772.74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三碘甲状腺原氨酸检测试剂盒(电化学发光法)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2688.59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游离甲状腺素检测试剂盒(电化学发光法)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2688.59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游离三碘甲状腺原氨酸检测试剂盒(电化学发光法)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2772.74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抗甲状腺过氧化物酶抗体检测试剂盒(电化学发光法)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1699.32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促甲状腺素受体抗体检测试剂盒(电化学发光法)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4241.95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甲状腺球蛋白抗体检测试剂盒(电化学发光法)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1866.65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甲状腺球蛋白检测试剂盒(电化学发光法)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1992.28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甲状腺球蛋白核实试剂</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1697.31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降钙素检测试剂盒(电化学发光法)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3182.98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甲状腺素结合力检测试剂盒(电化学发光法)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3530.09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雌二醇检测试剂盒(电化学发光法)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促卵泡成熟激素检测试剂盒(电化学发光法)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促肾上腺皮质激素检测试剂盒(电化学发光法)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5211.41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催乳素检测试剂盒(电化学发光法)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睾酮检测试剂盒(电化学发光法)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黄体生成激素检测试剂盒(电化学发光法)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硫酸脱氢表雄甾酮检测试剂盒(电化学发光法)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4006.38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皮质醇检测试剂盒(电化学发光法)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3782.54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人绒毛膜促性腺激素定标液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1332.05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绒毛膜促性腺激素定标液 STAT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906.15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绒毛膜促性腺激素及β亚单位检测试剂盒（电化学发光法）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性激素结合球蛋白检测试剂盒(电化学发光法)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3328.55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孕酮检测试剂盒(电化学发光法)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人生长激素检测试剂盒（电化学发光法）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2325.83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抗缪勒管激素检测试剂盒（电化学发光法）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12968.27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人类免疫缺陷病毒抗体和抗原(P24)检测试剂盒（电化学发光法）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2394.07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人类免疫缺陷病毒p24抗原检测试剂盒(电化学发光法)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4287.44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人类免疫缺陷病毒p24抗原中和试剂</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8909.80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甲型肝炎病毒抗体测定试剂盒(电化学发光法)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1732.10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甲型肝炎病毒抗体(IgM)检测试剂盒(电化学发光法)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2033.62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1118.66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乙型肝炎病毒表面抗原确认试剂</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1064.75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1404.26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1415.61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2831.37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乙型肝炎病毒e抗原检测试剂盒（电化学发光法）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1565.94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1565.94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1391.56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3244.79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乙型肝炎病毒核心抗体IgM检测试剂盒(电化学发光法)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2241.32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4629.37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8910.71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2307.07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地高辛检测试剂盒（电化学发光法）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4668.84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高敏肌钙蛋白T检测试剂盒(电化学发光法)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7545.93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高敏肌钙蛋白T检测试剂盒（电化学发光法） STAT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3635.51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4005.63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肌红蛋白检测试剂盒(电化学发光法) STAT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4105.52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1644.28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肌酸激酶同工酶检测试剂盒(电化学发光法)STAT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2313.90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脑利钠肽前体检测试剂盒(电化学发光法)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14886.43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脑利钠肽前体检测试剂盒(电化学发光法) STAT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11336.79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洋地黄毒苷检测试剂盒(电化学发光法)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4668.84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25-羟基维生素D检测试剂盒(电化学发光法)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5362.04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β-胶原特殊序列检测试剂盒（电化学发光法）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4243.83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骨钙素检测试剂盒(电化学发光法)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4361.45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甲状旁腺素检测试剂盒(电化学发光法)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6054.35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甲状旁腺素检测试剂盒（电化学发光法）STAT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3967.48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甲状旁腺素(1-84)检测试剂盒(电化学发光法)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7226.01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总I型胶原氨基端延长肽检测试剂盒(电化学发光法)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8470.44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2133.95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4357.58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维生素B12检测试剂盒(电化学发光法)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3915.95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4594.89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红细胞内叶酸检测试剂盒(电化学发光法)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3023.86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样本释放剂</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4595.78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2098.77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胰岛素检测试剂盒(电化学发光法)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2252.50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巨细胞病毒IgG抗体检测试剂盒（电化学发光法）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3005.64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巨细胞病毒IgM抗体检测试剂盒（电化学发光法）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3718.44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巨细胞病毒IgG抗体亲和力检测试剂盒(电化学发光法)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5924.26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风疹病毒IgG抗体检测试剂盒(电化学发光法)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3164.04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风疹病毒IgM抗体检测试剂盒(电化学发光法)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3560.04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弓形虫IgG抗体检测试剂盒(电化学发光法 )</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2530.44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弓形虫IgM抗体检测试剂盒（电化学发光法）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2530.44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弓形虫IgG抗体亲和力检测试剂盒(电化学发光法)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100T</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5910.00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Ⅰ型单纯疱疹病毒IgG检测试剂盒（电化学发光法）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3956.04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Ⅱ型单纯疱疹病毒IgG检测试剂盒（电化学发光法）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3956.04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免疫球蛋白E检测试剂盒（电化学发光法）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1849.72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降钙素原检测试剂盒(电化学发光法)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10756.74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白介素6检测试剂盒(电化学发光法)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4157.10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抗环瓜氨酸肽抗体检测试剂盒(电化学发光法)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6573.80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绒毛膜促性腺激素检测试剂盒(化学发光法) STAT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1498.66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妊娠相关血浆蛋白A检测试剂盒(电化学发光法)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5064.84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胎盘生长因子检测试剂盒(电化学发光法)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22224.21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可溶性fms样酪氨酸激酶-1检测试剂盒(电化学发光法)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22224.21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他克莫司检测试剂盒(电化学发光法)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7806.98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环孢霉素检测试剂盒(电化学发光法)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7806.98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样本萃取液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318.94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甲胎蛋白定标液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1693.14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癌胚抗原定标液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1693.14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总前列腺特异性抗原定标液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2658.98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游离前列腺特异性抗原定标液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1335.75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糖类抗原125定标液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2711.65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糖类抗原15-3定标液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2407.92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糖类抗原19-9定标液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2407.92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糖类抗原72-4定标液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2407.92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神经元特异性烯醇化酶定标液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1961.18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非小细胞肺癌相关抗原21-1定标液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1514.44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鳞状上皮细胞癌抗原定标液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1567.00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3720.15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人附睾蛋白4定标液HE4</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4191.62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胃泌素释放肽前体定标液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4191.62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促甲状腺素定标液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1604.03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促甲状腺素受体抗体定标液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894.37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2144.90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三碘甲状腺原氨酸定标液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1604.03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游离甲状腺素定标液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1604.03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游离三碘甲状腺原氨酸定标液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1604.03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抗甲状腺过氧化物酶抗体定标液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x 1.5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1180.80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甲状腺球蛋白抗体定标液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1604.03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甲状腺球蛋白定标液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1615.03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降钙素定标液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4407.47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甲状腺素结合力定标液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4x1.0 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1857.96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雌二醇定标液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1180.80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卵泡刺激素定标液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1688.67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促肾上腺皮质激素定标液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2958.35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催乳素定标液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1265.45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睾酮定标液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1265.45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黄体生成素定标液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1265.45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硫酸脱氢表雄酮定标液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1434.74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皮质醇定标液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1434.74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游离β-绒毛膜促性腺激素定标液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4566.60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游离β-绒毛膜促性腺激素检测试剂盒(电化学发光法)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3974.09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性激素结合球蛋白定标液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1604.03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孕酮定标液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1519.38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人生长激素定标液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 1.0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3144.57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抗缪勒管激素定标液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3116.63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地高辛定标液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1942.61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高敏肌钙蛋白T定标液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1715.25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高敏肌钙蛋白T定标液STAT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1693.14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1782.49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2050.53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肌酸激酶-MB同工酶定标液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1382.18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肌酸激酶-MB同功酶定标液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1603.79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脑利钠肽前体定标液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1603.79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脑利钠肽前体定标液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x 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1106.12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洋地黄毒苷定标液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2619.77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25-羟基维生素D定标液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4323.67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β-胶原特殊序列定标液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1688.67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骨钙素定标液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1857.96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甲状旁腺素定标液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x 1.0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1721.68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甲状旁腺素定标液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 mL(2套)</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1135.74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甲状旁腺素(1-84)定标液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3052.30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总I型胶原氨基端延长肽定标液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3142.02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铁蛋白定标液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1096.16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维生素B12定标液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1677.66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1941.75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红细胞内叶酸定标液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4*1.0ml（2套）</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1277.60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C-肽定标液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1425.10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胰岛素定标液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1335.75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免疫球蛋白E定标液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1281.52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白介素6定标液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4x2.0mL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2306.58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妊娠相关性血浆蛋白A定标液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2704.88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胎盘生长因子定标液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3366.33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可溶性fms样酪氨酸激酶-1定标液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3366.33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他克莫司定标液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7857.61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环孢霉素定标液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7857.61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肿瘤标志物质控品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4x3.0mL/盒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4462.91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肺癌相关肿瘤标志物质控品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4×3.0mL(冻干品复溶体积)(含2套)</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1986.00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免疫通用质控品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1233.28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人附睾蛋白4质控品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2453.01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胃泌素释放肽前体质控品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3550.86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甲状腺相关自身抗体质控品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2524.32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免疫多项质控品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1669.20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多标记物质控品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1690.64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抗缪勒管激素质控品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7101.72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6x2.0ml(冻干品,复溶体积)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1215.64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2.0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1455.89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甲型肝炎病毒抗体质控液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 4.0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2619.77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甲型肝炎病毒抗体（IgM）质控液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16*0.67ml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3940.23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1425.80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1649.59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乙型肝炎病毒表面抗体质控液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1693.14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乙型肝炎病毒e抗原质控液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1693.14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乙型肝炎病毒e抗体质控液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1664.31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16×1.3 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1664.31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乙型肝炎病毒核心抗体IgM质控液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1604.03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2624.84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1872.35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心肌质控品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3720.62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肌钙蛋白质控品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1809.52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巨细胞病毒IgG抗体质控液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3212.28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巨细胞病毒IgM抗体质控液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3544.09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巨细胞病毒IgG抗体亲和力质控品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 1.0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3934.30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风疹病毒IgG抗体质控液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3466.22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风疹病毒IgM抗体质控液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3042.99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弓形虫IgG抗体质控液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3544.09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弓形虫IgM抗体质控液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16×0.67mL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3381.57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弓形虫IgG抗体亲和力质控品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4813.76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单纯疱疹病毒(1+2型)IgG质控品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2365.83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抗环瓜氨酸肽抗体质控品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2754.34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母体标志物质控品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9250.76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免疫抑制药物质控品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3032.85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 Diluent Universal</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221.02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神经元特异性烯醇化酶稀释液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1688.20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1203.05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 Diluent Estradiol/Progesterone</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1421.15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 Diluent Hepatitis A</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1869.32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缓冲液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1238.49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三丙胺缓冲液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 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1238.49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1064.75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797.45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2528.66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769.82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1057.50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槽</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PC</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240.57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分析吸头/分析杯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8x6x84个/盒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3851.35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 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1364.12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测量池</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29405.01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3包</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甲胎蛋白检测试剂盒(电化学发光法)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适用于全自动化学发光免疫分析仪Cobas 8000 e801套试剂及耗材</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4944.67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癌胚抗原测定试剂盒(电化学发光法)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6475.35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总前列腺特异性抗原(PSA)测定试剂盒(电化学发光法)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11148.88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游离前列腺特异性抗原测定试剂盒(电化学发光法)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12871.68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糖类抗原125检测试剂盒(电化学发光法)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13811.25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糖类抗原15-3测定试剂盒(电化学发光法)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12118.35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糖类抗原19-9测定试剂盒(电化学发光法)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13811.25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糖类抗原72-4测定试剂盒(电化学发光法)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14939.85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神经元特异性烯醇化酶测定试剂盒(电化学发光法)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10063.28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细胞角蛋白19片段定量测定试剂盒（电化学发光法）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14863.65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S100检测试剂盒(电化学发光法)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13325.44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人附睾蛋白4检测试剂盒(电化学发光法)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4515.52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胃泌素释放肽前体检测试剂盒(电化学发光法)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3894.29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鳞状上皮细胞癌抗原检测试剂盒(电化学发光法)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3283.34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促甲状腺激素检测试剂盒(电化学发光法)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3527.98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4159.11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三碘甲状腺原氨酸检测试剂盒(电化学发光法)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4032.88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游离甲状腺素检测试剂盒(电化学发光法)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4032.88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游离三碘甲状腺原氨酸检测试剂盒(电化学发光法)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4159.11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抗甲状腺过氧化物酶抗体检测试剂盒(电化学发光法)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5097.97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促甲状腺素受体抗体检测试剂盒(电化学发光法)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12725.86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甲状腺球蛋白抗体检测试剂盒(电化学发光法)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5599.95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甲状腺球蛋白检测试剂盒(电化学发光法)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5976.83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降钙素检测试剂盒(电化学发光法)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3182.98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甲状腺素结合力检测试剂盒(电化学发光法)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1765.04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雌二醇检测试剂盒(电化学发光法)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5288.82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促卵泡成熟激素检测试剂盒(电化学发光法)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5288.82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促肾上腺皮质激素检测试剂盒(电化学发光法)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5211.41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催乳素检测试剂盒(电化学发光法)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5288.82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睾酮检测试剂盒(电化学发光法)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5288.82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黄体生成激素检测试剂盒(电化学发光法)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5288.82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硫酸脱氢表雄甾酮检测试剂盒(电化学发光法)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4006.38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皮质醇检测试剂盒(电化学发光法)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11347.62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绒毛膜促性腺激素及β亚单位检测试剂盒(电化学发光法)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5288.82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性激素结合球蛋白检测试剂盒(电化学发光法)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11095.17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孕酮检测试剂盒(电化学发光法)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5288.82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人生长激素检测试剂盒(电化学发光法)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2584.25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抗缪勒管激素检测试剂盒(电化学发光法)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13650.81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人类免疫缺陷病毒抗体和抗原(P24)检测试剂盒(电化学发光法)E</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7182.21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甲型肝炎病毒抗体测定试剂盒(电化学发光法)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5773.68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甲型肝炎病毒抗体(IgM)检测试剂盒(电化学发光法)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6778.74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乙型肝炎病毒表面抗原测定试剂盒(电化学发光法)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3728.85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1560.29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4718.70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乙型肝炎病毒e抗原检测试剂盒(电化学发光法)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5219.79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5219.79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4638.54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乙型肝炎病毒核心抗体IgM检测试剂盒(电化学发光法)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7471.05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14851.18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7690.23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地高辛检测试剂盒(电化学发光法)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4668.84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高敏肌钙蛋白T检测试剂盒(电化学发光法)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12576.55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4005.63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2055.35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脑利钠肽前体检测试剂盒(电化学发光法)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34010.37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洋地黄毒苷检测试剂盒(电化学发光法)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4668.84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β-胶原特殊序列检测试剂盒(电化学发光法)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4243.83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骨钙素检测试剂盒(电化学发光法)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4361.45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甲状旁腺素检测试剂盒(电化学发光法)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18163.05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甲状旁腺素(1-84)检测试剂盒(电化学发光法）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7226.01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总I型胶原氨基端延长肽检测试剂盒(电化学发光法)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8470.44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铁蛋白检测试剂盒(电化学发光法)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6536.37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维生素B12检测试剂盒(电化学发光法)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11747.85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13784.67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C肽检测试剂盒(电化学发光法)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2209.23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胰岛素检测试剂盒(电化学发光法)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2252.50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巨细胞病毒IgG抗体检测试剂盒(电化学发光法)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9016.92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巨细胞病毒IgM抗体检测试剂盒(电化学发光法)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11155.32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巨细胞病毒IgG抗体亲和力检测试剂盒(电化学发光法)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5924.26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风疹病毒IgG抗体检测试剂盒(电化学发光法)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9492.12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风疹病毒IgM抗体检测试剂盒(电化学发光法)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10680.12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弓形虫IgG抗体检测试剂盒(电化学发光法 )</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7591.32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弓形虫IgM抗体检测试剂盒(电化学发光法)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7591.32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弓形虫IgG抗体亲和力检测试剂盒(电化学发光法)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5910.00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Ⅰ型单纯疱疹病毒IgG检测试剂盒(电化学发光法)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3956.04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Ⅱ型单纯疱疹病毒IgG检测试剂盒(电化学发光法)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3956.04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免疫球蛋白E检测试剂盒(电化学发光法)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2312.15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降钙素原检测试剂盒(电化学发光法)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32271.00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白介素6检测试剂盒(电化学发光法)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4890.70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抗环瓜氨酸肽抗体检测试剂盒(电化学发光法)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6573.80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绒毛膜促性腺激素检测试剂盒(化学发光法) STAT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1498.66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妊娠相关血浆蛋白A检测试剂盒(电化学发光法)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5064.84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胎盘生长因子检测试剂盒(电化学发光法)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22224.21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可溶性fms样酪氨酸激酶-1检测试剂盒(电化学发光法)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22224.21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他克莫司检测试剂盒(电化学发光法)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23420.94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环孢霉素检测试剂盒(电化学发光法)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23420.94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高敏肌钙蛋白T定标液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 1.0 mL(冻干品复溶体积)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1715.25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 1.0 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1782.49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肌酸激酶-MB同功酶定标液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1603.79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脑利钠肽前体定标液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 mL(冻干品, 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1603.79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甲状旁腺素定标液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 mL(冻干品, 复溶体积)</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1721.68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1941.75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游离β-绒毛膜促性腺激素检测试剂盒(电化学发光法)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3974.09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1353.43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三丙胺缓冲液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1588.21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1373.19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376.39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分析吸头/分析杯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36x105个/盒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4225.19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4包</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119mL/盒</w:t>
            </w:r>
          </w:p>
        </w:tc>
        <w:tc>
          <w:tcPr>
            <w:tcW w:w="8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适用于全自动生化分析仪Cobas 8000 C702配套试剂及耗材</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416.12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碱性洗液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268.00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酸性洗液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312.42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氢氧化钠基础洗液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2x1.8L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396.94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酸性洗液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1865.43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12x20ml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1100.67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样本针清洗液2</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12x20ml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392.00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试剂空盒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359.00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卤钨灯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3462.00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钾电极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3692.00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氯电极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3692.00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钠电极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3692.00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电解质内标液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1675.66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2642.21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电解质参比液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1033.02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参比电极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5包</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丙氨酸氨基转移酶测定试剂盒(IFCC法)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适用于全自动生化分析仪BS-800M配套试剂及耗材</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0.21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天门冬氨酸氨基转移酶测定试剂盒(IFCC法)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0.21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碱性磷酸酶测定试剂盒(AMP缓冲液法)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0.32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γ—谷氨酰转移酶测定试剂盒(IFCC法)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总胆红素测定试剂盒(钒酸盐氧化法)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0.36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直接胆红素测定试剂盒(钒酸盐氧化法)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0.36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总蛋白(TP)</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0.10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白蛋白测定试剂盒(溴甲酚绿法)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总胆汁酸测定试剂盒(循环酶法)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3.86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胆碱酯酶测定试剂盒(丁酰硫代胆碱法)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前白蛋白测定试剂盒(免疫透射比浊法)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α-L-岩藻糖苷酶测定试剂盒（CNPF法）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肌酐测定试剂盒(肌氨酸氧化酶法)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尿酸测定试剂盒(尿酸酶—过氧化物酶法)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0.28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尿素测定试剂盒(紫外—谷氨酸脱氢酶法)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0.33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二氧化碳测定试剂盒(酶法)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胱抑素C测定试剂盒(胶乳免疫比浊法)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胱抑素C测定试剂盒(胶乳免疫比浊法)(含校准品)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β2—微球蛋白测定试剂盒(胶乳免疫比浊法)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β2—微球蛋白测定试剂盒(胶乳免疫比浊法)(含校准品)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6.13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尿微量白蛋白测定试剂盒(免疫透射比浊法)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2.28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尿微量白蛋白测定试剂盒(免疫透射比浊法)(含校准品)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2.91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尿液总蛋白(TPUC)测定试剂盒(邻苯三酚红钼法)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脑脊液总蛋白测定试剂盒(邻苯三酚红钼法)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总胆固醇测定试剂盒(氧化酶法)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0.34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甘油三酯测定试剂盒(氧化酶法)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0.76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高密度脂蛋白胆固醇测定试剂盒(直接法)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低密度脂蛋白胆固醇测定试剂盒(直接法)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2.76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载脂蛋白A1测定试剂盒(免疫透射比浊法)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2.56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载脂蛋白B测定试剂盒(免疫透射比浊法)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2.47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同型半胱氨酸测定试剂盒(酶循环法)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血管紧张素转换酶测定试剂盒(酶比色法)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5.81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乳酸脱氢酶测定试剂盒(IFCC法)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0.36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α—羟丁酸脱氢酶测定试剂盒(DGKC法)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0.47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肌酸激酶测定试剂盒(IFCC法)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肌酸激酶MB型同工酶测定试剂盒(免疫抑制法)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肌红蛋白测定试剂盒(胶乳增强免疫透射比浊法)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5.63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肌红蛋白测定试剂盒(胶乳增强免疫透射比浊法)(含校准品)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D—二聚体测定试剂盒(胶乳增强免疫透射比浊法)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17.10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D—二聚体测定试剂盒(胶乳增强免疫透射比浊法)(含校准品)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17.10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葡萄糖测定试剂盒(葡萄糖氧化酶法)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0.17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葡萄糖测定试剂盒(己糖激酶法)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0.34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果糖胺测定试剂盒(比色法)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β—羟丁酸测定试剂盒(酶比色法)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α—淀粉酶测定试剂盒(连续监测法)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2.77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钙测定试剂盒(偶氮胂Ⅲ法)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0.15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免疫球蛋白A测定试剂盒(免疫透射比浊法)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1.88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免疫球蛋白G测定试剂盒(免疫透射比浊法)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1.88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免疫球蛋白M测定试剂盒(免疫透射比浊法)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总免疫球蛋白E测定试剂盒(胶乳免疫比浊法)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20.24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补体因子C3测定试剂盒(免疫透射比浊法)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补体因子C4测定试剂盒(免疫透射比浊法)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2.12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C—反应蛋白测定试剂盒(免疫透射比浊法)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2.11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超敏C—反应蛋白测定试剂盒(乳胶免疫比浊法)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超敏C—反应蛋白测定试剂盒(乳胶免疫比浊法)(含校准品)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8.23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抗链球菌溶血素"O"测定试剂盒(胶乳免疫比浊法)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6.28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抗链球菌溶血素"O"测定试剂盒(胶乳免疫比浊法)(含校准品)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7.36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类风湿因子测定试剂盒(免疫比浊法)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4.53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类风湿因子测定试剂盒(免疫比浊法)(含校准品)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全程C-反应蛋白</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6.09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全程C-反应蛋白（含校准品）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8.23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常规生化复合校准品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常规生化复合校准品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1375.00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特种蛋白校准品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前白蛋白校准品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脂类校准品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875.00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常规生化复合定值质控品（正常水平）</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 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常规生化复合定值质控品（正常水平）</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 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常规生化复合定值质控品（病理水平）</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 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常规生化复合定值质控品（病理水平）</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 mL</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生化复合定值质控品(水平1）</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生化复合定值质控品(水平2）</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D—二聚体质控品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714.00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免疫三项质控品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1843.00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尿微量白蛋白质控品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β—羟丁酸质控品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457.00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尿/脑脊液总蛋白质控品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型半胱氨酸质控品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222.00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风湿三项复合质控品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胱抑素C质控品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β2—微球蛋白质控品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β2—微球蛋白校准品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313.00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w:t>
            </w:r>
          </w:p>
        </w:tc>
        <w:tc>
          <w:tcPr>
            <w:tcW w:w="9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钾电极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9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氯电极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c>
          <w:tcPr>
            <w:tcW w:w="9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钠电极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9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参考电极</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ISE清洗液(国内)</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2L/瓶</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ISE血清定标液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ISE尿液定标液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ISE Na/K检验溶液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ISE尿液质控物</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6包</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清洗液</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35ML</w:t>
            </w:r>
          </w:p>
        </w:tc>
        <w:tc>
          <w:tcPr>
            <w:tcW w:w="8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适用于全自动尿液分析流水线UC-1810+D-1300配套试剂及耗材</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尿液有形成分分析仪用质控物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8ml*4</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7包</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血栓弹力图活化凝血检测试剂盒(凝固法)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25人份/盒</w:t>
            </w:r>
          </w:p>
        </w:tc>
        <w:tc>
          <w:tcPr>
            <w:tcW w:w="8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适用于血栓弹力图仪BVCA-VIII</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42.57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血栓弹力图肝素酶杯检测试剂盒(凝固法)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5人份/盒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158.40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血栓弹力图试验(血小板ADP&amp;AA)试剂(凝固法)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1人份/盒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594.00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血栓弹力图试验(血小板ADP)试剂(凝固法)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1人份/盒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594.00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血栓弹力图试验(血小板AA)试剂(凝固法)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1人份/盒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594.00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血栓弹力图凝血激活检测试剂盒(凝固法)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20人份/盒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血栓弹力图功能性纤维蛋白检测试剂盒（凝固法）</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20瓶/盒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20次/盒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20次/盒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20次/盒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血栓弹力图质控品</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20次/盒</w:t>
            </w:r>
          </w:p>
        </w:tc>
        <w:tc>
          <w:tcPr>
            <w:tcW w:w="8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8包</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单臂一体式外固定器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外固定支架-U型环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外固定支架-保护套筒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外固定支架-成角关节器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3560.00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外固定支架-全圆环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外固定支架-螺纹连杆</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4890.00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外固定支架-沉头垫片</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外固定支架-底座</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外固定支架-骨针固定座</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外固定支架-骨针滑动座</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外固定支架-顶丝</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外固定支架-骨针座</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外固定支架-锁螺丝</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外固定支架-骨针固定夹</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4890.00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外固定支架-连棒夹</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8372.36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外固定支架-连接棒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外固定支架-半环形</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3735.00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外固定支架-半圆形</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3735.00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外固定支架-L形</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3735.00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外固定支架-轨道</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外固定支架-螺纹杆</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外固定支架-撑开杆</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外固定支架-开口环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外固定支架-连接扁柱</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外固定支架-六角螺钉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外固定支架-螺母</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外固定支架-调节座</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外固定支架-连接片</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外固定支架-延长器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外固定支架-夹部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外固定支架-夹钉螺钉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外固定支架-夹针螺钉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外固定支架-弹簧</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外固定支架-骨针垫片</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外固定支架-固定座</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外固定支架-环部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13783.70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外固定支架-关节器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外固定支架-延长板</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外固定支架-调节螺丝</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外固定支架-斜支撑</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外固定支架-平垫片</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外固定支架-前夹头</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6900.00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外固定支架-锥头螺钉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外固定支架-角度调节器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外固定支架</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适用于人体四肢骨折的外固定。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金属骨针</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不锈钢骨针与同一生产企业的外固定支架结合使用，用于四肢骨骨干、干骺端及不规则骨骨折内固定；钛合金产品单独使用，用于四肢骨折复位时部分植入人体做四肢骨折内固定。适用于8-64岁的患者。</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9包</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金属脊柱内固定器-微创脊柱钉棒固定系统（微创钉）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适用于胸椎、腰椎和骶椎脊柱后路内固定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8812.80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金属脊柱内固定器-微创脊柱钉棒固定系统（微创复位钉）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适用于胸椎、腰椎和骶椎脊柱后路内固定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金属脊柱内固定器（连接棒）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适用于胸椎、腰椎和骶椎脊柱后路内固定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金属脊柱内固定器（微创钉）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适用于胸椎、腰椎和骶椎脊柱后路内固定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14700.00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椎间融合器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该产品适用于颈椎前路的椎间融合术</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 </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椎间融合器-螺钉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该产品适用于颈椎前路的椎间融合术</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椎板固定板系统-椎板固定板</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适用于脊柱椎管扩大减压术后的椎板成形</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19600.00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块 </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椎板固定板系统-自攻螺钉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适用于脊柱椎管扩大减压术后的椎板成形</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椎板固定板系统-自钻螺钉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适用于脊柱椎管扩大减压术后的椎板成形</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金属脊柱接骨板系统- 板</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该产品主要适用于颈、胸、腰段脊柱骨折前路内固定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块 </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金属脊柱接骨板系统- 固定钉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该产品主要适用于颈、胸、腰段脊柱骨折前路内固定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金属脊柱接骨板系统- 多向钉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该产品主要适用于颈、胸、腰段脊柱骨折前路内固定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金属脊柱接骨板系统- 锁定钉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该产品主要适用于颈、胸、腰段脊柱骨折前路内固定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金属脊柱接骨板系统-（平头钉 、应急钉、自攻钉）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该产品主要适用于颈、胸、腰段脊柱骨折前路内固定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金属脊柱接骨板系统-自钻钉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该产品主要适用于颈、胸、腰段脊柱骨折前路内固定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金属脊柱内固定器-侧块螺钉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金属脊柱内固定器-侧方连接器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金属脊柱内固定器-枕颈固定钉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金属脊柱内固定器-枕颈固定块</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块 </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金属脊柱内固定器-枕颈连接棒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金属脊柱内固定器-枕颈融合块</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16780.00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块 </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金属脊柱内固定器-横连器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套 </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金属脊柱内固定器-预弯连接棒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 固定夹</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 </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金属脊柱内固定器-椎板钩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金属脊柱内固定器-螺母</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金属脊柱内固定器-台阶连接棒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金属脊柱内固定器-多米诺连接器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9-29</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金属脊柱内固定器-直行连接器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金属脊柱内固定器-平行连接器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金属脊柱内固定器-横连杆</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9-32</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金属脊柱内固定器-横连钩</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9-33</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金属脊柱内固定器-单轴钉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金属脊柱内固定器-提拉钉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12500.00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金属脊柱内固定器-万向钉</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金属脊柱内固定器-普通连接棒</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适用于颈、胸、腰段脊柱骨折后路内固定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5376.00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9-37</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脊柱椎间融合器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适用于脊柱骨折、滑脱、不稳、间盘突出的椎间植骨融合内固定</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20400.00 </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骨伤科</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一、打包类产品，需满足包类产品目录90%以上产品（含），且包类同行目的报价为统一报价（如：若</w:t>
      </w:r>
      <w:r>
        <w:rPr>
          <w:rFonts w:hint="eastAsia" w:ascii="宋体" w:hAnsi="宋体"/>
          <w:b/>
          <w:color w:val="000000" w:themeColor="text1"/>
          <w:sz w:val="24"/>
          <w:highlight w:val="none"/>
          <w:lang w:val="en-US" w:eastAsia="zh-CN"/>
          <w14:textFill>
            <w14:solidFill>
              <w14:schemeClr w14:val="tx1"/>
            </w14:solidFill>
          </w14:textFill>
        </w:rPr>
        <w:t>1包（即1-1至1-15）中有15个子项目，这时候的投标应当满足包类产品的90%，即15*90%大于等于13.5个子项目（此时取整数14个），才能满足投标资格准入要求，且15个子项目中，</w:t>
      </w:r>
      <w:r>
        <w:rPr>
          <w:rFonts w:hint="eastAsia" w:ascii="宋体" w:hAnsi="宋体"/>
          <w:b/>
          <w:color w:val="FF0000"/>
          <w:sz w:val="24"/>
          <w:highlight w:val="none"/>
          <w:lang w:val="en-US" w:eastAsia="zh-CN"/>
        </w:rPr>
        <w:t>每个子项目的报价为统一报价</w:t>
      </w:r>
      <w:r>
        <w:rPr>
          <w:rFonts w:hint="eastAsia" w:ascii="宋体" w:hAnsi="宋体"/>
          <w:b/>
          <w:color w:val="FF0000"/>
          <w:sz w:val="24"/>
          <w:lang w:eastAsia="zh-CN"/>
        </w:rPr>
        <w:t>）。</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五、投标产品需</w:t>
      </w:r>
      <w:r>
        <w:rPr>
          <w:rFonts w:hint="eastAsia" w:ascii="宋体" w:hAnsi="宋体"/>
          <w:b/>
          <w:color w:val="FF0000"/>
          <w:sz w:val="24"/>
          <w:lang w:val="en-US" w:eastAsia="zh-CN"/>
        </w:rPr>
        <w:t>100%在阳光平台下单采购，无阳光平台代码的视为无效投标，非械字号产品和消毒类产品除外</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六、为保障投标概率公平性，投标商对每个需求产品有且只能提供一个有效投标品牌。</w:t>
      </w:r>
    </w:p>
    <w:p>
      <w:pPr>
        <w:rPr>
          <w:rFonts w:hint="default"/>
          <w:lang w:val="en-US" w:eastAsia="zh-CN"/>
        </w:rPr>
      </w:pPr>
      <w:r>
        <w:rPr>
          <w:rFonts w:hint="eastAsia" w:ascii="宋体" w:hAnsi="宋体"/>
          <w:b/>
          <w:color w:val="FF0000"/>
          <w:sz w:val="24"/>
          <w:lang w:eastAsia="zh-CN"/>
        </w:rPr>
        <w:t>七、需求单位：北京中医药大学深圳医院（龙岗）。</w:t>
      </w:r>
    </w:p>
    <w:p>
      <w:pPr>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411"/>
        <w:gridCol w:w="908"/>
        <w:gridCol w:w="1007"/>
        <w:gridCol w:w="666"/>
        <w:gridCol w:w="666"/>
        <w:gridCol w:w="707"/>
        <w:gridCol w:w="748"/>
        <w:gridCol w:w="666"/>
        <w:gridCol w:w="829"/>
        <w:gridCol w:w="1337"/>
        <w:gridCol w:w="1936"/>
        <w:gridCol w:w="1175"/>
        <w:gridCol w:w="503"/>
        <w:gridCol w:w="503"/>
      </w:tblGrid>
      <w:tr>
        <w:tblPrEx>
          <w:tblCellMar>
            <w:top w:w="0" w:type="dxa"/>
            <w:left w:w="108" w:type="dxa"/>
            <w:bottom w:w="0" w:type="dxa"/>
            <w:right w:w="108" w:type="dxa"/>
          </w:tblCellMar>
        </w:tblPrEx>
        <w:trPr>
          <w:trHeight w:val="2298" w:hRule="atLeast"/>
        </w:trPr>
        <w:tc>
          <w:tcPr>
            <w:tcW w:w="3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历史采购项目名称</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val="en-US" w:eastAsia="zh-CN" w:bidi="ar-SA"/>
              </w:rPr>
              <w:t>市阳光平台价（元）</w:t>
            </w:r>
          </w:p>
        </w:tc>
        <w:tc>
          <w:tcPr>
            <w:tcW w:w="1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采购文件中产品的最高限价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lang w:eastAsia="zh-CN"/>
              </w:rPr>
              <w:t>阳光平台代码</w:t>
            </w:r>
          </w:p>
        </w:tc>
      </w:tr>
      <w:tr>
        <w:tblPrEx>
          <w:tblCellMar>
            <w:top w:w="0" w:type="dxa"/>
            <w:left w:w="108" w:type="dxa"/>
            <w:bottom w:w="0" w:type="dxa"/>
            <w:right w:w="108" w:type="dxa"/>
          </w:tblCellMar>
        </w:tblPrEx>
        <w:trPr>
          <w:trHeight w:val="558" w:hRule="atLeast"/>
        </w:trPr>
        <w:tc>
          <w:tcPr>
            <w:tcW w:w="3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val="en-US" w:eastAsia="zh-CN" w:bidi="ar-SA"/>
              </w:rPr>
            </w:pPr>
          </w:p>
        </w:tc>
        <w:tc>
          <w:tcPr>
            <w:tcW w:w="1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2.产品报价为入围报价，入围报价不得高于最高限价</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6190"/>
        <w:gridCol w:w="24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（注意：每个包类的投标产品需对应一个份分值要素自评表）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2"/>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w:t>
      </w:r>
    </w:p>
    <w:p>
      <w:pPr>
        <w:pStyle w:val="16"/>
        <w:numPr>
          <w:ilvl w:val="0"/>
          <w:numId w:val="2"/>
        </w:numPr>
        <w:ind w:left="0" w:leftChars="0" w:firstLine="0" w:firstLineChars="0"/>
        <w:rPr>
          <w:rFonts w:hint="eastAsia"/>
          <w:sz w:val="24"/>
          <w:szCs w:val="24"/>
        </w:rPr>
      </w:pPr>
      <w:r>
        <w:rPr>
          <w:rFonts w:hint="eastAsia"/>
          <w:sz w:val="24"/>
          <w:szCs w:val="24"/>
        </w:rPr>
        <w:t>售后服务响应表</w:t>
      </w:r>
    </w:p>
    <w:p>
      <w:pPr>
        <w:pStyle w:val="16"/>
        <w:numPr>
          <w:ilvl w:val="0"/>
          <w:numId w:val="2"/>
        </w:numPr>
        <w:ind w:left="0" w:leftChars="0" w:firstLine="0" w:firstLineChars="0"/>
        <w:rPr>
          <w:rFonts w:hint="eastAsia"/>
          <w:sz w:val="24"/>
          <w:szCs w:val="24"/>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rPr>
        <w:t>住所信息对应证件复印件</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2023</w:t>
      </w:r>
      <w:bookmarkStart w:id="0" w:name="_GoBack"/>
      <w:bookmarkEnd w:id="0"/>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3"/>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现场专家评标专家需持认真、谨慎、无倾向性的态度，对本次招标结果承担相应的责任。</w:t>
      </w:r>
    </w:p>
    <w:p>
      <w:pPr>
        <w:numPr>
          <w:ilvl w:val="0"/>
          <w:numId w:val="3"/>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都不符合现场专家的产品需求，则现场专家需签署意见并对此项目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8C308A"/>
    <w:multiLevelType w:val="singleLevel"/>
    <w:tmpl w:val="EE8C308A"/>
    <w:lvl w:ilvl="0" w:tentative="0">
      <w:start w:val="4"/>
      <w:numFmt w:val="decimal"/>
      <w:suff w:val="nothing"/>
      <w:lvlText w:val="（%1）"/>
      <w:lvlJc w:val="left"/>
    </w:lvl>
  </w:abstractNum>
  <w:abstractNum w:abstractNumId="1">
    <w:nsid w:val="44ED23F4"/>
    <w:multiLevelType w:val="singleLevel"/>
    <w:tmpl w:val="44ED23F4"/>
    <w:lvl w:ilvl="0" w:tentative="0">
      <w:start w:val="1"/>
      <w:numFmt w:val="chineseCounting"/>
      <w:suff w:val="nothing"/>
      <w:lvlText w:val="%1、"/>
      <w:lvlJc w:val="left"/>
      <w:rPr>
        <w:rFonts w:hint="eastAsia"/>
      </w:rPr>
    </w:lvl>
  </w:abstractNum>
  <w:abstractNum w:abstractNumId="2">
    <w:nsid w:val="7EEA7A6D"/>
    <w:multiLevelType w:val="singleLevel"/>
    <w:tmpl w:val="7EEA7A6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6A4909"/>
    <w:rsid w:val="045A3810"/>
    <w:rsid w:val="04C0137C"/>
    <w:rsid w:val="05832C09"/>
    <w:rsid w:val="06F61A7D"/>
    <w:rsid w:val="081B13AB"/>
    <w:rsid w:val="0AF26B57"/>
    <w:rsid w:val="0CE3566F"/>
    <w:rsid w:val="0D72563D"/>
    <w:rsid w:val="0E256A4A"/>
    <w:rsid w:val="0E620EE2"/>
    <w:rsid w:val="0EC23417"/>
    <w:rsid w:val="0EC67C0D"/>
    <w:rsid w:val="0EEA2F23"/>
    <w:rsid w:val="0F243DDF"/>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A0E4CA6"/>
    <w:rsid w:val="1A5D7508"/>
    <w:rsid w:val="1A89451A"/>
    <w:rsid w:val="1AB01369"/>
    <w:rsid w:val="1AF404B4"/>
    <w:rsid w:val="1D694F1B"/>
    <w:rsid w:val="1D6A1F13"/>
    <w:rsid w:val="1E563025"/>
    <w:rsid w:val="1FFD700C"/>
    <w:rsid w:val="20A807D4"/>
    <w:rsid w:val="22513B6F"/>
    <w:rsid w:val="24097F7B"/>
    <w:rsid w:val="243C79EA"/>
    <w:rsid w:val="24C7565A"/>
    <w:rsid w:val="25BA1937"/>
    <w:rsid w:val="26663961"/>
    <w:rsid w:val="26E214A3"/>
    <w:rsid w:val="2767173F"/>
    <w:rsid w:val="276943B2"/>
    <w:rsid w:val="277315B0"/>
    <w:rsid w:val="28FC2868"/>
    <w:rsid w:val="290556B4"/>
    <w:rsid w:val="2A2839CE"/>
    <w:rsid w:val="2B101769"/>
    <w:rsid w:val="2B5A4552"/>
    <w:rsid w:val="2BAB062C"/>
    <w:rsid w:val="2CEE2624"/>
    <w:rsid w:val="2DA15D2F"/>
    <w:rsid w:val="2DDA2D1B"/>
    <w:rsid w:val="2ED70D0E"/>
    <w:rsid w:val="2EF53ED2"/>
    <w:rsid w:val="2F136BB1"/>
    <w:rsid w:val="2F6D73BE"/>
    <w:rsid w:val="2FFE70AB"/>
    <w:rsid w:val="306D4751"/>
    <w:rsid w:val="308A2EA8"/>
    <w:rsid w:val="30B348C3"/>
    <w:rsid w:val="30BB6ADC"/>
    <w:rsid w:val="31027C02"/>
    <w:rsid w:val="33CA5530"/>
    <w:rsid w:val="347F6565"/>
    <w:rsid w:val="356E62BA"/>
    <w:rsid w:val="35814314"/>
    <w:rsid w:val="36830867"/>
    <w:rsid w:val="36967D4F"/>
    <w:rsid w:val="37390CEE"/>
    <w:rsid w:val="387B5A3F"/>
    <w:rsid w:val="38A071A7"/>
    <w:rsid w:val="3A5C6582"/>
    <w:rsid w:val="3B723017"/>
    <w:rsid w:val="3BB30E90"/>
    <w:rsid w:val="3BB44B5F"/>
    <w:rsid w:val="3C46220A"/>
    <w:rsid w:val="3C937993"/>
    <w:rsid w:val="3D581B9C"/>
    <w:rsid w:val="3D7E5628"/>
    <w:rsid w:val="3D804E02"/>
    <w:rsid w:val="3F9E1D54"/>
    <w:rsid w:val="401F17A1"/>
    <w:rsid w:val="40CB60A0"/>
    <w:rsid w:val="42C7547B"/>
    <w:rsid w:val="43BA09C3"/>
    <w:rsid w:val="44790D1E"/>
    <w:rsid w:val="44C164DB"/>
    <w:rsid w:val="44EF5EC4"/>
    <w:rsid w:val="45B8049E"/>
    <w:rsid w:val="45FD1CF9"/>
    <w:rsid w:val="4646736E"/>
    <w:rsid w:val="48274C8F"/>
    <w:rsid w:val="4A610B4B"/>
    <w:rsid w:val="4A782462"/>
    <w:rsid w:val="4C0A4C58"/>
    <w:rsid w:val="4C654FF4"/>
    <w:rsid w:val="4CAE696C"/>
    <w:rsid w:val="4D5D39D3"/>
    <w:rsid w:val="4DBC04A6"/>
    <w:rsid w:val="4E392E7F"/>
    <w:rsid w:val="4EAF7C7E"/>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ED2A7C"/>
    <w:rsid w:val="5B4973B1"/>
    <w:rsid w:val="5BFF5F24"/>
    <w:rsid w:val="5C023C3D"/>
    <w:rsid w:val="5C153BB3"/>
    <w:rsid w:val="5D5A1089"/>
    <w:rsid w:val="5E0E7049"/>
    <w:rsid w:val="5E374CA8"/>
    <w:rsid w:val="5E425200"/>
    <w:rsid w:val="5F004CBA"/>
    <w:rsid w:val="5F2C6FD3"/>
    <w:rsid w:val="610647C6"/>
    <w:rsid w:val="62235498"/>
    <w:rsid w:val="627C1233"/>
    <w:rsid w:val="62EB5430"/>
    <w:rsid w:val="63252F20"/>
    <w:rsid w:val="6328380F"/>
    <w:rsid w:val="647D4CC7"/>
    <w:rsid w:val="65BF5849"/>
    <w:rsid w:val="660C1CCE"/>
    <w:rsid w:val="662231D4"/>
    <w:rsid w:val="674C1080"/>
    <w:rsid w:val="68BE4527"/>
    <w:rsid w:val="68FB549F"/>
    <w:rsid w:val="69931944"/>
    <w:rsid w:val="69A235C0"/>
    <w:rsid w:val="6A3F4898"/>
    <w:rsid w:val="6AB26DFA"/>
    <w:rsid w:val="6C7B0FD1"/>
    <w:rsid w:val="6DCD409B"/>
    <w:rsid w:val="6E553663"/>
    <w:rsid w:val="6E676DE8"/>
    <w:rsid w:val="6F307BB0"/>
    <w:rsid w:val="6F5350B5"/>
    <w:rsid w:val="6FFE038C"/>
    <w:rsid w:val="71947ED4"/>
    <w:rsid w:val="71A5098C"/>
    <w:rsid w:val="722F5C6F"/>
    <w:rsid w:val="72C72385"/>
    <w:rsid w:val="7386251A"/>
    <w:rsid w:val="738B58D2"/>
    <w:rsid w:val="73B378DD"/>
    <w:rsid w:val="74DC1386"/>
    <w:rsid w:val="75236970"/>
    <w:rsid w:val="75D37D5C"/>
    <w:rsid w:val="766F0203"/>
    <w:rsid w:val="76BE496D"/>
    <w:rsid w:val="772F7FE1"/>
    <w:rsid w:val="781B6892"/>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qFormat/>
    <w:uiPriority w:val="0"/>
    <w:pPr>
      <w:keepNext/>
      <w:keepLines/>
      <w:spacing w:before="260" w:after="260" w:line="416" w:lineRule="auto"/>
      <w:jc w:val="left"/>
      <w:outlineLvl w:val="2"/>
    </w:pPr>
    <w:rPr>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index 6"/>
    <w:basedOn w:val="1"/>
    <w:next w:val="1"/>
    <w:qFormat/>
    <w:uiPriority w:val="0"/>
    <w:pPr>
      <w:tabs>
        <w:tab w:val="left" w:pos="426"/>
      </w:tabs>
      <w:ind w:left="2100"/>
    </w:pPr>
  </w:style>
  <w:style w:type="paragraph" w:styleId="6">
    <w:name w:val="Body Text"/>
    <w:basedOn w:val="1"/>
    <w:next w:val="7"/>
    <w:qFormat/>
    <w:uiPriority w:val="0"/>
    <w:pPr>
      <w:spacing w:after="120"/>
    </w:pPr>
  </w:style>
  <w:style w:type="paragraph" w:customStyle="1" w:styleId="7">
    <w:name w:val="Default"/>
    <w:next w:val="5"/>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qFormat/>
    <w:uiPriority w:val="0"/>
    <w:rPr>
      <w:rFonts w:ascii="宋体" w:hAnsi="Courier New" w:eastAsiaTheme="minorEastAsia" w:cstheme="minorBidi"/>
      <w:szCs w:val="20"/>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customStyle="1" w:styleId="16">
    <w:name w:val="_Style 1"/>
    <w:basedOn w:val="1"/>
    <w:qFormat/>
    <w:uiPriority w:val="99"/>
    <w:pPr>
      <w:ind w:firstLine="420" w:firstLineChars="200"/>
    </w:pPr>
  </w:style>
  <w:style w:type="paragraph" w:customStyle="1" w:styleId="17">
    <w:name w:val="表格文字"/>
    <w:basedOn w:val="1"/>
    <w:qFormat/>
    <w:uiPriority w:val="0"/>
    <w:pPr>
      <w:spacing w:before="25" w:after="25" w:line="240" w:lineRule="auto"/>
      <w:ind w:firstLine="0"/>
      <w:jc w:val="left"/>
    </w:pPr>
    <w:rPr>
      <w:bCs/>
      <w:spacing w:val="10"/>
      <w:kern w:val="0"/>
      <w:sz w:val="24"/>
    </w:rPr>
  </w:style>
  <w:style w:type="character" w:customStyle="1" w:styleId="18">
    <w:name w:val="页眉 Char"/>
    <w:basedOn w:val="14"/>
    <w:link w:val="10"/>
    <w:qFormat/>
    <w:uiPriority w:val="99"/>
    <w:rPr>
      <w:sz w:val="18"/>
      <w:szCs w:val="18"/>
    </w:rPr>
  </w:style>
  <w:style w:type="character" w:customStyle="1" w:styleId="19">
    <w:name w:val="页脚 Char"/>
    <w:basedOn w:val="14"/>
    <w:link w:val="9"/>
    <w:qFormat/>
    <w:uiPriority w:val="99"/>
    <w:rPr>
      <w:sz w:val="18"/>
      <w:szCs w:val="18"/>
    </w:rPr>
  </w:style>
  <w:style w:type="character" w:customStyle="1" w:styleId="20">
    <w:name w:val="纯文本 Char"/>
    <w:basedOn w:val="14"/>
    <w:link w:val="8"/>
    <w:qFormat/>
    <w:uiPriority w:val="0"/>
    <w:rPr>
      <w:rFonts w:ascii="宋体" w:hAnsi="Courier New"/>
      <w:szCs w:val="20"/>
    </w:rPr>
  </w:style>
  <w:style w:type="paragraph" w:customStyle="1" w:styleId="21">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qFormat/>
    <w:uiPriority w:val="0"/>
    <w:rPr>
      <w:rFonts w:ascii="Times New Roman" w:hAnsi="Arial" w:eastAsia="宋体" w:cs="Times New Roman"/>
      <w:b/>
      <w:kern w:val="0"/>
      <w:sz w:val="32"/>
      <w:szCs w:val="24"/>
    </w:rPr>
  </w:style>
  <w:style w:type="paragraph" w:styleId="23">
    <w:name w:val="List Paragraph"/>
    <w:basedOn w:val="1"/>
    <w:qFormat/>
    <w:uiPriority w:val="34"/>
    <w:pPr>
      <w:ind w:firstLine="420" w:firstLineChars="200"/>
    </w:pPr>
  </w:style>
  <w:style w:type="paragraph" w:customStyle="1" w:styleId="24">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qFormat/>
    <w:uiPriority w:val="0"/>
    <w:rPr>
      <w:rFonts w:hint="default" w:ascii="Times New Roman" w:hAnsi="Times New Roman" w:cs="Times New Roman"/>
      <w:b/>
      <w:bCs/>
      <w:color w:val="000000"/>
      <w:sz w:val="26"/>
      <w:szCs w:val="26"/>
      <w:u w:val="none"/>
    </w:rPr>
  </w:style>
  <w:style w:type="character" w:customStyle="1" w:styleId="26">
    <w:name w:val="font31"/>
    <w:basedOn w:val="14"/>
    <w:qFormat/>
    <w:uiPriority w:val="0"/>
    <w:rPr>
      <w:rFonts w:hint="eastAsia" w:ascii="宋体" w:hAnsi="宋体" w:eastAsia="宋体" w:cs="宋体"/>
      <w:b/>
      <w:bCs/>
      <w:color w:val="000000"/>
      <w:sz w:val="26"/>
      <w:szCs w:val="26"/>
      <w:u w:val="none"/>
    </w:rPr>
  </w:style>
  <w:style w:type="character" w:customStyle="1" w:styleId="27">
    <w:name w:val="font21"/>
    <w:basedOn w:val="14"/>
    <w:qFormat/>
    <w:uiPriority w:val="0"/>
    <w:rPr>
      <w:rFonts w:hint="default" w:ascii="Times New Roman" w:hAnsi="Times New Roman" w:cs="Times New Roman"/>
      <w:color w:val="000000"/>
      <w:sz w:val="20"/>
      <w:szCs w:val="20"/>
      <w:u w:val="none"/>
    </w:rPr>
  </w:style>
  <w:style w:type="character" w:customStyle="1" w:styleId="28">
    <w:name w:val="font01"/>
    <w:basedOn w:val="14"/>
    <w:qFormat/>
    <w:uiPriority w:val="0"/>
    <w:rPr>
      <w:rFonts w:hint="eastAsia" w:ascii="宋体" w:hAnsi="宋体" w:eastAsia="宋体" w:cs="宋体"/>
      <w:color w:val="FF0000"/>
      <w:sz w:val="20"/>
      <w:szCs w:val="20"/>
      <w:u w:val="none"/>
    </w:rPr>
  </w:style>
  <w:style w:type="character" w:customStyle="1" w:styleId="29">
    <w:name w:val="font51"/>
    <w:basedOn w:val="14"/>
    <w:qFormat/>
    <w:uiPriority w:val="0"/>
    <w:rPr>
      <w:rFonts w:hint="eastAsia" w:ascii="宋体" w:hAnsi="宋体" w:eastAsia="宋体" w:cs="宋体"/>
      <w:color w:val="000000"/>
      <w:sz w:val="20"/>
      <w:szCs w:val="20"/>
      <w:u w:val="none"/>
    </w:rPr>
  </w:style>
  <w:style w:type="character" w:customStyle="1" w:styleId="30">
    <w:name w:val="font61"/>
    <w:basedOn w:val="14"/>
    <w:qFormat/>
    <w:uiPriority w:val="0"/>
    <w:rPr>
      <w:rFonts w:hint="eastAsia" w:ascii="宋体" w:hAnsi="宋体" w:eastAsia="宋体" w:cs="宋体"/>
      <w:b/>
      <w:bCs/>
      <w:color w:val="000000"/>
      <w:sz w:val="22"/>
      <w:szCs w:val="22"/>
      <w:u w:val="none"/>
    </w:rPr>
  </w:style>
  <w:style w:type="character" w:customStyle="1" w:styleId="31">
    <w:name w:val="font81"/>
    <w:basedOn w:val="14"/>
    <w:qFormat/>
    <w:uiPriority w:val="0"/>
    <w:rPr>
      <w:rFonts w:ascii="微软雅黑" w:hAnsi="微软雅黑" w:eastAsia="微软雅黑" w:cs="微软雅黑"/>
      <w:color w:val="000000"/>
      <w:sz w:val="18"/>
      <w:szCs w:val="18"/>
      <w:u w:val="none"/>
    </w:rPr>
  </w:style>
  <w:style w:type="paragraph" w:customStyle="1" w:styleId="32">
    <w:name w:val="纯文本1"/>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64</Pages>
  <Words>26347</Words>
  <Characters>33525</Characters>
  <Lines>64</Lines>
  <Paragraphs>18</Paragraphs>
  <TotalTime>1</TotalTime>
  <ScaleCrop>false</ScaleCrop>
  <LinksUpToDate>false</LinksUpToDate>
  <CharactersWithSpaces>34847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2023-01-06T06:30:48Z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7ADE6C8540C341568C48BB29A8B6A14F</vt:lpwstr>
  </property>
  <property fmtid="{D5CDD505-2E9C-101B-9397-08002B2CF9AE}" pid="4" name="commondata">
    <vt:lpwstr>eyJoZGlkIjoiMTc3ZDYxZWIyMzU3ZTQ5Mzc1Y2ViMjBlY2MyYWQ5OGIifQ==</vt:lpwstr>
  </property>
</Properties>
</file>