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食堂保障服务项目需求方案</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华文中宋" w:hAnsi="华文中宋" w:eastAsia="华文中宋" w:cs="华文中宋"/>
          <w:b/>
          <w:bCs/>
          <w:sz w:val="44"/>
          <w:szCs w:val="44"/>
        </w:rPr>
      </w:pPr>
      <w:r>
        <w:rPr>
          <w:rFonts w:hint="eastAsia" w:ascii="华文中宋" w:hAnsi="华文中宋" w:eastAsia="华文中宋" w:cs="华文中宋"/>
          <w:b/>
          <w:bCs/>
          <w:sz w:val="44"/>
          <w:szCs w:val="44"/>
        </w:rPr>
        <w:t>(征求意见稿）</w:t>
      </w:r>
    </w:p>
    <w:p>
      <w:pPr>
        <w:spacing w:line="600" w:lineRule="exact"/>
        <w:jc w:val="center"/>
        <w:rPr>
          <w:rFonts w:ascii="华文中宋" w:hAnsi="华文中宋" w:eastAsia="华文中宋" w:cs="华文中宋"/>
          <w:b/>
          <w:bCs/>
          <w:sz w:val="44"/>
          <w:szCs w:val="44"/>
        </w:rPr>
      </w:pPr>
    </w:p>
    <w:p>
      <w:pPr>
        <w:numPr>
          <w:ilvl w:val="0"/>
          <w:numId w:val="1"/>
        </w:num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项目信息</w:t>
      </w:r>
    </w:p>
    <w:p>
      <w:pPr>
        <w:numPr>
          <w:ilvl w:val="0"/>
          <w:numId w:val="2"/>
        </w:numPr>
        <w:spacing w:line="400" w:lineRule="exact"/>
        <w:ind w:left="646" w:hanging="16"/>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u w:val="single"/>
        </w:rPr>
        <w:t xml:space="preserve">食堂保障服务项目      </w:t>
      </w:r>
    </w:p>
    <w:p>
      <w:pPr>
        <w:numPr>
          <w:ilvl w:val="0"/>
          <w:numId w:val="2"/>
        </w:numPr>
        <w:spacing w:line="400" w:lineRule="exact"/>
        <w:ind w:left="828" w:hanging="198"/>
        <w:rPr>
          <w:rFonts w:ascii="仿宋_GB2312" w:hAnsi="仿宋_GB2312" w:eastAsia="仿宋_GB2312" w:cs="仿宋_GB2312"/>
          <w:sz w:val="28"/>
          <w:szCs w:val="28"/>
        </w:rPr>
      </w:pPr>
      <w:r>
        <w:rPr>
          <w:rFonts w:hint="eastAsia" w:ascii="仿宋_GB2312" w:hAnsi="仿宋_GB2312" w:eastAsia="仿宋_GB2312" w:cs="仿宋_GB2312"/>
          <w:sz w:val="28"/>
          <w:szCs w:val="28"/>
        </w:rPr>
        <w:t>采购规模：</w:t>
      </w:r>
      <w:r>
        <w:rPr>
          <w:rFonts w:hint="eastAsia" w:ascii="仿宋_GB2312" w:hAnsi="仿宋_GB2312" w:eastAsia="仿宋_GB2312" w:cs="仿宋_GB2312"/>
          <w:sz w:val="28"/>
          <w:szCs w:val="28"/>
          <w:u w:val="single"/>
        </w:rPr>
        <w:t>3713000元</w:t>
      </w:r>
    </w:p>
    <w:p>
      <w:pPr>
        <w:numPr>
          <w:ilvl w:val="0"/>
          <w:numId w:val="2"/>
        </w:numPr>
        <w:spacing w:line="400" w:lineRule="exact"/>
        <w:ind w:hanging="84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项目概况：</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保障全局14个办公场所（机关、老干中心、12个监管所）饭堂（约800人就餐）正常供应，因人力缺失，我局拟通过购买服务的方式，将食堂的综合服务保障工作外包给专业公司。具体的工作内容包括：提供早、中两餐以及我单位要求的其他供餐服务；食堂卫生保洁与管理；对服务人员的健康管理；对食品安全保障管理；对食堂设备日常维护；构建有特色的职工餐饮文化；饭堂内部四害消杀等。</w:t>
      </w:r>
    </w:p>
    <w:p>
      <w:pPr>
        <w:numPr>
          <w:ilvl w:val="0"/>
          <w:numId w:val="1"/>
        </w:num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投标人资格要求</w:t>
      </w:r>
    </w:p>
    <w:p>
      <w:pPr>
        <w:pStyle w:val="3"/>
        <w:numPr>
          <w:ilvl w:val="0"/>
          <w:numId w:val="3"/>
        </w:numPr>
        <w:spacing w:before="78" w:beforeLines="25" w:after="78" w:afterLines="25" w:line="40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具有独立法人资格或具有独立承担民事责任的能力的其它组织（提供营业执照或事业单位法人证等法人证明扫描件，原件备查）。</w:t>
      </w:r>
    </w:p>
    <w:p>
      <w:pPr>
        <w:pStyle w:val="3"/>
        <w:numPr>
          <w:ilvl w:val="0"/>
          <w:numId w:val="3"/>
        </w:numPr>
        <w:spacing w:before="78" w:beforeLines="25" w:after="78" w:afterLines="25" w:line="40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本项目不接受联合体投标。</w:t>
      </w:r>
    </w:p>
    <w:p>
      <w:pPr>
        <w:pStyle w:val="3"/>
        <w:numPr>
          <w:ilvl w:val="0"/>
          <w:numId w:val="3"/>
        </w:numPr>
        <w:spacing w:before="78" w:beforeLines="25" w:after="78" w:afterLines="25" w:line="40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参与本项目投标前三年内，在经营活动中没有重大违法记录；参与本项目政府采购活动时不存在被有关部门禁止参与政府采购活动且在有效期内的情况；具备《中华人民共和国政府采购法》第二十二条第一款的条件；参与政府采购项目投标的供应商未被列入失信被执行人、重大税收违法案件当事人名单、政府采购严重违法失信行为记录名单。（以上内容由供应商在《政府采购投标及履约承诺函》中作出声明）</w:t>
      </w:r>
    </w:p>
    <w:p>
      <w:pPr>
        <w:pStyle w:val="3"/>
        <w:spacing w:before="78" w:beforeLines="25" w:after="78" w:afterLines="25" w:line="400" w:lineRule="exact"/>
        <w:ind w:firstLine="523" w:firstLineChars="187"/>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注：“信用中国”、“中国政府采购网”以及“深圳市政府采购监管网”为供应商信用信息的查询渠道，相关信息以中标通知书发出前的查询结果为准。</w:t>
      </w:r>
    </w:p>
    <w:p>
      <w:pPr>
        <w:numPr>
          <w:ilvl w:val="0"/>
          <w:numId w:val="1"/>
        </w:num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项目需求</w:t>
      </w:r>
    </w:p>
    <w:p>
      <w:pPr>
        <w:numPr>
          <w:ilvl w:val="0"/>
          <w:numId w:val="4"/>
        </w:numPr>
        <w:spacing w:line="400" w:lineRule="exact"/>
        <w:ind w:firstLine="0"/>
        <w:rPr>
          <w:rFonts w:ascii="仿宋_GB2312" w:hAnsi="仿宋_GB2312" w:eastAsia="仿宋_GB2312" w:cs="仿宋_GB2312"/>
          <w:sz w:val="28"/>
          <w:szCs w:val="28"/>
        </w:rPr>
      </w:pPr>
      <w:r>
        <w:rPr>
          <w:rFonts w:hint="eastAsia" w:ascii="仿宋_GB2312" w:hAnsi="仿宋_GB2312" w:eastAsia="仿宋_GB2312" w:cs="仿宋_GB2312"/>
          <w:sz w:val="28"/>
          <w:szCs w:val="28"/>
        </w:rPr>
        <w:t>项目技术要求</w:t>
      </w:r>
    </w:p>
    <w:p>
      <w:pPr>
        <w:widowControl/>
        <w:ind w:firstLine="562" w:firstLineChars="200"/>
        <w:jc w:val="left"/>
        <w:rPr>
          <w:rFonts w:ascii="仿宋_GB2312" w:hAnsi="仿宋_GB2312" w:eastAsia="仿宋_GB2312" w:cs="仿宋_GB2312"/>
          <w:b/>
          <w:kern w:val="0"/>
          <w:sz w:val="28"/>
          <w:szCs w:val="28"/>
        </w:rPr>
      </w:pPr>
      <w:r>
        <w:rPr>
          <w:rFonts w:hint="eastAsia" w:ascii="仿宋_GB2312" w:hAnsi="仿宋_GB2312" w:eastAsia="仿宋_GB2312" w:cs="仿宋_GB2312"/>
          <w:b/>
          <w:sz w:val="28"/>
          <w:szCs w:val="28"/>
          <w:lang w:eastAsia="zh-CN"/>
        </w:rPr>
        <w:t>一</w:t>
      </w:r>
      <w:r>
        <w:rPr>
          <w:rFonts w:hint="eastAsia" w:ascii="仿宋_GB2312" w:hAnsi="仿宋_GB2312" w:eastAsia="仿宋_GB2312" w:cs="仿宋_GB2312"/>
          <w:b/>
          <w:sz w:val="28"/>
          <w:szCs w:val="28"/>
        </w:rPr>
        <w:t>、</w:t>
      </w:r>
      <w:r>
        <w:rPr>
          <w:rFonts w:hint="eastAsia" w:ascii="仿宋_GB2312" w:hAnsi="仿宋_GB2312" w:eastAsia="仿宋_GB2312" w:cs="仿宋_GB2312"/>
          <w:b/>
          <w:kern w:val="0"/>
          <w:sz w:val="28"/>
          <w:szCs w:val="28"/>
        </w:rPr>
        <w:t>项目服务范围</w:t>
      </w:r>
    </w:p>
    <w:p>
      <w:pPr>
        <w:spacing w:line="360" w:lineRule="auto"/>
        <w:ind w:firstLine="281" w:firstLineChars="100"/>
        <w:rPr>
          <w:rFonts w:ascii="仿宋_GB2312" w:hAnsi="仿宋_GB2312" w:eastAsia="仿宋_GB2312" w:cs="仿宋_GB2312"/>
          <w:color w:val="000000"/>
          <w:kern w:val="0"/>
          <w:sz w:val="28"/>
          <w:szCs w:val="28"/>
        </w:rPr>
      </w:pP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Cs/>
          <w:sz w:val="28"/>
          <w:szCs w:val="28"/>
        </w:rPr>
        <w:t>保障全局14个办公场所（机关、老干中心、12个监管所）饭堂（约800人就餐）正常供应，因人力缺失，我局拟通过购买服务的方式，将食堂的综合服务保障工作外包给专业公司。具体的工作内容包括：提供早、中两餐以及我单位要求的其他供餐服务；食堂卫生保洁与管理；对服务人员的健康管理；对食品安全保障管理；对食堂设备日常维护；构建有特色的职工餐饮文化；饭堂内部四害消杀等</w:t>
      </w:r>
      <w:r>
        <w:rPr>
          <w:rFonts w:hint="eastAsia" w:ascii="仿宋_GB2312" w:hAnsi="仿宋_GB2312" w:eastAsia="仿宋_GB2312" w:cs="仿宋_GB2312"/>
          <w:bCs/>
          <w:color w:val="000000"/>
          <w:kern w:val="0"/>
          <w:sz w:val="28"/>
          <w:szCs w:val="28"/>
        </w:rPr>
        <w:t>。</w:t>
      </w:r>
    </w:p>
    <w:p>
      <w:pPr>
        <w:spacing w:line="360" w:lineRule="auto"/>
        <w:ind w:firstLine="280" w:firstLineChars="100"/>
        <w:rPr>
          <w:rFonts w:ascii="仿宋_GB2312" w:hAnsi="仿宋_GB2312" w:eastAsia="仿宋_GB2312" w:cs="仿宋_GB2312"/>
          <w:b/>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二</w:t>
      </w: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b/>
          <w:sz w:val="28"/>
          <w:szCs w:val="28"/>
        </w:rPr>
        <w:t>服务工作主要内容及要求</w:t>
      </w:r>
    </w:p>
    <w:p>
      <w:pPr>
        <w:spacing w:after="78" w:line="53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中标人负责本单位工作人员用餐（含工作餐、会议用餐）及职工食堂日常事务管理，以保证采购人全体职工每周周一至周五工作人员正常就餐（用餐时间：早餐8:00-9:00、中餐12:00-13:00），如遇特殊情况需进行特别保障的（如提供宵夜、提前开饭、延后开饭等），中标人需无条件进行保障；</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（2）中餐荤素搭配科学合理。；</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（3）不得对外经营。</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（4）中标人根据采购单位需求提供厨师，厨师按照采购单位规章制度和相关岗位职责开展工作。落实采购单位根据规章制度和工作需要提出的其他管理要求。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（5）厨师须严格遵守法律法规及招标单位的规章制度；规范着装，保持良好的个人形象；须保持最佳的服务态度和职业道德，自觉接受管理。</w:t>
      </w:r>
    </w:p>
    <w:p>
      <w:pPr>
        <w:spacing w:line="360" w:lineRule="auto"/>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(6) 食堂工作人员必须持有效健康证上岗，应严格执行食品安全法，搞好食品卫生、个人卫生和环境卫生。做好消毒工作，把住病从口入关，严防食物中毒和食源性疾病；严格执行安全生产制度，做好防火、防盗，杜绝重大事故。</w:t>
      </w:r>
    </w:p>
    <w:p>
      <w:pPr>
        <w:tabs>
          <w:tab w:val="left" w:pos="1440"/>
        </w:tabs>
        <w:spacing w:after="78" w:line="53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（7）人员配备要求：</w:t>
      </w:r>
      <w:r>
        <w:rPr>
          <w:rFonts w:hint="eastAsia" w:ascii="仿宋_GB2312" w:hAnsi="仿宋_GB2312" w:eastAsia="仿宋_GB2312" w:cs="仿宋_GB2312"/>
          <w:color w:val="000000"/>
          <w:sz w:val="28"/>
          <w:szCs w:val="28"/>
        </w:rPr>
        <w:t>厨师。25～55岁，身体健康，国家相关部门颁发的厨师资质并具有从事饮食餐饮服务岗位3年以上工作经历。</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（8）在工作当中做到服从命令，听从指挥。严格遵守工作纪律，按时上下班，不迟到早退，不旷工，积极完成各项工作任务。</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（9）不得利用工作之便进行吃、拿、卡、要，不得私分、挪用或暂扣罚没物品。</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（10）在工作时不准吸烟、不准闲谈、会客、办私事。男厨师或男厨工不准留长发，蓄胡须。</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（11）严格遵守供应商及采购人的各项规章制度。</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（12）严格请销假制度，经批准后方可休假。</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（13）采购人在国家法律规定的范围内安排监管</w:t>
      </w:r>
      <w:bookmarkStart w:id="0" w:name="OLE_LINK2"/>
      <w:bookmarkStart w:id="1" w:name="OLE_LINK1"/>
      <w:r>
        <w:rPr>
          <w:rFonts w:hint="eastAsia" w:ascii="仿宋_GB2312" w:hAnsi="仿宋_GB2312" w:eastAsia="仿宋_GB2312" w:cs="仿宋_GB2312"/>
          <w:sz w:val="28"/>
          <w:szCs w:val="28"/>
        </w:rPr>
        <w:t>厨师</w:t>
      </w:r>
      <w:bookmarkEnd w:id="0"/>
      <w:bookmarkEnd w:id="1"/>
      <w:r>
        <w:rPr>
          <w:rFonts w:hint="eastAsia" w:ascii="仿宋_GB2312" w:hAnsi="仿宋_GB2312" w:eastAsia="仿宋_GB2312" w:cs="仿宋_GB2312"/>
          <w:sz w:val="28"/>
          <w:szCs w:val="28"/>
        </w:rPr>
        <w:t>的工作时间，每周工作五天，一般按法定节假日休息。厨师工作时要做到按规定在岗在位。</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highlight w:val="none"/>
        </w:rPr>
        <w:t>（14）厨师在工作期间因执行职务或其他原因造成第三方损害的，根据具体情况来界定划分责任。采购人因法律明确规定被要求承担连</w:t>
      </w:r>
      <w:r>
        <w:rPr>
          <w:rFonts w:hint="eastAsia" w:ascii="仿宋_GB2312" w:hAnsi="仿宋_GB2312" w:eastAsia="仿宋_GB2312" w:cs="仿宋_GB2312"/>
          <w:sz w:val="28"/>
          <w:szCs w:val="28"/>
        </w:rPr>
        <w:t>带责任的，在承担相应的责任后，有权向供应商追偿。因厨师违纪违法行为导致采购人遭受上级组织的批评或其他损失的，采购人有权要求供应商赔偿采购人因此遭受的损失，该损失数额也可在采购人应支付给供应商的服务费中直接扣除。</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（15）中标人负责厨师工资、福利，并负责为其购买人身意外保险和社保。厨师在工作期间因工受伤或遭受其他损失的，由供应商作为用人单位履行相应法律责任。</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16）合同期内服务员工有下列情况之一的，采购单位可随时退回服务员工或要求中标人更换服务员工，但必须向中标人提供经人民法院或劳动仲裁委员会认可的，或者该服务员工自认的合法有效的下列事实的证据材料：</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1、试用期内被证明不符合录用条件的；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2、严重违反采购单位依法制定的规章制度、业务规程或劳动纪律的；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3、严重失职，营私舞弊，给采购单位利益造成重大损害的；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4、有违法犯罪行为被追究刑事责任的；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5、服务员工同时与其他用人单位建立劳动关系，对完成采购单位的工作任务造成严重影响，或者经采购单位提出，拒不改正的。</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有下列情形之一，采购单位提前三十日通知中标人和服务员工本人后，可以退回服务员工：</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 xml:space="preserve"> 1、服务员工患病或非因工负伤，医疗期满后，不能从</w:t>
      </w:r>
      <w:r>
        <w:rPr>
          <w:rFonts w:hint="eastAsia" w:ascii="仿宋_GB2312" w:hAnsi="仿宋_GB2312" w:eastAsia="仿宋_GB2312" w:cs="仿宋_GB2312"/>
          <w:bCs/>
          <w:sz w:val="28"/>
          <w:szCs w:val="28"/>
        </w:rPr>
        <w:t>事原工作也不能从事由采购单位另行安排的工作的；</w:t>
      </w:r>
    </w:p>
    <w:p>
      <w:pPr>
        <w:spacing w:line="360" w:lineRule="auto"/>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2、员工不能胜任工作，经过培训或调整岗位，仍不能胜任工作的； </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bCs/>
          <w:sz w:val="28"/>
          <w:szCs w:val="28"/>
        </w:rPr>
        <w:t xml:space="preserve"> 3、依据的客观情况发生重大变化，致使原合同无法履行的。</w:t>
      </w:r>
    </w:p>
    <w:p>
      <w:pPr>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、项目人员数量</w:t>
      </w:r>
    </w:p>
    <w:p>
      <w:pPr>
        <w:spacing w:line="360" w:lineRule="auto"/>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color w:val="000000"/>
          <w:sz w:val="28"/>
          <w:szCs w:val="28"/>
        </w:rPr>
        <w:t>应配备中级厨师或厨师27人、厨工12人。以上人员在签订合同5个工作日内安排到位；同时，应优先考虑接收采购单位原有后勤人员。</w:t>
      </w:r>
    </w:p>
    <w:p>
      <w:pPr>
        <w:numPr>
          <w:ilvl w:val="0"/>
          <w:numId w:val="0"/>
        </w:num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本项目的控制金额是人民币</w:t>
      </w:r>
      <w:r>
        <w:rPr>
          <w:rFonts w:hint="eastAsia" w:ascii="仿宋_GB2312" w:hAnsi="仿宋_GB2312" w:eastAsia="仿宋_GB2312" w:cs="仿宋_GB2312"/>
          <w:sz w:val="28"/>
          <w:szCs w:val="28"/>
          <w:u w:val="single"/>
        </w:rPr>
        <w:t>3713000</w:t>
      </w:r>
      <w:r>
        <w:rPr>
          <w:rFonts w:hint="eastAsia" w:ascii="仿宋_GB2312" w:hAnsi="仿宋_GB2312" w:eastAsia="仿宋_GB2312" w:cs="仿宋_GB2312"/>
          <w:sz w:val="28"/>
          <w:szCs w:val="28"/>
        </w:rPr>
        <w:t>元/12个月（含税），项目采用包干制，投标人的报价不得高于招标控制金额。</w:t>
      </w:r>
    </w:p>
    <w:p>
      <w:pPr>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lang w:eastAsia="zh-CN"/>
        </w:rPr>
        <w:t>四</w:t>
      </w:r>
      <w:r>
        <w:rPr>
          <w:rFonts w:hint="eastAsia" w:ascii="仿宋_GB2312" w:hAnsi="仿宋_GB2312" w:eastAsia="仿宋_GB2312" w:cs="仿宋_GB2312"/>
          <w:b/>
          <w:sz w:val="28"/>
          <w:szCs w:val="28"/>
        </w:rPr>
        <w:t>、中标人服务要求</w:t>
      </w:r>
    </w:p>
    <w:p>
      <w:pPr>
        <w:spacing w:line="360" w:lineRule="auto"/>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1.中标人应尽可能地确保服务合同期内服务人员的稳定性，确保人员到岗不低于39人，避免因人员流动造成工作影响。如服务人员在合同期内辞职或者旷工超过5天，需及时输送符合工作要求的替补人员，人员辞职须在10个工作日内补充，服务人员的名单、履历经龙岗局确定后，中标人须在5个工作日内办理完毕劳动合同签订手续，按时向采购人提供服务。</w:t>
      </w:r>
    </w:p>
    <w:p>
      <w:pPr>
        <w:spacing w:line="360" w:lineRule="auto"/>
        <w:ind w:firstLine="565" w:firstLineChars="202"/>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color w:val="000000"/>
          <w:sz w:val="28"/>
          <w:szCs w:val="28"/>
        </w:rPr>
        <w:t xml:space="preserve"> 中标人的辅助执法服务人员应符合采购单位的政审要求，无违法犯罪或违反计划生育记录，身体健康并具有相应岗位所要求的工作能力和素质要求，学历要求。</w:t>
      </w:r>
    </w:p>
    <w:p>
      <w:pPr>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3.中标人须负责派驻的工作人员的人事、劳资、社会保险、计生等人事劳资管理工作，并提供为派驻的工作人员办理劳动用工手续、</w:t>
      </w:r>
      <w:r>
        <w:rPr>
          <w:rFonts w:hint="eastAsia" w:ascii="仿宋_GB2312" w:hAnsi="仿宋_GB2312" w:eastAsia="仿宋_GB2312" w:cs="仿宋_GB2312"/>
          <w:sz w:val="28"/>
          <w:szCs w:val="28"/>
          <w:highlight w:val="none"/>
        </w:rPr>
        <w:t>结算发放工资、发放经济补偿金、缴纳社会保险、处理保险理赔、管理人事档案等方面的管理服务；教育派驻的工作人员服从采购单位的</w:t>
      </w:r>
      <w:r>
        <w:rPr>
          <w:rFonts w:hint="eastAsia" w:ascii="仿宋_GB2312" w:hAnsi="仿宋_GB2312" w:eastAsia="仿宋_GB2312" w:cs="仿宋_GB2312"/>
          <w:sz w:val="28"/>
          <w:szCs w:val="28"/>
        </w:rPr>
        <w:t>规章制度要求和工作安排；按照采购单位的要求，及时更换不能胜任工作人员；负责处理合同服务期内所有劳资纠纷和调解管理纠纷；落实采购单位根据规章制度和工作需要提出的其他管理要求。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highlight w:val="none"/>
        </w:rPr>
        <w:t>4.中标人应确保及时、准确、妥善的处理服务人员的薪酬管理、社保办理及个税代扣代缴等工作，避免发生劳动仲裁、诉讼事件。</w:t>
      </w:r>
      <w:r>
        <w:rPr>
          <w:rFonts w:hint="eastAsia" w:ascii="仿宋_GB2312" w:hAnsi="仿宋_GB2312" w:eastAsia="仿宋_GB2312" w:cs="仿宋_GB2312"/>
          <w:sz w:val="28"/>
          <w:szCs w:val="28"/>
        </w:rPr>
        <w:t>同时，中标人应及时提供与服务人员签订的劳动合同、工资、保险、住房公积金、社保等，以备龙岗局审查。</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5.中标人应确保和谐、稳妥的处理服务人员的劳动仲裁、劳动诉讼及人事仲裁事件，避免妨碍龙岗局的正常工作</w:t>
      </w:r>
      <w:bookmarkStart w:id="2" w:name="_GoBack"/>
      <w:bookmarkEnd w:id="2"/>
      <w:r>
        <w:rPr>
          <w:rFonts w:hint="eastAsia" w:ascii="仿宋_GB2312" w:hAnsi="仿宋_GB2312" w:eastAsia="仿宋_GB2312" w:cs="仿宋_GB2312"/>
          <w:sz w:val="28"/>
          <w:szCs w:val="28"/>
        </w:rPr>
        <w:t>或给龙岗局带来不利社会影响。</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中标人应安排客户经理管理服务人员，妥善处理服务人员的各项事务，协助采购单位开展服务项目的相关工作。因派驻的工作人员工作失职或故意行为或违法犯罪行为造成采购单位经济损失的，中标人应根据公安机关的立案调查结果或法院判决，承担相应的赔偿责任；因中标人自身原因所引发的一切纠纷，由中标人负完全责任；因中标人自身原因导致纠纷扩大或未能减小采购单位相关损失的，由中标人承担相应责任；派驻的工作人员在非工作时间内发生的人身意外或其他纠纷，由中标人负责处理。如中标人挪用派驻的工作人员工资和其他福利、社会保险费用，除承担由此引发的一切法律责任外，采购单位有权中止服务合同。</w:t>
      </w:r>
    </w:p>
    <w:p>
      <w:pPr>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7. 中标人应制定管理制度，履行服务责任，服务、调换派驻的工作人员须得到采购单位的同意。因中标人自身原因引发管理或劳资纠纷的，由中标人承担由此引发的全部责任。</w:t>
      </w:r>
    </w:p>
    <w:p>
      <w:pPr>
        <w:spacing w:line="360" w:lineRule="auto"/>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8.中标人须落实文明管理服务的措施，提供文明优质的服务。</w:t>
      </w:r>
    </w:p>
    <w:p>
      <w:pPr>
        <w:spacing w:line="360" w:lineRule="auto"/>
        <w:ind w:firstLine="567" w:firstLineChars="202"/>
        <w:rPr>
          <w:rFonts w:ascii="仿宋_GB2312" w:hAnsi="仿宋_GB2312" w:eastAsia="仿宋_GB2312" w:cs="仿宋_GB2312"/>
          <w:b/>
          <w:sz w:val="28"/>
          <w:szCs w:val="28"/>
        </w:rPr>
      </w:pPr>
      <w:r>
        <w:rPr>
          <w:rFonts w:hint="eastAsia" w:ascii="仿宋_GB2312" w:hAnsi="仿宋_GB2312" w:eastAsia="仿宋_GB2312" w:cs="仿宋_GB2312"/>
          <w:b/>
          <w:sz w:val="28"/>
          <w:szCs w:val="28"/>
        </w:rPr>
        <w:t>五、其他要求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中标人必须接受采购人下列两项要求，如不接受请勿应标：</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1.中标人在签订合同5个工作日内，安排不少于36名工作人员到岗；</w:t>
      </w:r>
    </w:p>
    <w:p>
      <w:pPr>
        <w:spacing w:after="78" w:line="53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Cs/>
          <w:sz w:val="28"/>
          <w:szCs w:val="28"/>
        </w:rPr>
        <w:t xml:space="preserve"> 采购人提供饭堂、厨房场地和厨房设备、餐具等硬件设施，并承担食堂食品原材料采购、水电费用、燃料费用和硬件设施维修费用；</w:t>
      </w:r>
    </w:p>
    <w:p>
      <w:pPr>
        <w:spacing w:line="400" w:lineRule="exact"/>
        <w:ind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3.本项目不提供住宿。</w:t>
      </w:r>
      <w:r>
        <w:rPr>
          <w:rFonts w:hint="eastAsia" w:ascii="仿宋_GB2312" w:hAnsi="仿宋_GB2312" w:eastAsia="仿宋_GB2312" w:cs="仿宋_GB2312"/>
          <w:color w:val="FF0000"/>
          <w:sz w:val="28"/>
          <w:szCs w:val="28"/>
        </w:rPr>
        <w:t xml:space="preserve"> </w:t>
      </w:r>
    </w:p>
    <w:p>
      <w:pPr>
        <w:numPr>
          <w:ilvl w:val="0"/>
          <w:numId w:val="5"/>
        </w:num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项目商务要求</w:t>
      </w: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color w:val="FF0000"/>
          <w:sz w:val="28"/>
          <w:szCs w:val="28"/>
        </w:rPr>
        <w:t>注：提供项目服务期限（完成期限）、质量考核验收标准及违约金、付款方式、验收要求、培训要求、售后服务要求等。</w:t>
      </w:r>
    </w:p>
    <w:p>
      <w:pPr>
        <w:spacing w:line="400" w:lineRule="exact"/>
        <w:ind w:left="630"/>
        <w:rPr>
          <w:rFonts w:ascii="仿宋_GB2312" w:hAnsi="仿宋_GB2312" w:eastAsia="仿宋_GB2312" w:cs="仿宋_GB2312"/>
          <w:sz w:val="28"/>
          <w:szCs w:val="28"/>
        </w:rPr>
      </w:pPr>
      <w:r>
        <w:rPr>
          <w:rFonts w:hint="eastAsia" w:ascii="仿宋_GB2312" w:hAnsi="仿宋_GB2312" w:eastAsia="仿宋_GB2312" w:cs="仿宋_GB2312"/>
          <w:sz w:val="28"/>
          <w:szCs w:val="28"/>
        </w:rPr>
        <w:t>1.服务期限：</w:t>
      </w:r>
      <w:r>
        <w:rPr>
          <w:rFonts w:hint="eastAsia" w:ascii="仿宋_GB2312" w:hAnsi="仿宋_GB2312" w:eastAsia="仿宋_GB2312" w:cs="仿宋_GB2312"/>
          <w:sz w:val="28"/>
          <w:szCs w:val="28"/>
          <w:u w:val="single"/>
        </w:rPr>
        <w:t>合同签订之日起至2023年12月31日</w:t>
      </w:r>
      <w:r>
        <w:rPr>
          <w:rFonts w:hint="eastAsia" w:ascii="仿宋_GB2312" w:hAnsi="仿宋_GB2312" w:eastAsia="仿宋_GB2312" w:cs="仿宋_GB2312"/>
          <w:sz w:val="28"/>
          <w:szCs w:val="28"/>
        </w:rPr>
        <w:t>。</w:t>
      </w:r>
    </w:p>
    <w:p>
      <w:pPr>
        <w:spacing w:line="400" w:lineRule="exact"/>
        <w:ind w:left="637" w:leftChars="266" w:hanging="78" w:hangingChars="28"/>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sym w:font="Wingdings 2" w:char="0052"/>
      </w:r>
      <w:r>
        <w:rPr>
          <w:rFonts w:hint="eastAsia" w:ascii="仿宋_GB2312" w:hAnsi="仿宋_GB2312" w:eastAsia="仿宋_GB2312" w:cs="仿宋_GB2312"/>
          <w:sz w:val="28"/>
          <w:szCs w:val="28"/>
          <w:u w:val="single"/>
        </w:rPr>
        <w:t xml:space="preserve">  长期服务项目。采购人可根据中标供应商履约服务情况申请延长，但累计服务期限最长不超过三年，合同一年一签。</w:t>
      </w:r>
    </w:p>
    <w:p>
      <w:pPr>
        <w:spacing w:line="40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非长期服务项目。</w:t>
      </w:r>
    </w:p>
    <w:p>
      <w:pPr>
        <w:spacing w:line="400" w:lineRule="exact"/>
        <w:ind w:left="630"/>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2.付款方式：合同签订后，服务费用每月21日结算。中标供应商提供符合规定的发票，采购人15个工作日内支付当月金额。</w:t>
      </w:r>
    </w:p>
    <w:p>
      <w:pPr>
        <w:spacing w:line="400" w:lineRule="exact"/>
        <w:ind w:left="630"/>
        <w:rPr>
          <w:rFonts w:ascii="仿宋_GB2312" w:hAnsi="仿宋_GB2312" w:eastAsia="仿宋_GB2312" w:cs="仿宋_GB2312"/>
          <w:sz w:val="28"/>
          <w:szCs w:val="28"/>
        </w:rPr>
      </w:pPr>
      <w:r>
        <w:rPr>
          <w:rFonts w:hint="eastAsia" w:ascii="仿宋_GB2312" w:hAnsi="仿宋_GB2312" w:eastAsia="仿宋_GB2312" w:cs="仿宋_GB2312"/>
          <w:sz w:val="28"/>
          <w:szCs w:val="28"/>
        </w:rPr>
        <w:t>3.知识产权：</w:t>
      </w:r>
    </w:p>
    <w:p>
      <w:pPr>
        <w:spacing w:line="360" w:lineRule="auto"/>
        <w:ind w:firstLine="560" w:firstLineChars="200"/>
        <w:jc w:val="left"/>
        <w:rPr>
          <w:rFonts w:ascii="仿宋" w:hAnsi="仿宋" w:eastAsia="仿宋"/>
          <w:bCs/>
          <w:sz w:val="28"/>
          <w:szCs w:val="28"/>
        </w:rPr>
      </w:pPr>
      <w:r>
        <w:rPr>
          <w:rFonts w:hint="eastAsia" w:ascii="仿宋_GB2312" w:hAnsi="仿宋_GB2312" w:eastAsia="仿宋_GB2312" w:cs="仿宋_GB2312"/>
          <w:sz w:val="28"/>
          <w:szCs w:val="28"/>
        </w:rPr>
        <w:t>（1）中标供应商</w:t>
      </w:r>
      <w:r>
        <w:rPr>
          <w:rFonts w:hint="eastAsia" w:ascii="仿宋" w:hAnsi="仿宋" w:eastAsia="仿宋"/>
          <w:bCs/>
          <w:sz w:val="28"/>
          <w:szCs w:val="28"/>
        </w:rPr>
        <w:t>在项目实施过程中不得侵犯第三人知识产权以及其他权益。需要使用第三人知识产权的，</w:t>
      </w:r>
      <w:r>
        <w:rPr>
          <w:rFonts w:hint="eastAsia" w:ascii="仿宋_GB2312" w:hAnsi="仿宋_GB2312" w:eastAsia="仿宋_GB2312" w:cs="仿宋_GB2312"/>
          <w:sz w:val="28"/>
          <w:szCs w:val="28"/>
        </w:rPr>
        <w:t>中标供应商</w:t>
      </w:r>
      <w:r>
        <w:rPr>
          <w:rFonts w:hint="eastAsia" w:ascii="仿宋" w:hAnsi="仿宋" w:eastAsia="仿宋"/>
          <w:bCs/>
          <w:sz w:val="28"/>
          <w:szCs w:val="28"/>
        </w:rPr>
        <w:t>应取得权利人许可或者授权并由</w:t>
      </w:r>
      <w:r>
        <w:rPr>
          <w:rFonts w:hint="eastAsia" w:ascii="仿宋_GB2312" w:hAnsi="仿宋_GB2312" w:eastAsia="仿宋_GB2312" w:cs="仿宋_GB2312"/>
          <w:sz w:val="28"/>
          <w:szCs w:val="28"/>
        </w:rPr>
        <w:t>中标供应商</w:t>
      </w:r>
      <w:r>
        <w:rPr>
          <w:rFonts w:hint="eastAsia" w:ascii="仿宋" w:hAnsi="仿宋" w:eastAsia="仿宋"/>
          <w:bCs/>
          <w:sz w:val="28"/>
          <w:szCs w:val="28"/>
        </w:rPr>
        <w:t>承担费用。</w:t>
      </w:r>
    </w:p>
    <w:p>
      <w:pPr>
        <w:spacing w:line="360" w:lineRule="auto"/>
        <w:ind w:firstLine="560" w:firstLineChars="200"/>
        <w:jc w:val="left"/>
        <w:rPr>
          <w:rFonts w:ascii="仿宋_GB2312" w:hAnsi="仿宋_GB2312" w:eastAsia="仿宋_GB2312" w:cs="仿宋_GB2312"/>
          <w:sz w:val="28"/>
          <w:szCs w:val="28"/>
        </w:rPr>
      </w:pPr>
      <w:r>
        <w:rPr>
          <w:rFonts w:hint="eastAsia" w:ascii="仿宋" w:hAnsi="仿宋" w:eastAsia="仿宋"/>
          <w:bCs/>
          <w:sz w:val="28"/>
          <w:szCs w:val="28"/>
        </w:rPr>
        <w:t>（2）除第三人依法享有知识产权的除外，</w:t>
      </w:r>
      <w:r>
        <w:rPr>
          <w:rFonts w:hint="eastAsia" w:ascii="仿宋_GB2312" w:hAnsi="仿宋_GB2312" w:eastAsia="仿宋_GB2312" w:cs="仿宋_GB2312"/>
          <w:sz w:val="28"/>
          <w:szCs w:val="28"/>
        </w:rPr>
        <w:t>中标供应商</w:t>
      </w:r>
      <w:r>
        <w:rPr>
          <w:rFonts w:hint="eastAsia" w:ascii="仿宋" w:hAnsi="仿宋" w:eastAsia="仿宋"/>
          <w:bCs/>
          <w:sz w:val="28"/>
          <w:szCs w:val="28"/>
        </w:rPr>
        <w:t>实施本项目所形成成果的知识产权归采购人所有，未经采购人许可，</w:t>
      </w:r>
      <w:r>
        <w:rPr>
          <w:rFonts w:hint="eastAsia" w:ascii="仿宋_GB2312" w:hAnsi="仿宋_GB2312" w:eastAsia="仿宋_GB2312" w:cs="仿宋_GB2312"/>
          <w:sz w:val="28"/>
          <w:szCs w:val="28"/>
        </w:rPr>
        <w:t>中标供应商</w:t>
      </w:r>
      <w:r>
        <w:rPr>
          <w:rFonts w:hint="eastAsia" w:ascii="仿宋" w:hAnsi="仿宋" w:eastAsia="仿宋"/>
          <w:bCs/>
          <w:sz w:val="28"/>
          <w:szCs w:val="28"/>
        </w:rPr>
        <w:t>不得随意使用。</w:t>
      </w:r>
    </w:p>
    <w:p>
      <w:pPr>
        <w:spacing w:line="400" w:lineRule="exact"/>
        <w:ind w:left="400"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4.报价要求：</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（1）本项目服务费采用包干制，应包括服务成本、法定税费和企业的利润。由投标供应商根据采购文件所提供的资料自行测算投标报价；一经中标，报价总价作为中标供应商与采购人签</w:t>
      </w:r>
      <w:r>
        <w:rPr>
          <w:rFonts w:hint="eastAsia" w:ascii="仿宋_GB2312" w:hAnsi="仿宋_GB2312" w:eastAsia="仿宋_GB2312" w:cs="仿宋_GB2312"/>
          <w:sz w:val="28"/>
          <w:szCs w:val="28"/>
          <w:lang w:eastAsia="zh-CN"/>
        </w:rPr>
        <w:t>订</w:t>
      </w:r>
      <w:r>
        <w:rPr>
          <w:rFonts w:hint="eastAsia" w:ascii="仿宋_GB2312" w:hAnsi="仿宋_GB2312" w:eastAsia="仿宋_GB2312" w:cs="仿宋_GB2312"/>
          <w:sz w:val="28"/>
          <w:szCs w:val="28"/>
        </w:rPr>
        <w:t>的合同金额，合同期限内不做调整。</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（2）投标供应商应当根据本企业的成本自行决定报价，但不得以低于其企业成本的报价投标。</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（3）投标供应商的报价不得超过项目预算金额。</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（4）投标供应商的报价，应当是本项目采购范围和采购文件及合同条款上所列的各项内容中所述的全部，不得以任何理由予以重复。</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投标供应商不得期望通过索赔等方式获取补偿，否则，除可能遭到拒绝外，还可能将被作为不良行为记录在案，并可能影响其以后参加政府采购的项目投标。各投标供应商在报价时，应充分考虑报价的风险。</w:t>
      </w:r>
    </w:p>
    <w:p>
      <w:pPr>
        <w:numPr>
          <w:ilvl w:val="0"/>
          <w:numId w:val="6"/>
        </w:numPr>
        <w:spacing w:line="40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采购方式：</w:t>
      </w:r>
      <w:r>
        <w:rPr>
          <w:rFonts w:hint="eastAsia" w:ascii="仿宋_GB2312" w:hAnsi="仿宋_GB2312" w:eastAsia="仿宋_GB2312" w:cs="仿宋_GB2312"/>
          <w:sz w:val="28"/>
          <w:szCs w:val="28"/>
          <w:u w:val="single"/>
        </w:rPr>
        <w:t>综合评分</w:t>
      </w:r>
    </w:p>
    <w:tbl>
      <w:tblPr>
        <w:tblStyle w:val="10"/>
        <w:tblW w:w="9072" w:type="dxa"/>
        <w:jc w:val="center"/>
        <w:tblCellSpacing w:w="0" w:type="dxa"/>
        <w:tblLayout w:type="fixed"/>
        <w:tblCellMar>
          <w:top w:w="45" w:type="dxa"/>
          <w:left w:w="45" w:type="dxa"/>
          <w:bottom w:w="45" w:type="dxa"/>
          <w:right w:w="45" w:type="dxa"/>
        </w:tblCellMar>
      </w:tblPr>
      <w:tblGrid>
        <w:gridCol w:w="8867"/>
        <w:gridCol w:w="205"/>
      </w:tblGrid>
      <w:tr>
        <w:tblPrEx>
          <w:tblCellMar>
            <w:top w:w="45" w:type="dxa"/>
            <w:left w:w="45" w:type="dxa"/>
            <w:bottom w:w="45" w:type="dxa"/>
            <w:right w:w="45" w:type="dxa"/>
          </w:tblCellMar>
        </w:tblPrEx>
        <w:trPr>
          <w:tblCellSpacing w:w="0" w:type="dxa"/>
          <w:jc w:val="center"/>
        </w:trPr>
        <w:tc>
          <w:tcPr>
            <w:tcW w:w="8867" w:type="dxa"/>
            <w:tcBorders>
              <w:top w:val="nil"/>
              <w:left w:val="nil"/>
              <w:bottom w:val="nil"/>
              <w:right w:val="nil"/>
            </w:tcBorders>
            <w:vAlign w:val="center"/>
          </w:tcPr>
          <w:p>
            <w:pPr>
              <w:rPr>
                <w:rFonts w:cs="宋体" w:asciiTheme="minorEastAsia" w:hAnsiTheme="minorEastAsia"/>
                <w:b/>
                <w:bCs/>
                <w:color w:val="000000" w:themeColor="text1"/>
                <w:szCs w:val="21"/>
                <w14:textFill>
                  <w14:solidFill>
                    <w14:schemeClr w14:val="tx1"/>
                  </w14:solidFill>
                </w14:textFill>
              </w:rPr>
            </w:pPr>
            <w:r>
              <w:rPr>
                <w:rFonts w:hint="eastAsia" w:cs="宋体" w:asciiTheme="minorEastAsia" w:hAnsiTheme="minorEastAsia"/>
                <w:b/>
                <w:bCs/>
                <w:color w:val="000000" w:themeColor="text1"/>
                <w:szCs w:val="21"/>
                <w14:textFill>
                  <w14:solidFill>
                    <w14:schemeClr w14:val="tx1"/>
                  </w14:solidFill>
                </w14:textFill>
              </w:rPr>
              <w:t>评标方法：综合评分法（新价格分算法）</w:t>
            </w:r>
          </w:p>
        </w:tc>
        <w:tc>
          <w:tcPr>
            <w:tcW w:w="205" w:type="dxa"/>
            <w:tcBorders>
              <w:top w:val="nil"/>
              <w:left w:val="nil"/>
              <w:bottom w:val="nil"/>
              <w:right w:val="nil"/>
            </w:tcBorders>
            <w:vAlign w:val="center"/>
          </w:tcPr>
          <w:p>
            <w:pPr>
              <w:jc w:val="right"/>
              <w:rPr>
                <w:rFonts w:cs="宋体" w:asciiTheme="minorEastAsia" w:hAnsiTheme="minorEastAsia"/>
                <w:b/>
                <w:bCs/>
                <w:color w:val="000000" w:themeColor="text1"/>
                <w:szCs w:val="21"/>
                <w14:textFill>
                  <w14:solidFill>
                    <w14:schemeClr w14:val="tx1"/>
                  </w14:solidFill>
                </w14:textFill>
              </w:rPr>
            </w:pPr>
          </w:p>
        </w:tc>
      </w:tr>
      <w:tr>
        <w:tblPrEx>
          <w:tblCellMar>
            <w:top w:w="45" w:type="dxa"/>
            <w:left w:w="45" w:type="dxa"/>
            <w:bottom w:w="45" w:type="dxa"/>
            <w:right w:w="45" w:type="dxa"/>
          </w:tblCellMar>
        </w:tblPrEx>
        <w:trPr>
          <w:tblCellSpacing w:w="0" w:type="dxa"/>
          <w:jc w:val="center"/>
        </w:trPr>
        <w:tc>
          <w:tcPr>
            <w:tcW w:w="9072" w:type="dxa"/>
            <w:gridSpan w:val="2"/>
            <w:tcBorders>
              <w:top w:val="nil"/>
              <w:left w:val="nil"/>
              <w:bottom w:val="nil"/>
              <w:right w:val="nil"/>
            </w:tcBorders>
            <w:vAlign w:val="center"/>
          </w:tcPr>
          <w:p>
            <w:pPr>
              <w:pStyle w:val="8"/>
              <w:ind w:firstLine="420"/>
              <w:rPr>
                <w:rFonts w:cs="宋体" w:asciiTheme="minorEastAsia" w:hAnsiTheme="minorEastAsia"/>
                <w:color w:val="000000" w:themeColor="text1"/>
                <w:sz w:val="21"/>
                <w:szCs w:val="21"/>
                <w14:textFill>
                  <w14:solidFill>
                    <w14:schemeClr w14:val="tx1"/>
                  </w14:solidFill>
                </w14:textFill>
              </w:rPr>
            </w:pPr>
            <w:r>
              <w:rPr>
                <w:rFonts w:hint="eastAsia" w:cs="宋体" w:asciiTheme="minorEastAsia" w:hAnsiTheme="minorEastAsia"/>
                <w:color w:val="000000" w:themeColor="text1"/>
                <w:sz w:val="21"/>
                <w:szCs w:val="21"/>
                <w14:textFill>
                  <w14:solidFill>
                    <w14:schemeClr w14:val="tx1"/>
                  </w14:solidFill>
                </w14:textFill>
              </w:rPr>
              <w:t xml:space="preserve">综合评分法，是指投标文件满足招标文件全部实质性要求，且按照评审因素的量化指标评审得分最高的投标人为中标候选人的评标方法。 </w:t>
            </w:r>
          </w:p>
          <w:p>
            <w:pPr>
              <w:pStyle w:val="8"/>
              <w:ind w:firstLine="420"/>
              <w:rPr>
                <w:rFonts w:cs="宋体" w:asciiTheme="minorEastAsia" w:hAnsiTheme="minorEastAsia"/>
                <w:color w:val="000000" w:themeColor="text1"/>
                <w:sz w:val="21"/>
                <w:szCs w:val="21"/>
                <w14:textFill>
                  <w14:solidFill>
                    <w14:schemeClr w14:val="tx1"/>
                  </w14:solidFill>
                </w14:textFill>
              </w:rPr>
            </w:pPr>
            <w:r>
              <w:rPr>
                <w:rFonts w:hint="eastAsia" w:cs="宋体" w:asciiTheme="minorEastAsia" w:hAnsiTheme="minorEastAsia"/>
                <w:color w:val="000000" w:themeColor="text1"/>
                <w:sz w:val="21"/>
                <w:szCs w:val="21"/>
                <w14:textFill>
                  <w14:solidFill>
                    <w14:schemeClr w14:val="tx1"/>
                  </w14:solidFill>
                </w14:textFill>
              </w:rPr>
              <w:t>价格分计算方法：</w:t>
            </w:r>
          </w:p>
          <w:p>
            <w:pPr>
              <w:pStyle w:val="8"/>
              <w:ind w:left="420"/>
              <w:rPr>
                <w:rFonts w:cs="宋体" w:asciiTheme="minorEastAsia" w:hAnsiTheme="minorEastAsia"/>
                <w:color w:val="000000" w:themeColor="text1"/>
                <w:sz w:val="21"/>
                <w:szCs w:val="21"/>
                <w14:textFill>
                  <w14:solidFill>
                    <w14:schemeClr w14:val="tx1"/>
                  </w14:solidFill>
                </w14:textFill>
              </w:rPr>
            </w:pPr>
            <w:r>
              <w:rPr>
                <w:rFonts w:hint="eastAsia" w:cs="宋体" w:asciiTheme="minorEastAsia" w:hAnsiTheme="minorEastAsia"/>
                <w:color w:val="000000" w:themeColor="text1"/>
                <w:sz w:val="21"/>
                <w:szCs w:val="21"/>
                <w14:textFill>
                  <w14:solidFill>
                    <w14:schemeClr w14:val="tx1"/>
                  </w14:solidFill>
                </w14:textFill>
              </w:rPr>
              <w:t xml:space="preserve">采用低价优先法计算，即满足招标文件要求且投标价格最低的投标报价为评标基准价，其价格分为满分。其他投标人的价格分统一按照下列公式计算： </w:t>
            </w:r>
          </w:p>
          <w:p>
            <w:pPr>
              <w:pStyle w:val="8"/>
              <w:ind w:left="420"/>
              <w:rPr>
                <w:rFonts w:cs="宋体" w:asciiTheme="minorEastAsia" w:hAnsiTheme="minorEastAsia"/>
                <w:color w:val="000000" w:themeColor="text1"/>
                <w:sz w:val="21"/>
                <w:szCs w:val="21"/>
                <w14:textFill>
                  <w14:solidFill>
                    <w14:schemeClr w14:val="tx1"/>
                  </w14:solidFill>
                </w14:textFill>
              </w:rPr>
            </w:pPr>
            <w:r>
              <w:rPr>
                <w:rFonts w:hint="eastAsia" w:cs="宋体" w:asciiTheme="minorEastAsia" w:hAnsiTheme="minorEastAsia"/>
                <w:color w:val="000000" w:themeColor="text1"/>
                <w:sz w:val="21"/>
                <w:szCs w:val="21"/>
                <w14:textFill>
                  <w14:solidFill>
                    <w14:schemeClr w14:val="tx1"/>
                  </w14:solidFill>
                </w14:textFill>
              </w:rPr>
              <w:t xml:space="preserve">投标报价得分=(评标基准价／投标报价)×100 </w:t>
            </w:r>
          </w:p>
          <w:p>
            <w:pPr>
              <w:pStyle w:val="8"/>
              <w:ind w:left="420"/>
              <w:rPr>
                <w:rFonts w:cs="宋体" w:asciiTheme="minorEastAsia" w:hAnsiTheme="minorEastAsia"/>
                <w:color w:val="000000" w:themeColor="text1"/>
                <w:sz w:val="21"/>
                <w:szCs w:val="21"/>
                <w14:textFill>
                  <w14:solidFill>
                    <w14:schemeClr w14:val="tx1"/>
                  </w14:solidFill>
                </w14:textFill>
              </w:rPr>
            </w:pPr>
            <w:r>
              <w:rPr>
                <w:rFonts w:hint="eastAsia" w:cs="宋体" w:asciiTheme="minorEastAsia" w:hAnsiTheme="minorEastAsia"/>
                <w:color w:val="000000" w:themeColor="text1"/>
                <w:sz w:val="21"/>
                <w:szCs w:val="21"/>
                <w14:textFill>
                  <w14:solidFill>
                    <w14:schemeClr w14:val="tx1"/>
                  </w14:solidFill>
                </w14:textFill>
              </w:rPr>
              <w:t xml:space="preserve">评标总得分＝F1×A1＋F2×A2＋……＋Fn×An </w:t>
            </w:r>
          </w:p>
          <w:p>
            <w:pPr>
              <w:pStyle w:val="8"/>
              <w:ind w:left="420"/>
              <w:rPr>
                <w:rFonts w:cs="宋体" w:asciiTheme="minorEastAsia" w:hAnsiTheme="minorEastAsia"/>
                <w:color w:val="000000" w:themeColor="text1"/>
                <w:sz w:val="21"/>
                <w:szCs w:val="21"/>
                <w14:textFill>
                  <w14:solidFill>
                    <w14:schemeClr w14:val="tx1"/>
                  </w14:solidFill>
                </w14:textFill>
              </w:rPr>
            </w:pPr>
            <w:r>
              <w:rPr>
                <w:rFonts w:hint="eastAsia" w:cs="宋体" w:asciiTheme="minorEastAsia" w:hAnsiTheme="minorEastAsia"/>
                <w:color w:val="000000" w:themeColor="text1"/>
                <w:sz w:val="21"/>
                <w:szCs w:val="21"/>
                <w14:textFill>
                  <w14:solidFill>
                    <w14:schemeClr w14:val="tx1"/>
                  </w14:solidFill>
                </w14:textFill>
              </w:rPr>
              <w:t xml:space="preserve">F1、F2……Fn分别为各项评审因素的得分； </w:t>
            </w:r>
          </w:p>
          <w:p>
            <w:pPr>
              <w:pStyle w:val="8"/>
              <w:ind w:left="420"/>
              <w:rPr>
                <w:rFonts w:cs="宋体" w:asciiTheme="minorEastAsia" w:hAnsiTheme="minorEastAsia"/>
                <w:color w:val="000000" w:themeColor="text1"/>
                <w:sz w:val="21"/>
                <w:szCs w:val="21"/>
                <w14:textFill>
                  <w14:solidFill>
                    <w14:schemeClr w14:val="tx1"/>
                  </w14:solidFill>
                </w14:textFill>
              </w:rPr>
            </w:pPr>
            <w:r>
              <w:rPr>
                <w:rFonts w:hint="eastAsia" w:cs="宋体" w:asciiTheme="minorEastAsia" w:hAnsiTheme="minorEastAsia"/>
                <w:color w:val="000000" w:themeColor="text1"/>
                <w:sz w:val="21"/>
                <w:szCs w:val="21"/>
                <w14:textFill>
                  <w14:solidFill>
                    <w14:schemeClr w14:val="tx1"/>
                  </w14:solidFill>
                </w14:textFill>
              </w:rPr>
              <w:t xml:space="preserve">A1、A2、……An 分别为各项评审因素所占的权重(A1＋A2＋……＋An＝1)。 </w:t>
            </w:r>
          </w:p>
          <w:p>
            <w:pPr>
              <w:pStyle w:val="8"/>
              <w:ind w:left="420"/>
              <w:rPr>
                <w:rFonts w:cs="宋体" w:asciiTheme="minorEastAsia" w:hAnsiTheme="minorEastAsia"/>
                <w:color w:val="000000" w:themeColor="text1"/>
                <w:sz w:val="21"/>
                <w:szCs w:val="21"/>
                <w14:textFill>
                  <w14:solidFill>
                    <w14:schemeClr w14:val="tx1"/>
                  </w14:solidFill>
                </w14:textFill>
              </w:rPr>
            </w:pPr>
            <w:r>
              <w:rPr>
                <w:rFonts w:hint="eastAsia" w:cs="宋体" w:asciiTheme="minorEastAsia" w:hAnsiTheme="minorEastAsia"/>
                <w:color w:val="000000" w:themeColor="text1"/>
                <w:sz w:val="21"/>
                <w:szCs w:val="21"/>
                <w14:textFill>
                  <w14:solidFill>
                    <w14:schemeClr w14:val="tx1"/>
                  </w14:solidFill>
                </w14:textFill>
              </w:rPr>
              <w:t xml:space="preserve">评标过程中，不得去掉报价中的最高报价和最低报价。 </w:t>
            </w:r>
          </w:p>
          <w:p>
            <w:pPr>
              <w:pStyle w:val="8"/>
              <w:ind w:left="420"/>
              <w:rPr>
                <w:rFonts w:cs="宋体" w:asciiTheme="minorEastAsia" w:hAnsiTheme="minorEastAsia"/>
                <w:color w:val="000000" w:themeColor="text1"/>
                <w:sz w:val="21"/>
                <w:szCs w:val="21"/>
                <w14:textFill>
                  <w14:solidFill>
                    <w14:schemeClr w14:val="tx1"/>
                  </w14:solidFill>
                </w14:textFill>
              </w:rPr>
            </w:pPr>
            <w:r>
              <w:rPr>
                <w:rFonts w:hint="eastAsia" w:cs="宋体" w:asciiTheme="minorEastAsia" w:hAnsiTheme="minorEastAsia"/>
                <w:color w:val="000000" w:themeColor="text1"/>
                <w:sz w:val="21"/>
                <w:szCs w:val="21"/>
                <w14:textFill>
                  <w14:solidFill>
                    <w14:schemeClr w14:val="tx1"/>
                  </w14:solidFill>
                </w14:textFill>
              </w:rPr>
              <w:t xml:space="preserve">此方法适用于货物类、服务类、工程类项目。 </w:t>
            </w:r>
          </w:p>
          <w:p>
            <w:pPr>
              <w:pStyle w:val="8"/>
              <w:ind w:left="420"/>
              <w:rPr>
                <w:rFonts w:cs="宋体" w:asciiTheme="minorEastAsia" w:hAnsiTheme="minorEastAsia"/>
                <w:color w:val="000000" w:themeColor="text1"/>
                <w:sz w:val="21"/>
                <w:szCs w:val="21"/>
                <w14:textFill>
                  <w14:solidFill>
                    <w14:schemeClr w14:val="tx1"/>
                  </w14:solidFill>
                </w14:textFill>
              </w:rPr>
            </w:pPr>
          </w:p>
        </w:tc>
      </w:tr>
      <w:tr>
        <w:tblPrEx>
          <w:tblCellMar>
            <w:top w:w="45" w:type="dxa"/>
            <w:left w:w="45" w:type="dxa"/>
            <w:bottom w:w="45" w:type="dxa"/>
            <w:right w:w="45" w:type="dxa"/>
          </w:tblCellMar>
        </w:tblPrEx>
        <w:trPr>
          <w:tblCellSpacing w:w="0" w:type="dxa"/>
          <w:jc w:val="center"/>
        </w:trPr>
        <w:tc>
          <w:tcPr>
            <w:tcW w:w="9072" w:type="dxa"/>
            <w:gridSpan w:val="2"/>
            <w:tcBorders>
              <w:top w:val="nil"/>
              <w:left w:val="nil"/>
              <w:bottom w:val="nil"/>
              <w:right w:val="nil"/>
            </w:tcBorders>
            <w:vAlign w:val="center"/>
          </w:tcPr>
          <w:tbl>
            <w:tblPr>
              <w:tblStyle w:val="10"/>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76"/>
              <w:gridCol w:w="558"/>
              <w:gridCol w:w="1412"/>
              <w:gridCol w:w="1030"/>
              <w:gridCol w:w="53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cs="宋体" w:asciiTheme="minorEastAsia" w:hAnsiTheme="minorEastAsia"/>
                      <w:b/>
                      <w:bCs/>
                      <w:szCs w:val="21"/>
                    </w:rPr>
                  </w:pPr>
                  <w:r>
                    <w:rPr>
                      <w:rFonts w:hint="eastAsia" w:cs="宋体" w:asciiTheme="minorEastAsia" w:hAnsiTheme="minorEastAsia"/>
                      <w:b/>
                      <w:bCs/>
                      <w:szCs w:val="21"/>
                    </w:rPr>
                    <w:t>序号</w:t>
                  </w:r>
                </w:p>
              </w:tc>
              <w:tc>
                <w:tcPr>
                  <w:tcW w:w="3000"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cs="宋体" w:asciiTheme="minorEastAsia" w:hAnsiTheme="minorEastAsia"/>
                      <w:b/>
                      <w:bCs/>
                      <w:szCs w:val="21"/>
                    </w:rPr>
                  </w:pPr>
                  <w:r>
                    <w:rPr>
                      <w:rFonts w:hint="eastAsia" w:cs="宋体" w:asciiTheme="minorEastAsia" w:hAnsiTheme="minorEastAsia"/>
                      <w:b/>
                      <w:bCs/>
                      <w:szCs w:val="21"/>
                    </w:rPr>
                    <w:t>评分项</w:t>
                  </w:r>
                </w:p>
              </w:tc>
              <w:tc>
                <w:tcPr>
                  <w:tcW w:w="5396"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cs="宋体" w:asciiTheme="minorEastAsia" w:hAnsiTheme="minorEastAsia"/>
                      <w:b/>
                      <w:bCs/>
                      <w:szCs w:val="21"/>
                    </w:rPr>
                  </w:pPr>
                  <w:r>
                    <w:rPr>
                      <w:rFonts w:hint="eastAsia" w:cs="宋体" w:asciiTheme="minorEastAsia" w:hAnsiTheme="minorEastAsia"/>
                      <w:b/>
                      <w:bCs/>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676" w:type="dxa"/>
                  <w:tcBorders>
                    <w:top w:val="single" w:color="000000" w:sz="8" w:space="0"/>
                    <w:left w:val="single" w:color="000000" w:sz="8" w:space="0"/>
                    <w:bottom w:val="single" w:color="000000" w:sz="8" w:space="0"/>
                    <w:right w:val="single" w:color="000000" w:sz="8" w:space="0"/>
                  </w:tcBorders>
                </w:tcPr>
                <w:p>
                  <w:pPr>
                    <w:jc w:val="center"/>
                    <w:rPr>
                      <w:rFonts w:cs="宋体" w:asciiTheme="minorEastAsia" w:hAnsiTheme="minorEastAsia"/>
                      <w:b/>
                      <w:bCs/>
                      <w:szCs w:val="21"/>
                    </w:rPr>
                  </w:pPr>
                  <w:r>
                    <w:rPr>
                      <w:rFonts w:hint="eastAsia" w:cs="宋体" w:asciiTheme="minorEastAsia" w:hAnsiTheme="minorEastAsia"/>
                      <w:b/>
                      <w:bCs/>
                      <w:szCs w:val="21"/>
                    </w:rPr>
                    <w:t>1</w:t>
                  </w:r>
                </w:p>
              </w:tc>
              <w:tc>
                <w:tcPr>
                  <w:tcW w:w="3000" w:type="dxa"/>
                  <w:gridSpan w:val="3"/>
                  <w:tcBorders>
                    <w:top w:val="single" w:color="000000" w:sz="8" w:space="0"/>
                    <w:left w:val="single" w:color="000000" w:sz="8" w:space="0"/>
                    <w:bottom w:val="single" w:color="000000" w:sz="8" w:space="0"/>
                    <w:right w:val="single" w:color="000000" w:sz="8" w:space="0"/>
                  </w:tcBorders>
                </w:tcPr>
                <w:p>
                  <w:pPr>
                    <w:jc w:val="center"/>
                    <w:rPr>
                      <w:rFonts w:cs="宋体" w:asciiTheme="minorEastAsia" w:hAnsiTheme="minorEastAsia"/>
                      <w:b/>
                      <w:bCs/>
                      <w:szCs w:val="21"/>
                    </w:rPr>
                  </w:pPr>
                  <w:r>
                    <w:rPr>
                      <w:rFonts w:hint="eastAsia" w:cs="宋体" w:asciiTheme="minorEastAsia" w:hAnsiTheme="minorEastAsia"/>
                      <w:b/>
                      <w:bCs/>
                      <w:szCs w:val="21"/>
                    </w:rPr>
                    <w:t>价格</w:t>
                  </w:r>
                </w:p>
              </w:tc>
              <w:tc>
                <w:tcPr>
                  <w:tcW w:w="5396" w:type="dxa"/>
                  <w:tcBorders>
                    <w:top w:val="single" w:color="000000" w:sz="8" w:space="0"/>
                    <w:left w:val="single" w:color="000000" w:sz="8" w:space="0"/>
                    <w:bottom w:val="single" w:color="000000" w:sz="8" w:space="0"/>
                    <w:right w:val="single" w:color="000000" w:sz="8" w:space="0"/>
                  </w:tcBorders>
                </w:tcPr>
                <w:p>
                  <w:pPr>
                    <w:jc w:val="center"/>
                    <w:rPr>
                      <w:rFonts w:cs="宋体" w:asciiTheme="minorEastAsia" w:hAnsiTheme="minorEastAsia"/>
                      <w:b/>
                      <w:bCs/>
                      <w:szCs w:val="21"/>
                    </w:rPr>
                  </w:pPr>
                  <w:r>
                    <w:rPr>
                      <w:rFonts w:hint="eastAsia" w:cs="宋体" w:asciiTheme="minorEastAsia" w:hAnsiTheme="minorEastAsia"/>
                      <w:b/>
                      <w:bCs/>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restart"/>
                  <w:tcBorders>
                    <w:top w:val="single" w:color="000000" w:sz="8" w:space="0"/>
                    <w:left w:val="single" w:color="000000" w:sz="8" w:space="0"/>
                    <w:bottom w:val="single" w:color="000000" w:sz="8" w:space="0"/>
                    <w:right w:val="single" w:color="000000" w:sz="8" w:space="0"/>
                  </w:tcBorders>
                </w:tcPr>
                <w:p>
                  <w:pPr>
                    <w:jc w:val="center"/>
                    <w:rPr>
                      <w:rFonts w:cs="宋体" w:asciiTheme="minorEastAsia" w:hAnsiTheme="minorEastAsia"/>
                      <w:b/>
                      <w:bCs/>
                      <w:szCs w:val="21"/>
                    </w:rPr>
                  </w:pPr>
                  <w:r>
                    <w:rPr>
                      <w:rFonts w:hint="eastAsia" w:cs="宋体" w:asciiTheme="minorEastAsia" w:hAnsiTheme="minorEastAsia"/>
                      <w:b/>
                      <w:bCs/>
                      <w:szCs w:val="21"/>
                    </w:rPr>
                    <w:t>2</w:t>
                  </w:r>
                </w:p>
              </w:tc>
              <w:tc>
                <w:tcPr>
                  <w:tcW w:w="3000" w:type="dxa"/>
                  <w:gridSpan w:val="3"/>
                  <w:tcBorders>
                    <w:top w:val="single" w:color="000000" w:sz="8" w:space="0"/>
                    <w:left w:val="single" w:color="000000" w:sz="8" w:space="0"/>
                    <w:bottom w:val="single" w:color="000000" w:sz="8" w:space="0"/>
                    <w:right w:val="single" w:color="000000" w:sz="8" w:space="0"/>
                  </w:tcBorders>
                </w:tcPr>
                <w:p>
                  <w:pPr>
                    <w:jc w:val="center"/>
                    <w:rPr>
                      <w:rFonts w:cs="宋体" w:asciiTheme="minorEastAsia" w:hAnsiTheme="minorEastAsia"/>
                      <w:b/>
                      <w:bCs/>
                      <w:szCs w:val="21"/>
                    </w:rPr>
                  </w:pPr>
                  <w:r>
                    <w:rPr>
                      <w:rFonts w:hint="eastAsia" w:cs="宋体" w:asciiTheme="minorEastAsia" w:hAnsiTheme="minorEastAsia"/>
                      <w:b/>
                      <w:bCs/>
                      <w:szCs w:val="21"/>
                    </w:rPr>
                    <w:t>技术部分</w:t>
                  </w:r>
                </w:p>
              </w:tc>
              <w:tc>
                <w:tcPr>
                  <w:tcW w:w="5396" w:type="dxa"/>
                  <w:tcBorders>
                    <w:top w:val="single" w:color="000000" w:sz="8" w:space="0"/>
                    <w:left w:val="single" w:color="000000" w:sz="8" w:space="0"/>
                    <w:bottom w:val="single" w:color="000000" w:sz="8" w:space="0"/>
                    <w:right w:val="single" w:color="000000" w:sz="8" w:space="0"/>
                  </w:tcBorders>
                </w:tcPr>
                <w:p>
                  <w:pPr>
                    <w:jc w:val="center"/>
                    <w:rPr>
                      <w:rFonts w:cs="宋体" w:asciiTheme="minorEastAsia" w:hAnsiTheme="minorEastAsia"/>
                      <w:b/>
                      <w:bCs/>
                      <w:szCs w:val="21"/>
                    </w:rPr>
                  </w:pPr>
                  <w:r>
                    <w:rPr>
                      <w:rFonts w:hint="eastAsia" w:cs="宋体" w:asciiTheme="minorEastAsia" w:hAnsiTheme="minorEastAsia"/>
                      <w:b/>
                      <w:bCs/>
                      <w:szCs w:val="21"/>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rPr>
                      <w:rFonts w:cs="宋体" w:asciiTheme="minorEastAsia" w:hAnsiTheme="minorEastAsia"/>
                      <w:b/>
                      <w:bCs/>
                      <w:szCs w:val="21"/>
                    </w:rPr>
                  </w:pPr>
                </w:p>
              </w:tc>
              <w:tc>
                <w:tcPr>
                  <w:tcW w:w="558"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序号</w:t>
                  </w:r>
                </w:p>
              </w:tc>
              <w:tc>
                <w:tcPr>
                  <w:tcW w:w="1412"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评分因素</w:t>
                  </w:r>
                </w:p>
              </w:tc>
              <w:tc>
                <w:tcPr>
                  <w:tcW w:w="1030"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权重(%)</w:t>
                  </w:r>
                </w:p>
              </w:tc>
              <w:tc>
                <w:tcPr>
                  <w:tcW w:w="5396"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1412"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食堂服务方案</w:t>
                  </w:r>
                </w:p>
              </w:tc>
              <w:tc>
                <w:tcPr>
                  <w:tcW w:w="1030"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5396" w:type="dxa"/>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szCs w:val="21"/>
                    </w:rPr>
                  </w:pPr>
                  <w:r>
                    <w:rPr>
                      <w:rFonts w:hint="eastAsia" w:cs="宋体" w:asciiTheme="minorEastAsia" w:hAnsiTheme="minorEastAsia"/>
                      <w:szCs w:val="21"/>
                    </w:rPr>
                    <w:t>（一）评分内容：</w:t>
                  </w:r>
                </w:p>
                <w:p>
                  <w:pPr>
                    <w:rPr>
                      <w:rFonts w:cs="宋体" w:asciiTheme="minorEastAsia" w:hAnsiTheme="minorEastAsia"/>
                      <w:szCs w:val="21"/>
                    </w:rPr>
                  </w:pPr>
                  <w:r>
                    <w:rPr>
                      <w:rFonts w:hint="eastAsia" w:cs="宋体" w:asciiTheme="minorEastAsia" w:hAnsiTheme="minorEastAsia"/>
                      <w:szCs w:val="21"/>
                    </w:rPr>
                    <w:t>投标人须提供完整的食堂服务方案，保证食品供应的各个环节完善，应包含：</w:t>
                  </w:r>
                </w:p>
                <w:p>
                  <w:pPr>
                    <w:rPr>
                      <w:rFonts w:cs="宋体" w:asciiTheme="minorEastAsia" w:hAnsiTheme="minorEastAsia"/>
                      <w:szCs w:val="21"/>
                    </w:rPr>
                  </w:pPr>
                  <w:r>
                    <w:rPr>
                      <w:rFonts w:hint="eastAsia" w:cs="宋体" w:asciiTheme="minorEastAsia" w:hAnsiTheme="minorEastAsia"/>
                      <w:szCs w:val="21"/>
                    </w:rPr>
                    <w:t>1.服务目标；</w:t>
                  </w:r>
                </w:p>
                <w:p>
                  <w:pPr>
                    <w:rPr>
                      <w:rFonts w:cs="宋体" w:asciiTheme="minorEastAsia" w:hAnsiTheme="minorEastAsia"/>
                      <w:szCs w:val="21"/>
                    </w:rPr>
                  </w:pPr>
                  <w:r>
                    <w:rPr>
                      <w:rFonts w:hint="eastAsia" w:cs="宋体" w:asciiTheme="minorEastAsia" w:hAnsiTheme="minorEastAsia"/>
                      <w:szCs w:val="21"/>
                    </w:rPr>
                    <w:t>2.工作方法；</w:t>
                  </w:r>
                </w:p>
                <w:p>
                  <w:pPr>
                    <w:rPr>
                      <w:rFonts w:cs="宋体" w:asciiTheme="minorEastAsia" w:hAnsiTheme="minorEastAsia"/>
                      <w:szCs w:val="21"/>
                    </w:rPr>
                  </w:pPr>
                  <w:r>
                    <w:rPr>
                      <w:rFonts w:hint="eastAsia" w:cs="宋体" w:asciiTheme="minorEastAsia" w:hAnsiTheme="minorEastAsia"/>
                      <w:szCs w:val="21"/>
                    </w:rPr>
                    <w:t>3.工作手段；</w:t>
                  </w:r>
                </w:p>
                <w:p>
                  <w:pPr>
                    <w:rPr>
                      <w:rFonts w:cs="宋体" w:asciiTheme="minorEastAsia" w:hAnsiTheme="minorEastAsia"/>
                      <w:szCs w:val="21"/>
                    </w:rPr>
                  </w:pPr>
                  <w:r>
                    <w:rPr>
                      <w:rFonts w:hint="eastAsia" w:cs="宋体" w:asciiTheme="minorEastAsia" w:hAnsiTheme="minorEastAsia"/>
                      <w:szCs w:val="21"/>
                    </w:rPr>
                    <w:t>4.工作流程。</w:t>
                  </w:r>
                </w:p>
                <w:p>
                  <w:pPr>
                    <w:rPr>
                      <w:rFonts w:cs="宋体" w:asciiTheme="minorEastAsia" w:hAnsiTheme="minorEastAsia"/>
                      <w:szCs w:val="21"/>
                    </w:rPr>
                  </w:pPr>
                  <w:r>
                    <w:rPr>
                      <w:rFonts w:hint="eastAsia" w:cs="宋体" w:asciiTheme="minorEastAsia" w:hAnsiTheme="minorEastAsia"/>
                      <w:szCs w:val="21"/>
                    </w:rPr>
                    <w:t>（二）评分依据：</w:t>
                  </w:r>
                </w:p>
                <w:p>
                  <w:pPr>
                    <w:rPr>
                      <w:rFonts w:cs="宋体" w:asciiTheme="minorEastAsia" w:hAnsiTheme="minorEastAsia"/>
                      <w:szCs w:val="21"/>
                    </w:rPr>
                  </w:pPr>
                  <w:r>
                    <w:rPr>
                      <w:rFonts w:hint="eastAsia" w:cs="宋体" w:asciiTheme="minorEastAsia" w:hAnsiTheme="minorEastAsia"/>
                      <w:szCs w:val="21"/>
                    </w:rPr>
                    <w:t>服务方案每提供以上任意一点得20%分，最多得80%分，未满足不得分。</w:t>
                  </w:r>
                </w:p>
                <w:p>
                  <w:pPr>
                    <w:rPr>
                      <w:rFonts w:cs="宋体" w:asciiTheme="minorEastAsia" w:hAnsiTheme="minorEastAsia"/>
                      <w:szCs w:val="21"/>
                    </w:rPr>
                  </w:pPr>
                  <w:r>
                    <w:rPr>
                      <w:rFonts w:hint="eastAsia" w:cs="宋体" w:asciiTheme="minorEastAsia" w:hAnsiTheme="minorEastAsia"/>
                      <w:szCs w:val="21"/>
                    </w:rPr>
                    <w:t>在此基础上，专家根据各投标人的具体响应内容按照量化的评审因素指标进一步评审；</w:t>
                  </w:r>
                </w:p>
                <w:p>
                  <w:pPr>
                    <w:rPr>
                      <w:rFonts w:cs="宋体" w:asciiTheme="minorEastAsia" w:hAnsiTheme="minorEastAsia"/>
                      <w:szCs w:val="21"/>
                    </w:rPr>
                  </w:pPr>
                  <w:r>
                    <w:rPr>
                      <w:rFonts w:hint="eastAsia" w:cs="宋体" w:asciiTheme="minorEastAsia" w:hAnsiTheme="minorEastAsia"/>
                      <w:szCs w:val="21"/>
                    </w:rPr>
                    <w:t>优评分标准：内容合理性强</w:t>
                  </w:r>
                </w:p>
                <w:p>
                  <w:pPr>
                    <w:rPr>
                      <w:rFonts w:cs="宋体" w:asciiTheme="minorEastAsia" w:hAnsiTheme="minorEastAsia"/>
                      <w:szCs w:val="21"/>
                    </w:rPr>
                  </w:pPr>
                  <w:r>
                    <w:rPr>
                      <w:rFonts w:hint="eastAsia" w:cs="宋体" w:asciiTheme="minorEastAsia" w:hAnsiTheme="minorEastAsia"/>
                      <w:szCs w:val="21"/>
                    </w:rPr>
                    <w:t>良评分标准：内容合理性较强</w:t>
                  </w:r>
                </w:p>
                <w:p>
                  <w:pPr>
                    <w:rPr>
                      <w:rFonts w:cs="宋体" w:asciiTheme="minorEastAsia" w:hAnsiTheme="minorEastAsia"/>
                      <w:szCs w:val="21"/>
                    </w:rPr>
                  </w:pPr>
                  <w:r>
                    <w:rPr>
                      <w:rFonts w:hint="eastAsia" w:cs="宋体" w:asciiTheme="minorEastAsia" w:hAnsiTheme="minorEastAsia"/>
                      <w:szCs w:val="21"/>
                    </w:rPr>
                    <w:t>中评分标准：内容合理性一般</w:t>
                  </w:r>
                </w:p>
                <w:p>
                  <w:pPr>
                    <w:rPr>
                      <w:rFonts w:cs="宋体" w:asciiTheme="minorEastAsia" w:hAnsiTheme="minorEastAsia"/>
                      <w:szCs w:val="21"/>
                    </w:rPr>
                  </w:pPr>
                  <w:r>
                    <w:rPr>
                      <w:rFonts w:hint="eastAsia" w:cs="宋体" w:asciiTheme="minorEastAsia" w:hAnsiTheme="minorEastAsia"/>
                      <w:szCs w:val="21"/>
                    </w:rPr>
                    <w:t>差评分标准：内容合理性较差</w:t>
                  </w:r>
                </w:p>
                <w:p>
                  <w:pPr>
                    <w:rPr>
                      <w:rFonts w:cs="宋体" w:asciiTheme="minorEastAsia" w:hAnsiTheme="minorEastAsia"/>
                      <w:szCs w:val="21"/>
                    </w:rPr>
                  </w:pPr>
                  <w:r>
                    <w:rPr>
                      <w:rFonts w:hint="eastAsia" w:cs="宋体" w:asciiTheme="minorEastAsia" w:hAnsiTheme="minorEastAsia"/>
                      <w:szCs w:val="21"/>
                    </w:rPr>
                    <w:t>分档评分：评价为优得20%分；评价为良得10%分；评价为中得5%分；评价为差得</w:t>
                  </w:r>
                  <w:r>
                    <w:rPr>
                      <w:rFonts w:cs="宋体" w:asciiTheme="minorEastAsia" w:hAnsiTheme="minorEastAsia"/>
                      <w:szCs w:val="21"/>
                    </w:rPr>
                    <w:t>0分。</w:t>
                  </w:r>
                </w:p>
                <w:p>
                  <w:pPr>
                    <w:rPr>
                      <w:rFonts w:cs="宋体" w:asciiTheme="minorEastAsia" w:hAnsiTheme="minorEastAsia"/>
                      <w:szCs w:val="21"/>
                    </w:rPr>
                  </w:pPr>
                  <w:r>
                    <w:rPr>
                      <w:rFonts w:hint="eastAsia" w:cs="宋体" w:asciiTheme="minorEastAsia" w:hAnsiTheme="minorEastAsia"/>
                      <w:szCs w:val="21"/>
                    </w:rPr>
                    <w:t>如果评审为差，要求专家书面说明理由，并记录在档。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1412"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cs="宋体" w:asciiTheme="minorEastAsia" w:hAnsiTheme="minorEastAsia"/>
                      <w:szCs w:val="21"/>
                    </w:rPr>
                    <w:t>重难点分析方案</w:t>
                  </w:r>
                </w:p>
              </w:tc>
              <w:tc>
                <w:tcPr>
                  <w:tcW w:w="1030"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3</w:t>
                  </w:r>
                </w:p>
              </w:tc>
              <w:tc>
                <w:tcPr>
                  <w:tcW w:w="5396" w:type="dxa"/>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szCs w:val="21"/>
                    </w:rPr>
                  </w:pPr>
                  <w:r>
                    <w:rPr>
                      <w:rFonts w:hint="eastAsia" w:cs="宋体" w:asciiTheme="minorEastAsia" w:hAnsiTheme="minorEastAsia"/>
                      <w:szCs w:val="21"/>
                    </w:rPr>
                    <w:t>（一）评分内容：</w:t>
                  </w:r>
                </w:p>
                <w:p>
                  <w:pPr>
                    <w:rPr>
                      <w:rFonts w:cs="宋体" w:asciiTheme="minorEastAsia" w:hAnsiTheme="minorEastAsia"/>
                      <w:szCs w:val="21"/>
                    </w:rPr>
                  </w:pPr>
                  <w:r>
                    <w:rPr>
                      <w:rFonts w:hint="eastAsia" w:cs="宋体" w:asciiTheme="minorEastAsia" w:hAnsiTheme="minorEastAsia"/>
                      <w:szCs w:val="21"/>
                    </w:rPr>
                    <w:t>投标人应根据本项目情况分析：</w:t>
                  </w:r>
                </w:p>
                <w:p>
                  <w:pPr>
                    <w:snapToGrid w:val="0"/>
                    <w:spacing w:line="360" w:lineRule="exact"/>
                    <w:rPr>
                      <w:rFonts w:asciiTheme="minorEastAsia" w:hAnsiTheme="minorEastAsia"/>
                      <w:szCs w:val="21"/>
                    </w:rPr>
                  </w:pPr>
                  <w:r>
                    <w:rPr>
                      <w:rFonts w:hint="eastAsia" w:asciiTheme="minorEastAsia" w:hAnsiTheme="minorEastAsia"/>
                      <w:szCs w:val="21"/>
                    </w:rPr>
                    <w:t>1.对项目重点难点分析；</w:t>
                  </w:r>
                </w:p>
                <w:p>
                  <w:pPr>
                    <w:snapToGrid w:val="0"/>
                    <w:spacing w:line="360" w:lineRule="exact"/>
                    <w:rPr>
                      <w:rFonts w:asciiTheme="minorEastAsia" w:hAnsiTheme="minorEastAsia"/>
                      <w:szCs w:val="21"/>
                    </w:rPr>
                  </w:pPr>
                  <w:r>
                    <w:rPr>
                      <w:rFonts w:hint="eastAsia" w:asciiTheme="minorEastAsia" w:hAnsiTheme="minorEastAsia"/>
                      <w:szCs w:val="21"/>
                    </w:rPr>
                    <w:t>2.对项目重点难点逐项提出应对措施。</w:t>
                  </w:r>
                </w:p>
                <w:p>
                  <w:pPr>
                    <w:rPr>
                      <w:rFonts w:cs="宋体" w:asciiTheme="minorEastAsia" w:hAnsiTheme="minorEastAsia"/>
                      <w:szCs w:val="21"/>
                    </w:rPr>
                  </w:pPr>
                  <w:r>
                    <w:rPr>
                      <w:rFonts w:hint="eastAsia" w:cs="宋体" w:asciiTheme="minorEastAsia" w:hAnsiTheme="minorEastAsia"/>
                      <w:szCs w:val="21"/>
                    </w:rPr>
                    <w:t>（二）评分依据：</w:t>
                  </w:r>
                </w:p>
                <w:p>
                  <w:pPr>
                    <w:rPr>
                      <w:rFonts w:cs="宋体" w:asciiTheme="minorEastAsia" w:hAnsiTheme="minorEastAsia"/>
                      <w:szCs w:val="21"/>
                    </w:rPr>
                  </w:pPr>
                  <w:r>
                    <w:rPr>
                      <w:rFonts w:hint="eastAsia" w:cs="宋体" w:asciiTheme="minorEastAsia" w:hAnsiTheme="minorEastAsia"/>
                      <w:szCs w:val="21"/>
                    </w:rPr>
                    <w:t>重难点分析方案每提供以上任意一点得40%分，最多得80%分，未满足不得分。</w:t>
                  </w:r>
                </w:p>
                <w:p>
                  <w:pPr>
                    <w:rPr>
                      <w:rFonts w:cs="宋体" w:asciiTheme="minorEastAsia" w:hAnsiTheme="minorEastAsia"/>
                      <w:szCs w:val="21"/>
                    </w:rPr>
                  </w:pPr>
                  <w:r>
                    <w:rPr>
                      <w:rFonts w:hint="eastAsia" w:cs="宋体" w:asciiTheme="minorEastAsia" w:hAnsiTheme="minorEastAsia"/>
                      <w:szCs w:val="21"/>
                    </w:rPr>
                    <w:t>优评分标准：方案内容详细合理，可行性强分；</w:t>
                  </w:r>
                </w:p>
                <w:p>
                  <w:pPr>
                    <w:rPr>
                      <w:rFonts w:cs="宋体" w:asciiTheme="minorEastAsia" w:hAnsiTheme="minorEastAsia"/>
                      <w:szCs w:val="21"/>
                    </w:rPr>
                  </w:pPr>
                  <w:r>
                    <w:rPr>
                      <w:rFonts w:hint="eastAsia" w:cs="宋体" w:asciiTheme="minorEastAsia" w:hAnsiTheme="minorEastAsia"/>
                      <w:szCs w:val="21"/>
                    </w:rPr>
                    <w:t>良评分标准：方案内容较详细合理，切实可行；</w:t>
                  </w:r>
                </w:p>
                <w:p>
                  <w:pPr>
                    <w:rPr>
                      <w:rFonts w:cs="宋体" w:asciiTheme="minorEastAsia" w:hAnsiTheme="minorEastAsia"/>
                      <w:szCs w:val="21"/>
                    </w:rPr>
                  </w:pPr>
                  <w:r>
                    <w:rPr>
                      <w:rFonts w:hint="eastAsia" w:cs="宋体" w:asciiTheme="minorEastAsia" w:hAnsiTheme="minorEastAsia"/>
                      <w:szCs w:val="21"/>
                    </w:rPr>
                    <w:t>中评分标准：方案内容一般可行性一般；</w:t>
                  </w:r>
                </w:p>
                <w:p>
                  <w:pPr>
                    <w:rPr>
                      <w:rFonts w:cs="宋体" w:asciiTheme="minorEastAsia" w:hAnsiTheme="minorEastAsia"/>
                      <w:szCs w:val="21"/>
                    </w:rPr>
                  </w:pPr>
                  <w:r>
                    <w:rPr>
                      <w:rFonts w:hint="eastAsia" w:cs="宋体" w:asciiTheme="minorEastAsia" w:hAnsiTheme="minorEastAsia"/>
                      <w:szCs w:val="21"/>
                    </w:rPr>
                    <w:t>差评分标准：方案内容一般，可行性差。</w:t>
                  </w:r>
                </w:p>
                <w:p>
                  <w:pPr>
                    <w:rPr>
                      <w:rFonts w:cs="宋体" w:asciiTheme="minorEastAsia" w:hAnsiTheme="minorEastAsia"/>
                      <w:szCs w:val="21"/>
                    </w:rPr>
                  </w:pPr>
                  <w:r>
                    <w:rPr>
                      <w:rFonts w:hint="eastAsia" w:cs="宋体" w:asciiTheme="minorEastAsia" w:hAnsiTheme="minorEastAsia"/>
                      <w:szCs w:val="21"/>
                    </w:rPr>
                    <w:t>分档评分：评价为优得20%分；评价为良得10%分；评价为中得5%分；评价为差得</w:t>
                  </w:r>
                  <w:r>
                    <w:rPr>
                      <w:rFonts w:cs="宋体" w:asciiTheme="minorEastAsia" w:hAnsiTheme="minorEastAsia"/>
                      <w:szCs w:val="21"/>
                    </w:rPr>
                    <w:t>0分。</w:t>
                  </w:r>
                </w:p>
                <w:p>
                  <w:pPr>
                    <w:rPr>
                      <w:rFonts w:cs="宋体" w:asciiTheme="minorEastAsia" w:hAnsiTheme="minorEastAsia"/>
                      <w:szCs w:val="21"/>
                    </w:rPr>
                  </w:pPr>
                  <w:r>
                    <w:rPr>
                      <w:rFonts w:hint="eastAsia" w:cs="宋体" w:asciiTheme="minorEastAsia" w:hAnsiTheme="minorEastAsia"/>
                      <w:szCs w:val="21"/>
                    </w:rPr>
                    <w:t>如果评审为差，要求专家书面说明理由，并记录在档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3</w:t>
                  </w:r>
                </w:p>
              </w:tc>
              <w:tc>
                <w:tcPr>
                  <w:tcW w:w="1412"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bCs/>
                      <w:szCs w:val="21"/>
                    </w:rPr>
                    <w:t>食品安全管控措施</w:t>
                  </w:r>
                </w:p>
              </w:tc>
              <w:tc>
                <w:tcPr>
                  <w:tcW w:w="1030"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5396" w:type="dxa"/>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szCs w:val="21"/>
                    </w:rPr>
                  </w:pPr>
                  <w:r>
                    <w:rPr>
                      <w:rFonts w:hint="eastAsia" w:cs="宋体" w:asciiTheme="minorEastAsia" w:hAnsiTheme="minorEastAsia"/>
                      <w:szCs w:val="21"/>
                    </w:rPr>
                    <w:t>（一）评分内容：</w:t>
                  </w:r>
                </w:p>
                <w:p>
                  <w:pPr>
                    <w:rPr>
                      <w:rFonts w:cs="宋体" w:asciiTheme="minorEastAsia" w:hAnsiTheme="minorEastAsia"/>
                      <w:szCs w:val="21"/>
                    </w:rPr>
                  </w:pPr>
                  <w:r>
                    <w:rPr>
                      <w:rFonts w:hint="eastAsia" w:cs="宋体" w:asciiTheme="minorEastAsia" w:hAnsiTheme="minorEastAsia"/>
                      <w:szCs w:val="21"/>
                    </w:rPr>
                    <w:t>投标人应根据本项目经营管理的需要建立规范的</w:t>
                  </w:r>
                  <w:r>
                    <w:rPr>
                      <w:rFonts w:hint="eastAsia" w:cs="宋体" w:asciiTheme="minorEastAsia" w:hAnsiTheme="minorEastAsia"/>
                      <w:bCs/>
                      <w:szCs w:val="21"/>
                    </w:rPr>
                    <w:t>食品质量安全控制，</w:t>
                  </w:r>
                  <w:r>
                    <w:rPr>
                      <w:rFonts w:hint="eastAsia" w:cs="宋体" w:asciiTheme="minorEastAsia" w:hAnsiTheme="minorEastAsia"/>
                      <w:szCs w:val="21"/>
                    </w:rPr>
                    <w:t>内容包括但不限于：</w:t>
                  </w:r>
                </w:p>
                <w:p>
                  <w:pPr>
                    <w:numPr>
                      <w:ilvl w:val="255"/>
                      <w:numId w:val="0"/>
                    </w:numPr>
                    <w:rPr>
                      <w:rFonts w:cs="宋体" w:asciiTheme="minorEastAsia" w:hAnsiTheme="minorEastAsia"/>
                      <w:bCs/>
                      <w:szCs w:val="21"/>
                    </w:rPr>
                  </w:pPr>
                  <w:r>
                    <w:rPr>
                      <w:rFonts w:hint="eastAsia" w:cs="宋体" w:asciiTheme="minorEastAsia" w:hAnsiTheme="minorEastAsia"/>
                      <w:szCs w:val="21"/>
                    </w:rPr>
                    <w:t>1.</w:t>
                  </w:r>
                  <w:r>
                    <w:rPr>
                      <w:rFonts w:hint="eastAsia" w:cs="宋体" w:asciiTheme="minorEastAsia" w:hAnsiTheme="minorEastAsia"/>
                      <w:bCs/>
                      <w:szCs w:val="21"/>
                    </w:rPr>
                    <w:t>食品检测、生产、留样、储存、库房管理规范性等措施；</w:t>
                  </w:r>
                </w:p>
                <w:p>
                  <w:pPr>
                    <w:numPr>
                      <w:ilvl w:val="255"/>
                      <w:numId w:val="0"/>
                    </w:numPr>
                    <w:rPr>
                      <w:rFonts w:cs="宋体" w:asciiTheme="minorEastAsia" w:hAnsiTheme="minorEastAsia"/>
                      <w:szCs w:val="21"/>
                    </w:rPr>
                  </w:pPr>
                  <w:r>
                    <w:rPr>
                      <w:rFonts w:hint="eastAsia" w:cs="宋体" w:asciiTheme="minorEastAsia" w:hAnsiTheme="minorEastAsia"/>
                      <w:szCs w:val="21"/>
                    </w:rPr>
                    <w:t>2.食品质量、食品安全管理制度。</w:t>
                  </w:r>
                </w:p>
                <w:p>
                  <w:pPr>
                    <w:rPr>
                      <w:rFonts w:cs="宋体" w:asciiTheme="minorEastAsia" w:hAnsiTheme="minorEastAsia"/>
                      <w:szCs w:val="21"/>
                    </w:rPr>
                  </w:pPr>
                  <w:r>
                    <w:rPr>
                      <w:rFonts w:hint="eastAsia" w:cs="宋体" w:asciiTheme="minorEastAsia" w:hAnsiTheme="minorEastAsia"/>
                      <w:szCs w:val="21"/>
                    </w:rPr>
                    <w:t>（二）评分依据：</w:t>
                  </w:r>
                </w:p>
                <w:p>
                  <w:pPr>
                    <w:rPr>
                      <w:rFonts w:cs="宋体" w:asciiTheme="minorEastAsia" w:hAnsiTheme="minorEastAsia"/>
                      <w:szCs w:val="21"/>
                    </w:rPr>
                  </w:pPr>
                  <w:r>
                    <w:rPr>
                      <w:rFonts w:hint="eastAsia" w:cs="宋体" w:asciiTheme="minorEastAsia" w:hAnsiTheme="minorEastAsia"/>
                      <w:bCs/>
                      <w:szCs w:val="21"/>
                    </w:rPr>
                    <w:t>食品安全管控措施</w:t>
                  </w:r>
                  <w:r>
                    <w:rPr>
                      <w:rFonts w:hint="eastAsia" w:cs="宋体" w:asciiTheme="minorEastAsia" w:hAnsiTheme="minorEastAsia"/>
                      <w:szCs w:val="21"/>
                    </w:rPr>
                    <w:t>每提供了以上任意一点得40%分，最多得80%分，未满足不得分。</w:t>
                  </w:r>
                </w:p>
                <w:p>
                  <w:pPr>
                    <w:rPr>
                      <w:rFonts w:cs="宋体" w:asciiTheme="minorEastAsia" w:hAnsiTheme="minorEastAsia"/>
                      <w:szCs w:val="21"/>
                    </w:rPr>
                  </w:pPr>
                  <w:r>
                    <w:rPr>
                      <w:rFonts w:hint="eastAsia" w:cs="宋体" w:asciiTheme="minorEastAsia" w:hAnsiTheme="minorEastAsia"/>
                      <w:szCs w:val="21"/>
                    </w:rPr>
                    <w:t>在此基础上，专家根据各投标人的具体响应内容按照量化的评审因素指标进一步评审；</w:t>
                  </w:r>
                </w:p>
                <w:p>
                  <w:pPr>
                    <w:rPr>
                      <w:rFonts w:cs="宋体" w:asciiTheme="minorEastAsia" w:hAnsiTheme="minorEastAsia"/>
                      <w:szCs w:val="21"/>
                    </w:rPr>
                  </w:pPr>
                  <w:r>
                    <w:rPr>
                      <w:rFonts w:hint="eastAsia" w:cs="宋体" w:asciiTheme="minorEastAsia" w:hAnsiTheme="minorEastAsia"/>
                      <w:szCs w:val="21"/>
                    </w:rPr>
                    <w:t xml:space="preserve">优评分标准：方案内容详细合理，可行性强；                             </w:t>
                  </w:r>
                </w:p>
                <w:p>
                  <w:pPr>
                    <w:rPr>
                      <w:rFonts w:cs="宋体" w:asciiTheme="minorEastAsia" w:hAnsiTheme="minorEastAsia"/>
                      <w:szCs w:val="21"/>
                    </w:rPr>
                  </w:pPr>
                  <w:r>
                    <w:rPr>
                      <w:rFonts w:hint="eastAsia" w:cs="宋体" w:asciiTheme="minorEastAsia" w:hAnsiTheme="minorEastAsia"/>
                      <w:szCs w:val="21"/>
                    </w:rPr>
                    <w:t>良评分标准：方案内容较详细合理，切实可行；</w:t>
                  </w:r>
                </w:p>
                <w:p>
                  <w:pPr>
                    <w:rPr>
                      <w:rFonts w:cs="宋体" w:asciiTheme="minorEastAsia" w:hAnsiTheme="minorEastAsia"/>
                      <w:szCs w:val="21"/>
                    </w:rPr>
                  </w:pPr>
                  <w:r>
                    <w:rPr>
                      <w:rFonts w:hint="eastAsia" w:cs="宋体" w:asciiTheme="minorEastAsia" w:hAnsiTheme="minorEastAsia"/>
                      <w:szCs w:val="21"/>
                    </w:rPr>
                    <w:t>中评分标准：方案内容一般可行性一般；</w:t>
                  </w:r>
                </w:p>
                <w:p>
                  <w:pPr>
                    <w:rPr>
                      <w:rFonts w:cs="宋体" w:asciiTheme="minorEastAsia" w:hAnsiTheme="minorEastAsia"/>
                      <w:szCs w:val="21"/>
                    </w:rPr>
                  </w:pPr>
                  <w:r>
                    <w:rPr>
                      <w:rFonts w:hint="eastAsia" w:cs="宋体" w:asciiTheme="minorEastAsia" w:hAnsiTheme="minorEastAsia"/>
                      <w:szCs w:val="21"/>
                    </w:rPr>
                    <w:t>差评分标准：方案内容一般，可行性差。</w:t>
                  </w:r>
                </w:p>
                <w:p>
                  <w:pPr>
                    <w:rPr>
                      <w:rFonts w:cs="宋体" w:asciiTheme="minorEastAsia" w:hAnsiTheme="minorEastAsia"/>
                      <w:szCs w:val="21"/>
                    </w:rPr>
                  </w:pPr>
                  <w:r>
                    <w:rPr>
                      <w:rFonts w:hint="eastAsia" w:cs="宋体" w:asciiTheme="minorEastAsia" w:hAnsiTheme="minorEastAsia"/>
                      <w:szCs w:val="21"/>
                    </w:rPr>
                    <w:t>分档评分：评价为优得20%分；评价为良得10%分；评价为中得5%分；评价为差得</w:t>
                  </w:r>
                  <w:r>
                    <w:rPr>
                      <w:rFonts w:cs="宋体" w:asciiTheme="minorEastAsia" w:hAnsiTheme="minorEastAsia"/>
                      <w:szCs w:val="21"/>
                    </w:rPr>
                    <w:t>0分。</w:t>
                  </w:r>
                </w:p>
                <w:p>
                  <w:pPr>
                    <w:rPr>
                      <w:rFonts w:cs="宋体" w:asciiTheme="minorEastAsia" w:hAnsiTheme="minorEastAsia"/>
                      <w:szCs w:val="21"/>
                    </w:rPr>
                  </w:pPr>
                  <w:r>
                    <w:rPr>
                      <w:rFonts w:hint="eastAsia" w:cs="宋体" w:asciiTheme="minorEastAsia" w:hAnsiTheme="minorEastAsia"/>
                      <w:szCs w:val="21"/>
                    </w:rPr>
                    <w:t>如果评审为差，要求专家书面说明理由，并记录在档。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1412"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bCs/>
                      <w:szCs w:val="21"/>
                    </w:rPr>
                    <w:t>人员管理</w:t>
                  </w:r>
                </w:p>
              </w:tc>
              <w:tc>
                <w:tcPr>
                  <w:tcW w:w="1030"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5396" w:type="dxa"/>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szCs w:val="21"/>
                    </w:rPr>
                  </w:pPr>
                  <w:r>
                    <w:rPr>
                      <w:rFonts w:hint="eastAsia" w:cs="宋体" w:asciiTheme="minorEastAsia" w:hAnsiTheme="minorEastAsia"/>
                      <w:szCs w:val="21"/>
                    </w:rPr>
                    <w:t>（一）评分内容：</w:t>
                  </w:r>
                </w:p>
                <w:p>
                  <w:pPr>
                    <w:rPr>
                      <w:rFonts w:cs="宋体" w:asciiTheme="minorEastAsia" w:hAnsiTheme="minorEastAsia"/>
                      <w:szCs w:val="21"/>
                    </w:rPr>
                  </w:pPr>
                  <w:r>
                    <w:rPr>
                      <w:rFonts w:hint="eastAsia" w:cs="宋体" w:asciiTheme="minorEastAsia" w:hAnsiTheme="minorEastAsia"/>
                      <w:szCs w:val="21"/>
                    </w:rPr>
                    <w:t>投标人应根据本项目建立规范的人员管理，内容包括但不限于：</w:t>
                  </w:r>
                </w:p>
                <w:p>
                  <w:pPr>
                    <w:numPr>
                      <w:ilvl w:val="255"/>
                      <w:numId w:val="0"/>
                    </w:numPr>
                    <w:rPr>
                      <w:rFonts w:cs="宋体" w:asciiTheme="minorEastAsia" w:hAnsiTheme="minorEastAsia"/>
                      <w:szCs w:val="21"/>
                    </w:rPr>
                  </w:pPr>
                  <w:r>
                    <w:rPr>
                      <w:rFonts w:hint="eastAsia" w:cs="宋体" w:asciiTheme="minorEastAsia" w:hAnsiTheme="minorEastAsia"/>
                      <w:szCs w:val="21"/>
                    </w:rPr>
                    <w:t>1.人员配备；</w:t>
                  </w:r>
                </w:p>
                <w:p>
                  <w:pPr>
                    <w:numPr>
                      <w:ilvl w:val="255"/>
                      <w:numId w:val="0"/>
                    </w:numPr>
                    <w:rPr>
                      <w:rFonts w:cs="宋体" w:asciiTheme="minorEastAsia" w:hAnsiTheme="minorEastAsia"/>
                      <w:szCs w:val="21"/>
                    </w:rPr>
                  </w:pPr>
                  <w:r>
                    <w:rPr>
                      <w:rFonts w:hint="eastAsia" w:cs="宋体" w:asciiTheme="minorEastAsia" w:hAnsiTheme="minorEastAsia"/>
                      <w:szCs w:val="21"/>
                    </w:rPr>
                    <w:t>2.人员培训；</w:t>
                  </w:r>
                </w:p>
                <w:p>
                  <w:pPr>
                    <w:numPr>
                      <w:ilvl w:val="255"/>
                      <w:numId w:val="0"/>
                    </w:numPr>
                    <w:rPr>
                      <w:rFonts w:cs="宋体" w:asciiTheme="minorEastAsia" w:hAnsiTheme="minorEastAsia"/>
                      <w:szCs w:val="21"/>
                    </w:rPr>
                  </w:pPr>
                  <w:r>
                    <w:rPr>
                      <w:rFonts w:hint="eastAsia" w:cs="宋体" w:asciiTheme="minorEastAsia" w:hAnsiTheme="minorEastAsia"/>
                      <w:szCs w:val="21"/>
                    </w:rPr>
                    <w:t>3.人员岗位制度；</w:t>
                  </w:r>
                </w:p>
                <w:p>
                  <w:pPr>
                    <w:numPr>
                      <w:ilvl w:val="255"/>
                      <w:numId w:val="0"/>
                    </w:numPr>
                    <w:rPr>
                      <w:rFonts w:cs="宋体" w:asciiTheme="minorEastAsia" w:hAnsiTheme="minorEastAsia"/>
                      <w:szCs w:val="21"/>
                    </w:rPr>
                  </w:pPr>
                  <w:r>
                    <w:rPr>
                      <w:rFonts w:hint="eastAsia" w:cs="宋体" w:asciiTheme="minorEastAsia" w:hAnsiTheme="minorEastAsia"/>
                      <w:szCs w:val="21"/>
                    </w:rPr>
                    <w:t>4.人员管理和考核。</w:t>
                  </w:r>
                </w:p>
                <w:p>
                  <w:pPr>
                    <w:rPr>
                      <w:rFonts w:cs="宋体" w:asciiTheme="minorEastAsia" w:hAnsiTheme="minorEastAsia"/>
                      <w:szCs w:val="21"/>
                    </w:rPr>
                  </w:pPr>
                  <w:r>
                    <w:rPr>
                      <w:rFonts w:hint="eastAsia" w:cs="宋体" w:asciiTheme="minorEastAsia" w:hAnsiTheme="minorEastAsia"/>
                      <w:szCs w:val="21"/>
                    </w:rPr>
                    <w:t>（二）评分依据：</w:t>
                  </w:r>
                </w:p>
                <w:p>
                  <w:pPr>
                    <w:rPr>
                      <w:rFonts w:cs="宋体" w:asciiTheme="minorEastAsia" w:hAnsiTheme="minorEastAsia"/>
                      <w:szCs w:val="21"/>
                    </w:rPr>
                  </w:pPr>
                  <w:r>
                    <w:rPr>
                      <w:rFonts w:hint="eastAsia" w:cs="宋体" w:asciiTheme="minorEastAsia" w:hAnsiTheme="minorEastAsia"/>
                      <w:szCs w:val="21"/>
                    </w:rPr>
                    <w:t>人员管理方案每提供以上任意一点得20%分，最多得80%分，未满足不得分。</w:t>
                  </w:r>
                </w:p>
                <w:p>
                  <w:pPr>
                    <w:rPr>
                      <w:rFonts w:cs="宋体" w:asciiTheme="minorEastAsia" w:hAnsiTheme="minorEastAsia"/>
                      <w:szCs w:val="21"/>
                    </w:rPr>
                  </w:pPr>
                  <w:r>
                    <w:rPr>
                      <w:rFonts w:hint="eastAsia" w:cs="宋体" w:asciiTheme="minorEastAsia" w:hAnsiTheme="minorEastAsia"/>
                      <w:szCs w:val="21"/>
                    </w:rPr>
                    <w:t>在此基础上，专家根据各投标人的具体响应内容按照量化的评审因素指标进一步评审；</w:t>
                  </w:r>
                </w:p>
                <w:p>
                  <w:pPr>
                    <w:rPr>
                      <w:rFonts w:cs="宋体" w:asciiTheme="minorEastAsia" w:hAnsiTheme="minorEastAsia"/>
                      <w:szCs w:val="21"/>
                    </w:rPr>
                  </w:pPr>
                  <w:r>
                    <w:rPr>
                      <w:rFonts w:hint="eastAsia" w:cs="宋体" w:asciiTheme="minorEastAsia" w:hAnsiTheme="minorEastAsia"/>
                      <w:szCs w:val="21"/>
                    </w:rPr>
                    <w:t xml:space="preserve">优评分标准：方案内容详细合理，可行性强；                             </w:t>
                  </w:r>
                </w:p>
                <w:p>
                  <w:pPr>
                    <w:rPr>
                      <w:rFonts w:cs="宋体" w:asciiTheme="minorEastAsia" w:hAnsiTheme="minorEastAsia"/>
                      <w:szCs w:val="21"/>
                    </w:rPr>
                  </w:pPr>
                  <w:r>
                    <w:rPr>
                      <w:rFonts w:hint="eastAsia" w:cs="宋体" w:asciiTheme="minorEastAsia" w:hAnsiTheme="minorEastAsia"/>
                      <w:szCs w:val="21"/>
                    </w:rPr>
                    <w:t>良评分标准：方案内容较详细合理，切实可行；</w:t>
                  </w:r>
                </w:p>
                <w:p>
                  <w:pPr>
                    <w:rPr>
                      <w:rFonts w:cs="宋体" w:asciiTheme="minorEastAsia" w:hAnsiTheme="minorEastAsia"/>
                      <w:szCs w:val="21"/>
                    </w:rPr>
                  </w:pPr>
                  <w:r>
                    <w:rPr>
                      <w:rFonts w:hint="eastAsia" w:cs="宋体" w:asciiTheme="minorEastAsia" w:hAnsiTheme="minorEastAsia"/>
                      <w:szCs w:val="21"/>
                    </w:rPr>
                    <w:t>中评分标准：方案内容一般可行性一般；</w:t>
                  </w:r>
                </w:p>
                <w:p>
                  <w:pPr>
                    <w:rPr>
                      <w:rFonts w:cs="宋体" w:asciiTheme="minorEastAsia" w:hAnsiTheme="minorEastAsia"/>
                      <w:szCs w:val="21"/>
                    </w:rPr>
                  </w:pPr>
                  <w:r>
                    <w:rPr>
                      <w:rFonts w:hint="eastAsia" w:cs="宋体" w:asciiTheme="minorEastAsia" w:hAnsiTheme="minorEastAsia"/>
                      <w:szCs w:val="21"/>
                    </w:rPr>
                    <w:t>差评分标准：方案内容一般，可行性差。</w:t>
                  </w:r>
                </w:p>
                <w:p>
                  <w:pPr>
                    <w:rPr>
                      <w:rFonts w:cs="宋体" w:asciiTheme="minorEastAsia" w:hAnsiTheme="minorEastAsia"/>
                      <w:szCs w:val="21"/>
                    </w:rPr>
                  </w:pPr>
                  <w:r>
                    <w:rPr>
                      <w:rFonts w:hint="eastAsia" w:cs="宋体" w:asciiTheme="minorEastAsia" w:hAnsiTheme="minorEastAsia"/>
                      <w:szCs w:val="21"/>
                    </w:rPr>
                    <w:t>分档评分：评价为优得20%分；评价为良得10%分；评价为中得5%分；评价为差得</w:t>
                  </w:r>
                  <w:r>
                    <w:rPr>
                      <w:rFonts w:cs="宋体" w:asciiTheme="minorEastAsia" w:hAnsiTheme="minorEastAsia"/>
                      <w:szCs w:val="21"/>
                    </w:rPr>
                    <w:t>0分。</w:t>
                  </w:r>
                </w:p>
                <w:p>
                  <w:pPr>
                    <w:rPr>
                      <w:rFonts w:asciiTheme="minorEastAsia" w:hAnsiTheme="minorEastAsia"/>
                      <w:szCs w:val="21"/>
                    </w:rPr>
                  </w:pPr>
                  <w:r>
                    <w:rPr>
                      <w:rFonts w:hint="eastAsia" w:cs="宋体" w:asciiTheme="minorEastAsia" w:hAnsiTheme="minorEastAsia"/>
                      <w:szCs w:val="21"/>
                    </w:rPr>
                    <w:t>如果评审为差，要求专家书面说明理由，并记录在档。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5</w:t>
                  </w:r>
                </w:p>
              </w:tc>
              <w:tc>
                <w:tcPr>
                  <w:tcW w:w="1412"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bCs/>
                      <w:szCs w:val="21"/>
                    </w:rPr>
                  </w:pPr>
                  <w:r>
                    <w:rPr>
                      <w:rFonts w:hint="eastAsia" w:cs="宋体" w:asciiTheme="minorEastAsia" w:hAnsiTheme="minorEastAsia"/>
                      <w:bCs/>
                      <w:szCs w:val="21"/>
                    </w:rPr>
                    <w:t>应急预案</w:t>
                  </w:r>
                </w:p>
              </w:tc>
              <w:tc>
                <w:tcPr>
                  <w:tcW w:w="1030"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3</w:t>
                  </w:r>
                </w:p>
              </w:tc>
              <w:tc>
                <w:tcPr>
                  <w:tcW w:w="5396" w:type="dxa"/>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szCs w:val="21"/>
                    </w:rPr>
                  </w:pPr>
                  <w:r>
                    <w:rPr>
                      <w:rFonts w:hint="eastAsia" w:cs="宋体" w:asciiTheme="minorEastAsia" w:hAnsiTheme="minorEastAsia"/>
                      <w:szCs w:val="21"/>
                    </w:rPr>
                    <w:t>（一）评分内容：</w:t>
                  </w:r>
                </w:p>
                <w:p>
                  <w:pPr>
                    <w:rPr>
                      <w:rFonts w:cs="宋体" w:asciiTheme="minorEastAsia" w:hAnsiTheme="minorEastAsia"/>
                      <w:szCs w:val="21"/>
                    </w:rPr>
                  </w:pPr>
                  <w:r>
                    <w:rPr>
                      <w:rFonts w:hint="eastAsia" w:cs="宋体" w:asciiTheme="minorEastAsia" w:hAnsiTheme="minorEastAsia"/>
                      <w:szCs w:val="21"/>
                    </w:rPr>
                    <w:t>投标人应根据中标后投入运营提供一个应急预案</w:t>
                  </w:r>
                  <w:r>
                    <w:rPr>
                      <w:rFonts w:hint="eastAsia" w:cs="宋体" w:asciiTheme="minorEastAsia" w:hAnsiTheme="minorEastAsia"/>
                      <w:bCs/>
                      <w:szCs w:val="21"/>
                    </w:rPr>
                    <w:t>，</w:t>
                  </w:r>
                  <w:r>
                    <w:rPr>
                      <w:rFonts w:hint="eastAsia" w:cs="宋体" w:asciiTheme="minorEastAsia" w:hAnsiTheme="minorEastAsia"/>
                      <w:szCs w:val="21"/>
                    </w:rPr>
                    <w:t>内容包括但不限于：</w:t>
                  </w:r>
                </w:p>
                <w:p>
                  <w:pPr>
                    <w:numPr>
                      <w:ilvl w:val="255"/>
                      <w:numId w:val="0"/>
                    </w:numPr>
                    <w:rPr>
                      <w:rFonts w:cs="宋体" w:asciiTheme="minorEastAsia" w:hAnsiTheme="minorEastAsia"/>
                      <w:szCs w:val="21"/>
                    </w:rPr>
                  </w:pPr>
                  <w:r>
                    <w:rPr>
                      <w:rFonts w:hint="eastAsia" w:cs="宋体" w:asciiTheme="minorEastAsia" w:hAnsiTheme="minorEastAsia"/>
                      <w:szCs w:val="21"/>
                    </w:rPr>
                    <w:t>1.及时解决可能出现的各种突发事故；</w:t>
                  </w:r>
                </w:p>
                <w:p>
                  <w:pPr>
                    <w:rPr>
                      <w:rFonts w:cs="宋体" w:asciiTheme="minorEastAsia" w:hAnsiTheme="minorEastAsia"/>
                      <w:szCs w:val="21"/>
                    </w:rPr>
                  </w:pPr>
                  <w:r>
                    <w:rPr>
                      <w:rFonts w:hint="eastAsia" w:cs="宋体" w:asciiTheme="minorEastAsia" w:hAnsiTheme="minorEastAsia"/>
                      <w:szCs w:val="21"/>
                    </w:rPr>
                    <w:t xml:space="preserve">2.对食堂突发事件的应急措施。                                 </w:t>
                  </w:r>
                </w:p>
                <w:p>
                  <w:pPr>
                    <w:rPr>
                      <w:rFonts w:cs="宋体" w:asciiTheme="minorEastAsia" w:hAnsiTheme="minorEastAsia"/>
                      <w:szCs w:val="21"/>
                    </w:rPr>
                  </w:pPr>
                  <w:r>
                    <w:rPr>
                      <w:rFonts w:hint="eastAsia" w:cs="宋体" w:asciiTheme="minorEastAsia" w:hAnsiTheme="minorEastAsia"/>
                      <w:szCs w:val="21"/>
                    </w:rPr>
                    <w:t>（二）评分依据：</w:t>
                  </w:r>
                </w:p>
                <w:p>
                  <w:pPr>
                    <w:rPr>
                      <w:rFonts w:cs="宋体" w:asciiTheme="minorEastAsia" w:hAnsiTheme="minorEastAsia"/>
                      <w:szCs w:val="21"/>
                    </w:rPr>
                  </w:pPr>
                  <w:r>
                    <w:rPr>
                      <w:rFonts w:hint="eastAsia" w:cs="宋体" w:asciiTheme="minorEastAsia" w:hAnsiTheme="minorEastAsia"/>
                      <w:bCs/>
                      <w:szCs w:val="21"/>
                    </w:rPr>
                    <w:t>应急预案</w:t>
                  </w:r>
                  <w:r>
                    <w:rPr>
                      <w:rFonts w:hint="eastAsia" w:cs="宋体" w:asciiTheme="minorEastAsia" w:hAnsiTheme="minorEastAsia"/>
                      <w:szCs w:val="21"/>
                    </w:rPr>
                    <w:t>每提供以上任意一点得40%分，最多得80%分，未满足不得分。</w:t>
                  </w:r>
                </w:p>
                <w:p>
                  <w:pPr>
                    <w:rPr>
                      <w:rFonts w:cs="宋体" w:asciiTheme="minorEastAsia" w:hAnsiTheme="minorEastAsia"/>
                      <w:szCs w:val="21"/>
                    </w:rPr>
                  </w:pPr>
                  <w:r>
                    <w:rPr>
                      <w:rFonts w:hint="eastAsia" w:cs="宋体" w:asciiTheme="minorEastAsia" w:hAnsiTheme="minorEastAsia"/>
                      <w:szCs w:val="21"/>
                    </w:rPr>
                    <w:t>在此基础上，专家根据各投标人的具体响应内容按照量化的评审因素指标进一步评审；</w:t>
                  </w:r>
                </w:p>
                <w:p>
                  <w:pPr>
                    <w:rPr>
                      <w:rFonts w:cs="宋体" w:asciiTheme="minorEastAsia" w:hAnsiTheme="minorEastAsia"/>
                      <w:szCs w:val="21"/>
                    </w:rPr>
                  </w:pPr>
                  <w:r>
                    <w:rPr>
                      <w:rFonts w:hint="eastAsia" w:cs="宋体" w:asciiTheme="minorEastAsia" w:hAnsiTheme="minorEastAsia"/>
                      <w:szCs w:val="21"/>
                    </w:rPr>
                    <w:t xml:space="preserve">优评分标准：方案内容详细合理，可行性强；                             </w:t>
                  </w:r>
                </w:p>
                <w:p>
                  <w:pPr>
                    <w:rPr>
                      <w:rFonts w:cs="宋体" w:asciiTheme="minorEastAsia" w:hAnsiTheme="minorEastAsia"/>
                      <w:szCs w:val="21"/>
                    </w:rPr>
                  </w:pPr>
                  <w:r>
                    <w:rPr>
                      <w:rFonts w:hint="eastAsia" w:cs="宋体" w:asciiTheme="minorEastAsia" w:hAnsiTheme="minorEastAsia"/>
                      <w:szCs w:val="21"/>
                    </w:rPr>
                    <w:t>良评分标准：方案内容较详细合理，切实可行；</w:t>
                  </w:r>
                </w:p>
                <w:p>
                  <w:pPr>
                    <w:rPr>
                      <w:rFonts w:cs="宋体" w:asciiTheme="minorEastAsia" w:hAnsiTheme="minorEastAsia"/>
                      <w:szCs w:val="21"/>
                    </w:rPr>
                  </w:pPr>
                  <w:r>
                    <w:rPr>
                      <w:rFonts w:hint="eastAsia" w:cs="宋体" w:asciiTheme="minorEastAsia" w:hAnsiTheme="minorEastAsia"/>
                      <w:szCs w:val="21"/>
                    </w:rPr>
                    <w:t>中评分标准：方案内容一般可行性一般；</w:t>
                  </w:r>
                </w:p>
                <w:p>
                  <w:pPr>
                    <w:rPr>
                      <w:rFonts w:cs="宋体" w:asciiTheme="minorEastAsia" w:hAnsiTheme="minorEastAsia"/>
                      <w:szCs w:val="21"/>
                    </w:rPr>
                  </w:pPr>
                  <w:r>
                    <w:rPr>
                      <w:rFonts w:hint="eastAsia" w:cs="宋体" w:asciiTheme="minorEastAsia" w:hAnsiTheme="minorEastAsia"/>
                      <w:szCs w:val="21"/>
                    </w:rPr>
                    <w:t>差评分标准：方案内容一般，可行性差。</w:t>
                  </w:r>
                </w:p>
                <w:p>
                  <w:pPr>
                    <w:rPr>
                      <w:rFonts w:cs="宋体" w:asciiTheme="minorEastAsia" w:hAnsiTheme="minorEastAsia"/>
                      <w:szCs w:val="21"/>
                    </w:rPr>
                  </w:pPr>
                  <w:r>
                    <w:rPr>
                      <w:rFonts w:hint="eastAsia" w:cs="宋体" w:asciiTheme="minorEastAsia" w:hAnsiTheme="minorEastAsia"/>
                      <w:szCs w:val="21"/>
                    </w:rPr>
                    <w:t>分档评分：评价为优得20%分；评价为良得10%分；评价为中得5%分；评价为差得</w:t>
                  </w:r>
                  <w:r>
                    <w:rPr>
                      <w:rFonts w:cs="宋体" w:asciiTheme="minorEastAsia" w:hAnsiTheme="minorEastAsia"/>
                      <w:szCs w:val="21"/>
                    </w:rPr>
                    <w:t>0分。</w:t>
                  </w:r>
                </w:p>
                <w:p>
                  <w:pPr>
                    <w:rPr>
                      <w:rFonts w:cs="宋体" w:asciiTheme="minorEastAsia" w:hAnsiTheme="minorEastAsia"/>
                      <w:szCs w:val="21"/>
                    </w:rPr>
                  </w:pPr>
                  <w:r>
                    <w:rPr>
                      <w:rFonts w:hint="eastAsia" w:cs="宋体" w:asciiTheme="minorEastAsia" w:hAnsiTheme="minorEastAsia"/>
                      <w:szCs w:val="21"/>
                    </w:rPr>
                    <w:t>如果评审为差，要求专家书面说明理由，并记录在档。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6</w:t>
                  </w:r>
                </w:p>
              </w:tc>
              <w:tc>
                <w:tcPr>
                  <w:tcW w:w="1412"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bCs/>
                      <w:szCs w:val="21"/>
                    </w:rPr>
                  </w:pPr>
                  <w:r>
                    <w:rPr>
                      <w:rFonts w:hint="eastAsia" w:cs="宋体" w:asciiTheme="minorEastAsia" w:hAnsiTheme="minorEastAsia"/>
                      <w:szCs w:val="21"/>
                    </w:rPr>
                    <w:t>服务保障能力</w:t>
                  </w:r>
                </w:p>
              </w:tc>
              <w:tc>
                <w:tcPr>
                  <w:tcW w:w="1030"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5396" w:type="dxa"/>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szCs w:val="21"/>
                    </w:rPr>
                  </w:pPr>
                  <w:r>
                    <w:rPr>
                      <w:rFonts w:hint="eastAsia" w:cs="宋体" w:asciiTheme="minorEastAsia" w:hAnsiTheme="minorEastAsia"/>
                      <w:szCs w:val="21"/>
                    </w:rPr>
                    <w:t>（一）评分内容：</w:t>
                  </w:r>
                </w:p>
                <w:p>
                  <w:pPr>
                    <w:rPr>
                      <w:rFonts w:cs="宋体" w:asciiTheme="minorEastAsia" w:hAnsiTheme="minorEastAsia"/>
                      <w:szCs w:val="21"/>
                    </w:rPr>
                  </w:pPr>
                  <w:r>
                    <w:rPr>
                      <w:rFonts w:hint="eastAsia" w:cs="宋体" w:asciiTheme="minorEastAsia" w:hAnsiTheme="minorEastAsia"/>
                      <w:szCs w:val="21"/>
                    </w:rPr>
                    <w:t>投标人根据食堂现场情况，提供创新、可行性强的增值服务方案。</w:t>
                  </w:r>
                </w:p>
                <w:p>
                  <w:pPr>
                    <w:rPr>
                      <w:rFonts w:cs="宋体" w:asciiTheme="minorEastAsia" w:hAnsiTheme="minorEastAsia"/>
                      <w:bCs/>
                      <w:szCs w:val="21"/>
                    </w:rPr>
                  </w:pPr>
                  <w:r>
                    <w:rPr>
                      <w:rFonts w:hint="eastAsia" w:cs="宋体" w:asciiTheme="minorEastAsia" w:hAnsiTheme="minorEastAsia"/>
                      <w:bCs/>
                      <w:szCs w:val="21"/>
                    </w:rPr>
                    <w:t>1.关键岗位人员备份方案；</w:t>
                  </w:r>
                </w:p>
                <w:p>
                  <w:pPr>
                    <w:rPr>
                      <w:rFonts w:cs="宋体" w:asciiTheme="minorEastAsia" w:hAnsiTheme="minorEastAsia"/>
                      <w:bCs/>
                      <w:szCs w:val="21"/>
                    </w:rPr>
                  </w:pPr>
                  <w:r>
                    <w:rPr>
                      <w:rFonts w:hint="eastAsia" w:cs="宋体" w:asciiTheme="minorEastAsia" w:hAnsiTheme="minorEastAsia"/>
                      <w:bCs/>
                      <w:szCs w:val="21"/>
                    </w:rPr>
                    <w:t>2.就餐环境保障方案；</w:t>
                  </w:r>
                </w:p>
                <w:p>
                  <w:pPr>
                    <w:rPr>
                      <w:rFonts w:cs="宋体" w:asciiTheme="minorEastAsia" w:hAnsiTheme="minorEastAsia"/>
                      <w:bCs/>
                      <w:szCs w:val="21"/>
                    </w:rPr>
                  </w:pPr>
                  <w:r>
                    <w:rPr>
                      <w:rFonts w:hint="eastAsia" w:cs="宋体" w:asciiTheme="minorEastAsia" w:hAnsiTheme="minorEastAsia"/>
                      <w:bCs/>
                      <w:szCs w:val="21"/>
                    </w:rPr>
                    <w:t>3.员工餐及客餐服务方案；</w:t>
                  </w:r>
                </w:p>
                <w:p>
                  <w:pPr>
                    <w:rPr>
                      <w:rFonts w:cs="宋体" w:asciiTheme="minorEastAsia" w:hAnsiTheme="minorEastAsia"/>
                      <w:szCs w:val="21"/>
                    </w:rPr>
                  </w:pPr>
                  <w:r>
                    <w:rPr>
                      <w:rFonts w:hint="eastAsia" w:cs="宋体" w:asciiTheme="minorEastAsia" w:hAnsiTheme="minorEastAsia"/>
                      <w:bCs/>
                      <w:szCs w:val="21"/>
                    </w:rPr>
                    <w:t>4.重大活动或临时活动餐饮服务人力资源支持保障能力。</w:t>
                  </w:r>
                </w:p>
                <w:p>
                  <w:pPr>
                    <w:rPr>
                      <w:rFonts w:cs="宋体" w:asciiTheme="minorEastAsia" w:hAnsiTheme="minorEastAsia"/>
                      <w:szCs w:val="21"/>
                    </w:rPr>
                  </w:pPr>
                  <w:r>
                    <w:rPr>
                      <w:rFonts w:hint="eastAsia" w:cs="宋体" w:asciiTheme="minorEastAsia" w:hAnsiTheme="minorEastAsia"/>
                      <w:szCs w:val="21"/>
                    </w:rPr>
                    <w:t>（二）评分依据：</w:t>
                  </w:r>
                </w:p>
                <w:p>
                  <w:pPr>
                    <w:rPr>
                      <w:rFonts w:cs="宋体" w:asciiTheme="minorEastAsia" w:hAnsiTheme="minorEastAsia"/>
                      <w:szCs w:val="21"/>
                    </w:rPr>
                  </w:pPr>
                  <w:r>
                    <w:rPr>
                      <w:rFonts w:hint="eastAsia" w:cs="宋体" w:asciiTheme="minorEastAsia" w:hAnsiTheme="minorEastAsia"/>
                      <w:szCs w:val="21"/>
                    </w:rPr>
                    <w:t>服务保障能力方案每提供以上任意一点得20%分，最多得80%分，未满足不得分。</w:t>
                  </w:r>
                </w:p>
                <w:p>
                  <w:pPr>
                    <w:rPr>
                      <w:rFonts w:cs="宋体" w:asciiTheme="minorEastAsia" w:hAnsiTheme="minorEastAsia"/>
                      <w:szCs w:val="21"/>
                    </w:rPr>
                  </w:pPr>
                  <w:r>
                    <w:rPr>
                      <w:rFonts w:hint="eastAsia" w:cs="宋体" w:asciiTheme="minorEastAsia" w:hAnsiTheme="minorEastAsia"/>
                      <w:szCs w:val="21"/>
                    </w:rPr>
                    <w:t xml:space="preserve">优评分标准：方案内容详细合理，可行性强分；                             </w:t>
                  </w:r>
                </w:p>
                <w:p>
                  <w:pPr>
                    <w:rPr>
                      <w:rFonts w:cs="宋体" w:asciiTheme="minorEastAsia" w:hAnsiTheme="minorEastAsia"/>
                      <w:szCs w:val="21"/>
                    </w:rPr>
                  </w:pPr>
                  <w:r>
                    <w:rPr>
                      <w:rFonts w:hint="eastAsia" w:cs="宋体" w:asciiTheme="minorEastAsia" w:hAnsiTheme="minorEastAsia"/>
                      <w:szCs w:val="21"/>
                    </w:rPr>
                    <w:t>良评分标准：方案内容较详细合理，切实可行；</w:t>
                  </w:r>
                </w:p>
                <w:p>
                  <w:pPr>
                    <w:rPr>
                      <w:rFonts w:cs="宋体" w:asciiTheme="minorEastAsia" w:hAnsiTheme="minorEastAsia"/>
                      <w:szCs w:val="21"/>
                    </w:rPr>
                  </w:pPr>
                  <w:r>
                    <w:rPr>
                      <w:rFonts w:hint="eastAsia" w:cs="宋体" w:asciiTheme="minorEastAsia" w:hAnsiTheme="minorEastAsia"/>
                      <w:szCs w:val="21"/>
                    </w:rPr>
                    <w:t>中评分标准：方案内容一般可行性一般；</w:t>
                  </w:r>
                </w:p>
                <w:p>
                  <w:pPr>
                    <w:rPr>
                      <w:rFonts w:cs="宋体" w:asciiTheme="minorEastAsia" w:hAnsiTheme="minorEastAsia"/>
                      <w:szCs w:val="21"/>
                    </w:rPr>
                  </w:pPr>
                  <w:r>
                    <w:rPr>
                      <w:rFonts w:hint="eastAsia" w:cs="宋体" w:asciiTheme="minorEastAsia" w:hAnsiTheme="minorEastAsia"/>
                      <w:szCs w:val="21"/>
                    </w:rPr>
                    <w:t>差评分标准：方案内容一般，可行性差。</w:t>
                  </w:r>
                </w:p>
                <w:p>
                  <w:pPr>
                    <w:rPr>
                      <w:rFonts w:cs="宋体" w:asciiTheme="minorEastAsia" w:hAnsiTheme="minorEastAsia"/>
                      <w:szCs w:val="21"/>
                    </w:rPr>
                  </w:pPr>
                  <w:r>
                    <w:rPr>
                      <w:rFonts w:hint="eastAsia" w:cs="宋体" w:asciiTheme="minorEastAsia" w:hAnsiTheme="minorEastAsia"/>
                      <w:szCs w:val="21"/>
                    </w:rPr>
                    <w:t>分档评分：评价为优得20%分；评价为良得10%分；评价为中得5%分；评价为差得</w:t>
                  </w:r>
                  <w:r>
                    <w:rPr>
                      <w:rFonts w:cs="宋体" w:asciiTheme="minorEastAsia" w:hAnsiTheme="minorEastAsia"/>
                      <w:szCs w:val="21"/>
                    </w:rPr>
                    <w:t>0分。</w:t>
                  </w:r>
                </w:p>
                <w:p>
                  <w:pPr>
                    <w:rPr>
                      <w:rFonts w:cs="宋体" w:asciiTheme="minorEastAsia" w:hAnsiTheme="minorEastAsia"/>
                      <w:szCs w:val="21"/>
                    </w:rPr>
                  </w:pPr>
                  <w:r>
                    <w:rPr>
                      <w:rFonts w:hint="eastAsia" w:cs="宋体" w:asciiTheme="minorEastAsia" w:hAnsiTheme="minorEastAsia"/>
                      <w:szCs w:val="21"/>
                    </w:rPr>
                    <w:t>如果评审为差，要求专家书面说明理由，并记录在档。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7</w:t>
                  </w:r>
                </w:p>
              </w:tc>
              <w:tc>
                <w:tcPr>
                  <w:tcW w:w="141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cs="宋体" w:asciiTheme="minorEastAsia" w:hAnsiTheme="minorEastAsia"/>
                      <w:szCs w:val="21"/>
                    </w:rPr>
                  </w:pPr>
                  <w:r>
                    <w:rPr>
                      <w:rFonts w:hint="eastAsia" w:cs="宋体" w:asciiTheme="minorEastAsia" w:hAnsiTheme="minorEastAsia"/>
                      <w:szCs w:val="21"/>
                    </w:rPr>
                    <w:t>项目完成（服务期满）后的服务承诺</w:t>
                  </w:r>
                </w:p>
              </w:tc>
              <w:tc>
                <w:tcPr>
                  <w:tcW w:w="103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cs="宋体" w:asciiTheme="minorEastAsia" w:hAnsiTheme="minorEastAsia"/>
                      <w:szCs w:val="21"/>
                    </w:rPr>
                  </w:pPr>
                  <w:r>
                    <w:rPr>
                      <w:rFonts w:hint="eastAsia" w:cs="宋体" w:asciiTheme="minorEastAsia" w:hAnsiTheme="minorEastAsia"/>
                      <w:szCs w:val="21"/>
                    </w:rPr>
                    <w:t>4</w:t>
                  </w:r>
                </w:p>
              </w:tc>
              <w:tc>
                <w:tcPr>
                  <w:tcW w:w="5396" w:type="dxa"/>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szCs w:val="21"/>
                    </w:rPr>
                  </w:pPr>
                  <w:r>
                    <w:rPr>
                      <w:rFonts w:hint="eastAsia" w:cs="宋体" w:asciiTheme="minorEastAsia" w:hAnsiTheme="minorEastAsia"/>
                      <w:szCs w:val="21"/>
                    </w:rPr>
                    <w:t>（一）评分内容：</w:t>
                  </w:r>
                </w:p>
                <w:p>
                  <w:pPr>
                    <w:rPr>
                      <w:rFonts w:cs="宋体" w:asciiTheme="minorEastAsia" w:hAnsiTheme="minorEastAsia"/>
                      <w:szCs w:val="21"/>
                    </w:rPr>
                  </w:pPr>
                  <w:r>
                    <w:rPr>
                      <w:rFonts w:hint="eastAsia" w:cs="宋体" w:asciiTheme="minorEastAsia" w:hAnsiTheme="minorEastAsia"/>
                      <w:szCs w:val="21"/>
                    </w:rPr>
                    <w:t>投标人承诺以下全部三项的得100%分，否则不得分。</w:t>
                  </w:r>
                </w:p>
                <w:p>
                  <w:pPr>
                    <w:rPr>
                      <w:rFonts w:cs="宋体" w:asciiTheme="minorEastAsia" w:hAnsiTheme="minorEastAsia"/>
                      <w:szCs w:val="21"/>
                    </w:rPr>
                  </w:pPr>
                  <w:r>
                    <w:rPr>
                      <w:rFonts w:hint="eastAsia" w:cs="宋体" w:asciiTheme="minorEastAsia" w:hAnsiTheme="minorEastAsia"/>
                      <w:szCs w:val="21"/>
                    </w:rPr>
                    <w:t xml:space="preserve">1.服务期满后主动离岗； </w:t>
                  </w:r>
                </w:p>
                <w:p>
                  <w:pPr>
                    <w:rPr>
                      <w:rFonts w:cs="宋体" w:asciiTheme="minorEastAsia" w:hAnsiTheme="minorEastAsia"/>
                      <w:szCs w:val="21"/>
                    </w:rPr>
                  </w:pPr>
                  <w:r>
                    <w:rPr>
                      <w:rFonts w:hint="eastAsia" w:cs="宋体" w:asciiTheme="minorEastAsia" w:hAnsiTheme="minorEastAsia"/>
                      <w:szCs w:val="21"/>
                    </w:rPr>
                    <w:t xml:space="preserve">2.与后续服务公司进行交接； </w:t>
                  </w:r>
                </w:p>
                <w:p>
                  <w:pPr>
                    <w:rPr>
                      <w:rFonts w:cs="宋体" w:asciiTheme="minorEastAsia" w:hAnsiTheme="minorEastAsia"/>
                      <w:szCs w:val="21"/>
                    </w:rPr>
                  </w:pPr>
                  <w:r>
                    <w:rPr>
                      <w:rFonts w:hint="eastAsia" w:cs="宋体" w:asciiTheme="minorEastAsia" w:hAnsiTheme="minorEastAsia"/>
                      <w:szCs w:val="21"/>
                    </w:rPr>
                    <w:t>3.服务期满，后续服务公司未到位前仍按原合同服务承诺提供服务。</w:t>
                  </w:r>
                </w:p>
                <w:p>
                  <w:pPr>
                    <w:rPr>
                      <w:rFonts w:cs="宋体" w:asciiTheme="minorEastAsia" w:hAnsiTheme="minorEastAsia"/>
                      <w:szCs w:val="21"/>
                    </w:rPr>
                  </w:pPr>
                  <w:r>
                    <w:rPr>
                      <w:rFonts w:hint="eastAsia" w:cs="宋体" w:asciiTheme="minorEastAsia" w:hAnsiTheme="minorEastAsia"/>
                      <w:szCs w:val="21"/>
                    </w:rPr>
                    <w:t>（二）评分依据：</w:t>
                  </w:r>
                </w:p>
                <w:p>
                  <w:pPr>
                    <w:rPr>
                      <w:rFonts w:cs="宋体" w:asciiTheme="minorEastAsia" w:hAnsiTheme="minorEastAsia"/>
                      <w:szCs w:val="21"/>
                    </w:rPr>
                  </w:pPr>
                  <w:r>
                    <w:rPr>
                      <w:rFonts w:hint="eastAsia" w:cs="宋体" w:asciiTheme="minorEastAsia" w:hAnsiTheme="minorEastAsia"/>
                      <w:szCs w:val="21"/>
                    </w:rPr>
                    <w:t>要求提供承诺（格式自定）作为得分依据，未提供承诺或承诺内容不满足要求不得分。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8</w:t>
                  </w:r>
                </w:p>
              </w:tc>
              <w:tc>
                <w:tcPr>
                  <w:tcW w:w="141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cs="宋体" w:asciiTheme="minorEastAsia" w:hAnsiTheme="minorEastAsia"/>
                      <w:szCs w:val="21"/>
                    </w:rPr>
                  </w:pPr>
                  <w:r>
                    <w:rPr>
                      <w:rFonts w:hint="eastAsia" w:cs="仿宋_GB2312" w:asciiTheme="minorEastAsia" w:hAnsiTheme="minorEastAsia"/>
                      <w:szCs w:val="21"/>
                    </w:rPr>
                    <w:t>违约承诺</w:t>
                  </w:r>
                </w:p>
              </w:tc>
              <w:tc>
                <w:tcPr>
                  <w:tcW w:w="103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cs="宋体" w:asciiTheme="minorEastAsia" w:hAnsiTheme="minorEastAsia"/>
                      <w:szCs w:val="21"/>
                    </w:rPr>
                  </w:pPr>
                  <w:r>
                    <w:rPr>
                      <w:rFonts w:hint="eastAsia" w:cs="宋体" w:asciiTheme="minorEastAsia" w:hAnsiTheme="minorEastAsia"/>
                      <w:szCs w:val="21"/>
                    </w:rPr>
                    <w:t>4</w:t>
                  </w:r>
                </w:p>
              </w:tc>
              <w:tc>
                <w:tcPr>
                  <w:tcW w:w="5396" w:type="dxa"/>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szCs w:val="21"/>
                    </w:rPr>
                  </w:pPr>
                  <w:r>
                    <w:rPr>
                      <w:rFonts w:hint="eastAsia" w:cs="宋体" w:asciiTheme="minorEastAsia" w:hAnsiTheme="minorEastAsia"/>
                      <w:szCs w:val="21"/>
                    </w:rPr>
                    <w:t>（一）评分内容：</w:t>
                  </w:r>
                </w:p>
                <w:p>
                  <w:pPr>
                    <w:rPr>
                      <w:rFonts w:cs="宋体" w:asciiTheme="minorEastAsia" w:hAnsiTheme="minorEastAsia"/>
                      <w:szCs w:val="21"/>
                    </w:rPr>
                  </w:pPr>
                  <w:r>
                    <w:rPr>
                      <w:rFonts w:hint="eastAsia" w:cs="宋体" w:asciiTheme="minorEastAsia" w:hAnsiTheme="minorEastAsia"/>
                      <w:szCs w:val="21"/>
                    </w:rPr>
                    <w:t>投标人承诺以下全部三项的得100%分，否则不得分。</w:t>
                  </w:r>
                </w:p>
                <w:p>
                  <w:pPr>
                    <w:shd w:val="clear" w:color="auto" w:fill="FFFFFF"/>
                    <w:spacing w:line="360" w:lineRule="auto"/>
                    <w:rPr>
                      <w:rFonts w:cs="仿宋_GB2312" w:asciiTheme="minorEastAsia" w:hAnsiTheme="minorEastAsia"/>
                      <w:szCs w:val="21"/>
                    </w:rPr>
                  </w:pPr>
                  <w:r>
                    <w:rPr>
                      <w:rFonts w:hint="eastAsia" w:cs="仿宋_GB2312" w:asciiTheme="minorEastAsia" w:hAnsiTheme="minorEastAsia"/>
                      <w:szCs w:val="21"/>
                    </w:rPr>
                    <w:t>1.发生项目管理和服务质量不合格时的违约承诺；</w:t>
                  </w:r>
                </w:p>
                <w:p>
                  <w:pPr>
                    <w:shd w:val="clear" w:color="auto" w:fill="FFFFFF"/>
                    <w:spacing w:line="360" w:lineRule="auto"/>
                    <w:rPr>
                      <w:rFonts w:cs="仿宋_GB2312" w:asciiTheme="minorEastAsia" w:hAnsiTheme="minorEastAsia"/>
                      <w:szCs w:val="21"/>
                    </w:rPr>
                  </w:pPr>
                  <w:r>
                    <w:rPr>
                      <w:rFonts w:hint="eastAsia" w:cs="仿宋_GB2312" w:asciiTheme="minorEastAsia" w:hAnsiTheme="minorEastAsia"/>
                      <w:szCs w:val="21"/>
                    </w:rPr>
                    <w:t>2.未按采购条件响应时的违约承诺；</w:t>
                  </w:r>
                </w:p>
                <w:p>
                  <w:pPr>
                    <w:shd w:val="clear" w:color="auto" w:fill="FFFFFF"/>
                    <w:spacing w:line="360" w:lineRule="auto"/>
                    <w:rPr>
                      <w:rFonts w:cs="仿宋_GB2312" w:asciiTheme="minorEastAsia" w:hAnsiTheme="minorEastAsia"/>
                      <w:szCs w:val="21"/>
                    </w:rPr>
                  </w:pPr>
                  <w:r>
                    <w:rPr>
                      <w:rFonts w:hint="eastAsia" w:cs="仿宋_GB2312" w:asciiTheme="minorEastAsia" w:hAnsiTheme="minorEastAsia"/>
                      <w:szCs w:val="21"/>
                    </w:rPr>
                    <w:t>3.人员未按照招标文件及投标承诺配置的违约承诺。</w:t>
                  </w:r>
                </w:p>
                <w:p>
                  <w:pPr>
                    <w:rPr>
                      <w:rFonts w:cs="宋体" w:asciiTheme="minorEastAsia" w:hAnsiTheme="minorEastAsia"/>
                      <w:szCs w:val="21"/>
                    </w:rPr>
                  </w:pPr>
                  <w:r>
                    <w:rPr>
                      <w:rFonts w:hint="eastAsia" w:cs="宋体" w:asciiTheme="minorEastAsia" w:hAnsiTheme="minorEastAsia"/>
                      <w:szCs w:val="21"/>
                    </w:rPr>
                    <w:t>（二）评分依据：</w:t>
                  </w:r>
                </w:p>
                <w:p>
                  <w:pPr>
                    <w:rPr>
                      <w:rFonts w:cs="宋体" w:asciiTheme="minorEastAsia" w:hAnsiTheme="minorEastAsia"/>
                      <w:szCs w:val="21"/>
                    </w:rPr>
                  </w:pPr>
                  <w:r>
                    <w:rPr>
                      <w:rFonts w:hint="eastAsia" w:cs="宋体" w:asciiTheme="minorEastAsia" w:hAnsiTheme="minorEastAsia"/>
                      <w:szCs w:val="21"/>
                    </w:rPr>
                    <w:t>要求提供承诺（格式自定）作为得分依据，未提供承诺或承诺内容不满足要求不得分。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9</w:t>
                  </w:r>
                </w:p>
              </w:tc>
              <w:tc>
                <w:tcPr>
                  <w:tcW w:w="141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cs="仿宋_GB2312" w:asciiTheme="minorEastAsia" w:hAnsiTheme="minorEastAsia"/>
                      <w:szCs w:val="21"/>
                    </w:rPr>
                  </w:pPr>
                  <w:r>
                    <w:rPr>
                      <w:rFonts w:hint="eastAsia" w:cs="仿宋_GB2312" w:asciiTheme="minorEastAsia" w:hAnsiTheme="minorEastAsia"/>
                      <w:szCs w:val="21"/>
                    </w:rPr>
                    <w:t>人员薪资待遇承诺</w:t>
                  </w:r>
                </w:p>
              </w:tc>
              <w:tc>
                <w:tcPr>
                  <w:tcW w:w="103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cs="宋体" w:asciiTheme="minorEastAsia" w:hAnsiTheme="minorEastAsia"/>
                      <w:szCs w:val="21"/>
                    </w:rPr>
                  </w:pPr>
                  <w:r>
                    <w:rPr>
                      <w:rFonts w:hint="eastAsia" w:cs="宋体" w:asciiTheme="minorEastAsia" w:hAnsiTheme="minorEastAsia"/>
                      <w:szCs w:val="21"/>
                    </w:rPr>
                    <w:t>5</w:t>
                  </w:r>
                </w:p>
              </w:tc>
              <w:tc>
                <w:tcPr>
                  <w:tcW w:w="5396" w:type="dxa"/>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szCs w:val="21"/>
                    </w:rPr>
                  </w:pPr>
                  <w:r>
                    <w:rPr>
                      <w:rFonts w:hint="eastAsia" w:cs="宋体" w:asciiTheme="minorEastAsia" w:hAnsiTheme="minorEastAsia"/>
                      <w:szCs w:val="21"/>
                    </w:rPr>
                    <w:t>（一）评分内容：</w:t>
                  </w:r>
                </w:p>
                <w:p>
                  <w:pPr>
                    <w:rPr>
                      <w:rFonts w:cs="宋体" w:asciiTheme="minorEastAsia" w:hAnsiTheme="minorEastAsia"/>
                      <w:szCs w:val="21"/>
                    </w:rPr>
                  </w:pPr>
                  <w:r>
                    <w:rPr>
                      <w:rFonts w:hint="eastAsia" w:cs="宋体" w:asciiTheme="minorEastAsia" w:hAnsiTheme="minorEastAsia"/>
                      <w:szCs w:val="21"/>
                    </w:rPr>
                    <w:t>投标人承诺本项目人均薪资待遇（指包含工资、五险一金、加班费、高温补贴等综合待遇）不低于7266元/月，得100%分，否则不得分。</w:t>
                  </w:r>
                </w:p>
                <w:p>
                  <w:pPr>
                    <w:rPr>
                      <w:rFonts w:cs="宋体" w:asciiTheme="minorEastAsia" w:hAnsiTheme="minorEastAsia"/>
                      <w:szCs w:val="21"/>
                    </w:rPr>
                  </w:pPr>
                  <w:r>
                    <w:rPr>
                      <w:rFonts w:hint="eastAsia" w:cs="宋体" w:asciiTheme="minorEastAsia" w:hAnsiTheme="minorEastAsia"/>
                      <w:szCs w:val="21"/>
                    </w:rPr>
                    <w:t>（二）评分依据：</w:t>
                  </w:r>
                </w:p>
                <w:p>
                  <w:pPr>
                    <w:rPr>
                      <w:rFonts w:cs="宋体" w:asciiTheme="minorEastAsia" w:hAnsiTheme="minorEastAsia"/>
                      <w:szCs w:val="21"/>
                    </w:rPr>
                  </w:pPr>
                  <w:r>
                    <w:rPr>
                      <w:rFonts w:hint="eastAsia" w:cs="宋体" w:asciiTheme="minorEastAsia" w:hAnsiTheme="minorEastAsia"/>
                      <w:szCs w:val="21"/>
                    </w:rPr>
                    <w:t>提供人员发放承诺函（格式自定）作为得分依据，未提供承诺或承诺内容不满足要求不得分。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10</w:t>
                  </w:r>
                </w:p>
              </w:tc>
              <w:tc>
                <w:tcPr>
                  <w:tcW w:w="1412"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项目负责人（仅限1人）</w:t>
                  </w:r>
                </w:p>
              </w:tc>
              <w:tc>
                <w:tcPr>
                  <w:tcW w:w="1030"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10</w:t>
                  </w:r>
                </w:p>
              </w:tc>
              <w:tc>
                <w:tcPr>
                  <w:tcW w:w="5396" w:type="dxa"/>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szCs w:val="21"/>
                    </w:rPr>
                  </w:pPr>
                  <w:r>
                    <w:rPr>
                      <w:rFonts w:hint="eastAsia" w:cs="宋体" w:asciiTheme="minorEastAsia" w:hAnsiTheme="minorEastAsia"/>
                      <w:szCs w:val="21"/>
                    </w:rPr>
                    <w:t>（一）评分内容：</w:t>
                  </w:r>
                </w:p>
                <w:p>
                  <w:pPr>
                    <w:rPr>
                      <w:rFonts w:cs="宋体" w:asciiTheme="minorEastAsia" w:hAnsiTheme="minorEastAsia"/>
                      <w:szCs w:val="21"/>
                    </w:rPr>
                  </w:pPr>
                  <w:r>
                    <w:rPr>
                      <w:rFonts w:hint="eastAsia" w:cs="宋体" w:asciiTheme="minorEastAsia" w:hAnsiTheme="minorEastAsia"/>
                      <w:szCs w:val="21"/>
                    </w:rPr>
                    <w:t>拟安排项目负责人为投标单位员工（以社保为准）否则本项不得分。</w:t>
                  </w:r>
                </w:p>
                <w:p>
                  <w:pPr>
                    <w:rPr>
                      <w:rFonts w:cs="宋体" w:asciiTheme="minorEastAsia" w:hAnsiTheme="minorEastAsia"/>
                      <w:szCs w:val="21"/>
                    </w:rPr>
                  </w:pPr>
                  <w:r>
                    <w:rPr>
                      <w:rFonts w:hint="eastAsia" w:cs="宋体" w:asciiTheme="minorEastAsia" w:hAnsiTheme="minorEastAsia"/>
                      <w:szCs w:val="21"/>
                    </w:rPr>
                    <w:t>1.具有本科或以上学历得10%分；</w:t>
                  </w:r>
                </w:p>
                <w:p>
                  <w:pPr>
                    <w:widowControl/>
                    <w:jc w:val="left"/>
                    <w:rPr>
                      <w:rFonts w:ascii="宋体" w:hAnsi="宋体" w:cs="宋体"/>
                      <w:kern w:val="0"/>
                      <w:sz w:val="24"/>
                    </w:rPr>
                  </w:pPr>
                  <w:r>
                    <w:rPr>
                      <w:rFonts w:hint="eastAsia" w:ascii="宋体" w:hAnsi="宋体" w:cs="宋体"/>
                      <w:color w:val="000000"/>
                      <w:kern w:val="0"/>
                      <w:sz w:val="24"/>
                    </w:rPr>
                    <w:t xml:space="preserve">2.项目负责人具备市场监督管理部门或者食品药品监督管理部门颁发的食品安全管理员，得30分； </w:t>
                  </w:r>
                </w:p>
                <w:p>
                  <w:pPr>
                    <w:widowControl/>
                    <w:jc w:val="left"/>
                    <w:rPr>
                      <w:rFonts w:ascii="宋体" w:hAnsi="宋体" w:cs="宋体"/>
                      <w:kern w:val="0"/>
                      <w:sz w:val="24"/>
                    </w:rPr>
                  </w:pPr>
                  <w:r>
                    <w:rPr>
                      <w:rFonts w:hint="eastAsia" w:ascii="宋体" w:hAnsi="宋体" w:cs="宋体"/>
                      <w:color w:val="000000"/>
                      <w:kern w:val="0"/>
                      <w:sz w:val="24"/>
                    </w:rPr>
                    <w:t xml:space="preserve">3.项目负责人具备人力资源和社会保障部（或在人社部备案的第三方机构）颁发的中级或以上中式烹调师技能证书，得 30 分； </w:t>
                  </w:r>
                </w:p>
                <w:p>
                  <w:pPr>
                    <w:widowControl/>
                    <w:jc w:val="left"/>
                    <w:rPr>
                      <w:rFonts w:ascii="宋体" w:hAnsi="宋体" w:cs="宋体"/>
                      <w:kern w:val="0"/>
                      <w:sz w:val="24"/>
                    </w:rPr>
                  </w:pPr>
                  <w:r>
                    <w:rPr>
                      <w:rFonts w:hint="eastAsia" w:ascii="宋体" w:hAnsi="宋体" w:cs="宋体"/>
                      <w:color w:val="000000"/>
                      <w:kern w:val="0"/>
                      <w:sz w:val="24"/>
                    </w:rPr>
                    <w:t xml:space="preserve">4.项目负责人具备高级餐饮经营管理师证书，得 30分； </w:t>
                  </w:r>
                </w:p>
                <w:p>
                  <w:pPr>
                    <w:rPr>
                      <w:rFonts w:cs="宋体" w:asciiTheme="minorEastAsia" w:hAnsiTheme="minorEastAsia"/>
                      <w:szCs w:val="21"/>
                    </w:rPr>
                  </w:pPr>
                  <w:r>
                    <w:rPr>
                      <w:rFonts w:hint="eastAsia" w:cs="宋体" w:asciiTheme="minorEastAsia" w:hAnsiTheme="minorEastAsia"/>
                      <w:szCs w:val="21"/>
                    </w:rPr>
                    <w:t>（二）评分依据：</w:t>
                  </w:r>
                </w:p>
                <w:p>
                  <w:pPr>
                    <w:widowControl/>
                    <w:jc w:val="left"/>
                    <w:rPr>
                      <w:rFonts w:ascii="宋体" w:hAnsi="宋体" w:cs="宋体"/>
                      <w:color w:val="000000"/>
                      <w:kern w:val="0"/>
                      <w:sz w:val="24"/>
                    </w:rPr>
                  </w:pPr>
                  <w:r>
                    <w:rPr>
                      <w:rFonts w:hint="eastAsia" w:ascii="宋体" w:hAnsi="宋体" w:cs="宋体"/>
                      <w:color w:val="000000"/>
                      <w:kern w:val="0"/>
                      <w:sz w:val="24"/>
                    </w:rPr>
                    <w:t>1.要求投标人提供相关证明资料作为得分依据。评分中出现无证明资料或专家无法凭所提供资料判断是否得分的情况，一律作不得分处理。</w:t>
                  </w:r>
                </w:p>
                <w:p>
                  <w:pPr>
                    <w:rPr>
                      <w:rFonts w:cs="宋体" w:asciiTheme="minorEastAsia" w:hAnsiTheme="minorEastAsia"/>
                      <w:szCs w:val="21"/>
                    </w:rPr>
                  </w:pPr>
                  <w:r>
                    <w:rPr>
                      <w:rFonts w:hint="eastAsia" w:cs="宋体" w:asciiTheme="minorEastAsia" w:hAnsiTheme="minorEastAsia"/>
                      <w:szCs w:val="21"/>
                    </w:rPr>
                    <w:t>2.要求提供通过投标人缴纳的近6个月的社保证明作为本单位员工的证明依据。</w:t>
                  </w:r>
                </w:p>
                <w:p>
                  <w:pPr>
                    <w:rPr>
                      <w:rFonts w:cs="宋体" w:asciiTheme="minorEastAsia" w:hAnsiTheme="minorEastAsia"/>
                      <w:szCs w:val="21"/>
                    </w:rPr>
                  </w:pPr>
                  <w:r>
                    <w:rPr>
                      <w:rFonts w:hint="eastAsia" w:cs="宋体" w:asciiTheme="minorEastAsia" w:hAnsiTheme="minorEastAsia"/>
                      <w:szCs w:val="21"/>
                    </w:rPr>
                    <w:t>3.如涉及学历、学位证书，要求提供证书扫描件以及学信网查询记录。对于较早颁发的学历学位证书，学信网无法查询的，要求提供证书扫描件和其他佐证材料（如毕业院校、人社部门等颁发机构或监管机构等单位出具的证明）作为得分的依据。</w:t>
                  </w:r>
                </w:p>
                <w:p>
                  <w:pPr>
                    <w:rPr>
                      <w:rFonts w:cs="宋体" w:asciiTheme="minorEastAsia" w:hAnsiTheme="minorEastAsia"/>
                      <w:szCs w:val="21"/>
                    </w:rPr>
                  </w:pPr>
                  <w:r>
                    <w:rPr>
                      <w:rFonts w:hint="eastAsia" w:cs="宋体" w:asciiTheme="minorEastAsia" w:hAnsiTheme="minorEastAsia"/>
                      <w:szCs w:val="21"/>
                    </w:rPr>
                    <w:t>4.由社会组织颁发的证书，还需提供该组织在“中国社会组织政务服务平台”的已合法登记且状态正常截图。</w:t>
                  </w:r>
                </w:p>
                <w:p>
                  <w:pPr>
                    <w:rPr>
                      <w:rFonts w:cs="宋体" w:asciiTheme="minorEastAsia" w:hAnsiTheme="minorEastAsia"/>
                      <w:szCs w:val="21"/>
                    </w:rPr>
                  </w:pPr>
                  <w:r>
                    <w:rPr>
                      <w:rFonts w:hint="eastAsia" w:cs="宋体" w:asciiTheme="minorEastAsia" w:hAnsiTheme="minorEastAsia"/>
                      <w:szCs w:val="21"/>
                    </w:rPr>
                    <w:t>5.以上资料均要求提供扫描件，原件备查。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11</w:t>
                  </w:r>
                </w:p>
              </w:tc>
              <w:tc>
                <w:tcPr>
                  <w:tcW w:w="1412"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团队人员（负责人除外）</w:t>
                  </w:r>
                </w:p>
              </w:tc>
              <w:tc>
                <w:tcPr>
                  <w:tcW w:w="1030"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10</w:t>
                  </w:r>
                </w:p>
              </w:tc>
              <w:tc>
                <w:tcPr>
                  <w:tcW w:w="5396" w:type="dxa"/>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szCs w:val="21"/>
                    </w:rPr>
                  </w:pPr>
                  <w:r>
                    <w:rPr>
                      <w:rFonts w:hint="eastAsia" w:cs="宋体" w:asciiTheme="minorEastAsia" w:hAnsiTheme="minorEastAsia"/>
                      <w:szCs w:val="21"/>
                    </w:rPr>
                    <w:t>（一）评分内容：</w:t>
                  </w:r>
                </w:p>
                <w:p>
                  <w:pPr>
                    <w:widowControl/>
                    <w:jc w:val="left"/>
                    <w:rPr>
                      <w:rFonts w:ascii="宋体" w:hAnsi="宋体" w:cs="宋体"/>
                      <w:kern w:val="0"/>
                      <w:sz w:val="24"/>
                    </w:rPr>
                  </w:pPr>
                  <w:r>
                    <w:rPr>
                      <w:rFonts w:hint="eastAsia" w:ascii="宋体" w:hAnsi="宋体" w:cs="宋体"/>
                      <w:color w:val="000000"/>
                      <w:kern w:val="0"/>
                      <w:sz w:val="24"/>
                    </w:rPr>
                    <w:t>1.具有人力资源和社会保障部（或在人社部备案的第三方机构）颁发的中级或以上中式烹调师证的，每提供一个得10分，最高得30分。</w:t>
                  </w:r>
                </w:p>
                <w:p>
                  <w:pPr>
                    <w:widowControl/>
                    <w:jc w:val="left"/>
                    <w:rPr>
                      <w:rFonts w:ascii="宋体" w:hAnsi="宋体" w:cs="宋体"/>
                      <w:kern w:val="0"/>
                      <w:sz w:val="24"/>
                    </w:rPr>
                  </w:pPr>
                  <w:r>
                    <w:rPr>
                      <w:rFonts w:hint="eastAsia" w:ascii="宋体" w:hAnsi="宋体" w:cs="宋体"/>
                      <w:color w:val="000000"/>
                      <w:kern w:val="0"/>
                      <w:sz w:val="24"/>
                    </w:rPr>
                    <w:t xml:space="preserve">2.具有人力资源和社会保障部（或在人社部备案的第三方机构）颁发的中级或以上农产品食品检验员证书的，每提供一个得10分，最高得30分。 </w:t>
                  </w:r>
                </w:p>
                <w:p>
                  <w:pPr>
                    <w:widowControl/>
                    <w:jc w:val="left"/>
                    <w:rPr>
                      <w:rFonts w:ascii="宋体" w:hAnsi="宋体" w:cs="宋体"/>
                      <w:kern w:val="0"/>
                      <w:sz w:val="24"/>
                    </w:rPr>
                  </w:pPr>
                  <w:r>
                    <w:rPr>
                      <w:rFonts w:hint="eastAsia"/>
                      <w:sz w:val="24"/>
                    </w:rPr>
                    <w:t>3.</w:t>
                  </w:r>
                  <w:r>
                    <w:rPr>
                      <w:rFonts w:hint="eastAsia" w:ascii="宋体" w:hAnsi="宋体" w:cs="宋体"/>
                      <w:color w:val="000000"/>
                      <w:kern w:val="0"/>
                      <w:sz w:val="24"/>
                    </w:rPr>
                    <w:t xml:space="preserve"> 具有人力资源和社会保障部（或在人社部备案的第三方机构）颁发的中级或以上公共营养师证书的，每提供一个得20分，最高得20分。 </w:t>
                  </w:r>
                </w:p>
                <w:p>
                  <w:pPr>
                    <w:widowControl/>
                    <w:jc w:val="left"/>
                    <w:rPr>
                      <w:rFonts w:ascii="宋体" w:hAnsi="宋体" w:cs="宋体"/>
                      <w:kern w:val="0"/>
                      <w:sz w:val="24"/>
                    </w:rPr>
                  </w:pPr>
                  <w:r>
                    <w:rPr>
                      <w:rFonts w:hint="eastAsia" w:ascii="宋体" w:hAnsi="宋体" w:cs="宋体"/>
                      <w:color w:val="000000"/>
                      <w:kern w:val="0"/>
                      <w:sz w:val="24"/>
                    </w:rPr>
                    <w:t xml:space="preserve">4.具有市场监督管理部门或者食品药品监督管理部门颁发的高级食品安全管理员，每提供一个得10分，最高得20分。 </w:t>
                  </w:r>
                </w:p>
                <w:p>
                  <w:pPr>
                    <w:rPr>
                      <w:rFonts w:cs="宋体" w:asciiTheme="minorEastAsia" w:hAnsiTheme="minorEastAsia"/>
                      <w:szCs w:val="21"/>
                    </w:rPr>
                  </w:pPr>
                  <w:r>
                    <w:rPr>
                      <w:rFonts w:hint="eastAsia" w:cs="宋体" w:asciiTheme="minorEastAsia" w:hAnsiTheme="minorEastAsia"/>
                      <w:szCs w:val="21"/>
                    </w:rPr>
                    <w:t>（二）评分依据：</w:t>
                  </w:r>
                </w:p>
                <w:p>
                  <w:pPr>
                    <w:rPr>
                      <w:rFonts w:cs="宋体" w:asciiTheme="minorEastAsia" w:hAnsiTheme="minorEastAsia"/>
                      <w:szCs w:val="21"/>
                    </w:rPr>
                  </w:pPr>
                  <w:r>
                    <w:rPr>
                      <w:rFonts w:hint="eastAsia" w:ascii="宋体" w:hAnsi="宋体" w:cs="宋体"/>
                      <w:color w:val="000000"/>
                      <w:kern w:val="0"/>
                      <w:sz w:val="24"/>
                    </w:rPr>
                    <w:t>要求投标人须提供以上员工证书扫描件，提供投标人为该员工缴纳招标公告发布之日前连续6个月的社保证明文件复印件或扫描件，未按要求提供相关材料不得分，原件备查。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restart"/>
                  <w:tcBorders>
                    <w:top w:val="single" w:color="000000" w:sz="8" w:space="0"/>
                    <w:left w:val="single" w:color="000000" w:sz="8" w:space="0"/>
                    <w:bottom w:val="single" w:color="000000" w:sz="8" w:space="0"/>
                    <w:right w:val="single" w:color="000000" w:sz="8" w:space="0"/>
                  </w:tcBorders>
                </w:tcPr>
                <w:p>
                  <w:pPr>
                    <w:jc w:val="center"/>
                    <w:rPr>
                      <w:rFonts w:cs="宋体" w:asciiTheme="minorEastAsia" w:hAnsiTheme="minorEastAsia"/>
                      <w:bCs/>
                      <w:szCs w:val="21"/>
                    </w:rPr>
                  </w:pPr>
                  <w:r>
                    <w:rPr>
                      <w:rFonts w:hint="eastAsia" w:cs="宋体" w:asciiTheme="minorEastAsia" w:hAnsiTheme="minorEastAsia"/>
                      <w:bCs/>
                      <w:szCs w:val="21"/>
                    </w:rPr>
                    <w:t>3</w:t>
                  </w:r>
                </w:p>
              </w:tc>
              <w:tc>
                <w:tcPr>
                  <w:tcW w:w="3000" w:type="dxa"/>
                  <w:gridSpan w:val="3"/>
                  <w:tcBorders>
                    <w:top w:val="single" w:color="000000" w:sz="8" w:space="0"/>
                    <w:left w:val="single" w:color="000000" w:sz="8" w:space="0"/>
                    <w:bottom w:val="single" w:color="000000" w:sz="8" w:space="0"/>
                    <w:right w:val="single" w:color="000000" w:sz="8" w:space="0"/>
                  </w:tcBorders>
                </w:tcPr>
                <w:p>
                  <w:pPr>
                    <w:jc w:val="center"/>
                    <w:rPr>
                      <w:rFonts w:cs="宋体" w:asciiTheme="minorEastAsia" w:hAnsiTheme="minorEastAsia"/>
                      <w:bCs/>
                      <w:szCs w:val="21"/>
                    </w:rPr>
                  </w:pPr>
                  <w:r>
                    <w:rPr>
                      <w:rFonts w:hint="eastAsia" w:cs="宋体" w:asciiTheme="minorEastAsia" w:hAnsiTheme="minorEastAsia"/>
                      <w:bCs/>
                      <w:szCs w:val="21"/>
                    </w:rPr>
                    <w:t>综合实力</w:t>
                  </w:r>
                </w:p>
              </w:tc>
              <w:tc>
                <w:tcPr>
                  <w:tcW w:w="5396" w:type="dxa"/>
                  <w:tcBorders>
                    <w:top w:val="single" w:color="000000" w:sz="8" w:space="0"/>
                    <w:left w:val="single" w:color="000000" w:sz="8" w:space="0"/>
                    <w:bottom w:val="single" w:color="000000" w:sz="8" w:space="0"/>
                    <w:right w:val="single" w:color="000000" w:sz="8" w:space="0"/>
                  </w:tcBorders>
                </w:tcPr>
                <w:p>
                  <w:pPr>
                    <w:jc w:val="center"/>
                    <w:rPr>
                      <w:rFonts w:cs="宋体" w:asciiTheme="minorEastAsia" w:hAnsiTheme="minorEastAsia"/>
                      <w:bCs/>
                      <w:szCs w:val="21"/>
                    </w:rPr>
                  </w:pPr>
                  <w:r>
                    <w:rPr>
                      <w:rFonts w:hint="eastAsia" w:cs="宋体" w:asciiTheme="minorEastAsia" w:hAnsiTheme="minorEastAsia"/>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Cs/>
                      <w:szCs w:val="21"/>
                    </w:rPr>
                  </w:pPr>
                </w:p>
              </w:tc>
              <w:tc>
                <w:tcPr>
                  <w:tcW w:w="8396" w:type="dxa"/>
                  <w:gridSpan w:val="4"/>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rPr>
                      <w:rFonts w:cs="宋体" w:asciiTheme="minorEastAsia" w:hAnsiTheme="minorEastAsia"/>
                      <w:bCs/>
                      <w:szCs w:val="21"/>
                    </w:rPr>
                  </w:pPr>
                </w:p>
              </w:tc>
              <w:tc>
                <w:tcPr>
                  <w:tcW w:w="558"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序号</w:t>
                  </w:r>
                </w:p>
              </w:tc>
              <w:tc>
                <w:tcPr>
                  <w:tcW w:w="1412"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评分因素</w:t>
                  </w:r>
                </w:p>
              </w:tc>
              <w:tc>
                <w:tcPr>
                  <w:tcW w:w="1030"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权重(%)</w:t>
                  </w:r>
                </w:p>
              </w:tc>
              <w:tc>
                <w:tcPr>
                  <w:tcW w:w="5396"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1412"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管理体系认证情况</w:t>
                  </w:r>
                </w:p>
              </w:tc>
              <w:tc>
                <w:tcPr>
                  <w:tcW w:w="1030"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10</w:t>
                  </w:r>
                </w:p>
              </w:tc>
              <w:tc>
                <w:tcPr>
                  <w:tcW w:w="5396" w:type="dxa"/>
                  <w:tcBorders>
                    <w:top w:val="single" w:color="000000" w:sz="8" w:space="0"/>
                    <w:left w:val="single" w:color="000000" w:sz="8" w:space="0"/>
                    <w:bottom w:val="single" w:color="000000" w:sz="8" w:space="0"/>
                    <w:right w:val="single" w:color="000000" w:sz="8" w:space="0"/>
                  </w:tcBorders>
                  <w:vAlign w:val="center"/>
                </w:tcPr>
                <w:p>
                  <w:pPr>
                    <w:widowControl/>
                    <w:spacing w:line="4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评审内容：</w:t>
                  </w:r>
                  <w:r>
                    <w:rPr>
                      <w:rFonts w:hint="eastAsia" w:ascii="宋体" w:hAnsi="宋体" w:cs="宋体"/>
                      <w:color w:val="000000" w:themeColor="text1"/>
                      <w:kern w:val="0"/>
                      <w:sz w:val="24"/>
                      <w14:textFill>
                        <w14:solidFill>
                          <w14:schemeClr w14:val="tx1"/>
                        </w14:solidFill>
                      </w14:textFill>
                    </w:rPr>
                    <w:t xml:space="preserve">  </w:t>
                  </w:r>
                </w:p>
                <w:p>
                  <w:pPr>
                    <w:widowControl/>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1、具有质量管理体系认证证书的得10分；</w:t>
                  </w:r>
                </w:p>
                <w:p>
                  <w:pPr>
                    <w:widowControl/>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2、具有食品安全管理体系认证证书的得10分；</w:t>
                  </w:r>
                </w:p>
                <w:p>
                  <w:pPr>
                    <w:widowControl/>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3、具有HACCP认证证书的得10分；</w:t>
                  </w:r>
                </w:p>
                <w:p>
                  <w:pPr>
                    <w:widowControl/>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4、具有标准化等级认证证书的得10分；</w:t>
                  </w:r>
                </w:p>
                <w:p>
                  <w:pPr>
                    <w:widowControl/>
                    <w:spacing w:line="400" w:lineRule="exact"/>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5、具有售后服务成熟度认证证书的得10分；</w:t>
                  </w:r>
                </w:p>
                <w:p>
                  <w:pPr>
                    <w:widowControl/>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6、具有实验室操作规范认证证书的得10分。</w:t>
                  </w:r>
                </w:p>
                <w:p>
                  <w:pPr>
                    <w:widowControl/>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7、具有餐饮服务认证证书的得20分；</w:t>
                  </w:r>
                </w:p>
                <w:p>
                  <w:pPr>
                    <w:widowControl/>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8、具有信息安全管理体系认证证书的得20分；</w:t>
                  </w:r>
                </w:p>
                <w:p>
                  <w:pPr>
                    <w:widowControl/>
                    <w:spacing w:line="4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评分依据：</w:t>
                  </w:r>
                </w:p>
                <w:p>
                  <w:pPr>
                    <w:rPr>
                      <w:rFonts w:cs="宋体" w:asciiTheme="minorEastAsia" w:hAnsiTheme="minorEastAsia"/>
                      <w:szCs w:val="21"/>
                    </w:rPr>
                  </w:pPr>
                  <w:r>
                    <w:rPr>
                      <w:rFonts w:hint="eastAsia" w:ascii="宋体" w:hAnsi="宋体" w:cs="宋体"/>
                      <w:color w:val="000000" w:themeColor="text1"/>
                      <w:kern w:val="0"/>
                      <w:sz w:val="24"/>
                      <w14:textFill>
                        <w14:solidFill>
                          <w14:schemeClr w14:val="tx1"/>
                        </w14:solidFill>
                      </w14:textFill>
                    </w:rPr>
                    <w:t>投标人提供上述有效期内的认证证书扫描件以及全国认证认可信息公共服务平台（认e云）（http://cx.cnca.cn/）的认证信息截图（须体现网站信息），</w:t>
                  </w:r>
                  <w:r>
                    <w:rPr>
                      <w:rFonts w:hint="eastAsia" w:ascii="宋体" w:hAnsi="宋体" w:cs="宋体"/>
                      <w:bCs/>
                      <w:color w:val="000000" w:themeColor="text1"/>
                      <w:kern w:val="0"/>
                      <w:sz w:val="24"/>
                      <w14:textFill>
                        <w14:solidFill>
                          <w14:schemeClr w14:val="tx1"/>
                        </w14:solidFill>
                      </w14:textFill>
                    </w:rPr>
                    <w:t>未按要求提供相关材料不得分，原件备查。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2</w:t>
                  </w:r>
                </w:p>
              </w:tc>
              <w:tc>
                <w:tcPr>
                  <w:tcW w:w="1412"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经营业绩</w:t>
                  </w:r>
                </w:p>
              </w:tc>
              <w:tc>
                <w:tcPr>
                  <w:tcW w:w="1030"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5</w:t>
                  </w:r>
                </w:p>
              </w:tc>
              <w:tc>
                <w:tcPr>
                  <w:tcW w:w="5396" w:type="dxa"/>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szCs w:val="21"/>
                    </w:rPr>
                  </w:pPr>
                  <w:r>
                    <w:rPr>
                      <w:rFonts w:hint="eastAsia" w:cs="宋体" w:asciiTheme="minorEastAsia" w:hAnsiTheme="minorEastAsia"/>
                      <w:szCs w:val="21"/>
                    </w:rPr>
                    <w:t>（一）评分内容：</w:t>
                  </w:r>
                </w:p>
                <w:p>
                  <w:pPr>
                    <w:rPr>
                      <w:rFonts w:asciiTheme="minorEastAsia" w:hAnsiTheme="minorEastAsia"/>
                      <w:szCs w:val="21"/>
                    </w:rPr>
                  </w:pPr>
                  <w:r>
                    <w:rPr>
                      <w:rFonts w:asciiTheme="minorEastAsia" w:hAnsiTheme="minorEastAsia"/>
                      <w:szCs w:val="21"/>
                    </w:rPr>
                    <w:t>投标人2019年1月1日起至</w:t>
                  </w:r>
                  <w:r>
                    <w:rPr>
                      <w:rFonts w:hint="eastAsia" w:asciiTheme="minorEastAsia" w:hAnsiTheme="minorEastAsia"/>
                      <w:szCs w:val="21"/>
                    </w:rPr>
                    <w:t>本项目截标之日</w:t>
                  </w:r>
                  <w:r>
                    <w:rPr>
                      <w:rFonts w:asciiTheme="minorEastAsia" w:hAnsiTheme="minorEastAsia"/>
                      <w:szCs w:val="21"/>
                    </w:rPr>
                    <w:t>（以合同签订时间为准）：</w:t>
                  </w:r>
                </w:p>
                <w:p>
                  <w:pPr>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投标人具有供餐类业绩，</w:t>
                  </w:r>
                  <w:r>
                    <w:rPr>
                      <w:rFonts w:asciiTheme="minorEastAsia" w:hAnsiTheme="minorEastAsia"/>
                      <w:szCs w:val="21"/>
                    </w:rPr>
                    <w:t>每提供一个</w:t>
                  </w:r>
                  <w:r>
                    <w:rPr>
                      <w:rFonts w:hint="eastAsia" w:asciiTheme="minorEastAsia" w:hAnsiTheme="minorEastAsia"/>
                      <w:szCs w:val="21"/>
                    </w:rPr>
                    <w:t>业绩</w:t>
                  </w:r>
                  <w:r>
                    <w:rPr>
                      <w:rFonts w:asciiTheme="minorEastAsia" w:hAnsiTheme="minorEastAsia"/>
                      <w:szCs w:val="21"/>
                    </w:rPr>
                    <w:t>得</w:t>
                  </w:r>
                  <w:r>
                    <w:rPr>
                      <w:rFonts w:hint="eastAsia" w:asciiTheme="minorEastAsia" w:hAnsiTheme="minorEastAsia"/>
                      <w:szCs w:val="21"/>
                    </w:rPr>
                    <w:t>20%</w:t>
                  </w:r>
                  <w:r>
                    <w:rPr>
                      <w:rFonts w:asciiTheme="minorEastAsia" w:hAnsiTheme="minorEastAsia"/>
                      <w:szCs w:val="21"/>
                    </w:rPr>
                    <w:t>分，最多得</w:t>
                  </w:r>
                  <w:r>
                    <w:rPr>
                      <w:rFonts w:hint="eastAsia" w:asciiTheme="minorEastAsia" w:hAnsiTheme="minorEastAsia"/>
                      <w:szCs w:val="21"/>
                    </w:rPr>
                    <w:t>10</w:t>
                  </w:r>
                  <w:r>
                    <w:rPr>
                      <w:rFonts w:asciiTheme="minorEastAsia" w:hAnsiTheme="minorEastAsia"/>
                      <w:szCs w:val="21"/>
                    </w:rPr>
                    <w:t>0</w:t>
                  </w:r>
                  <w:r>
                    <w:rPr>
                      <w:rFonts w:hint="eastAsia" w:asciiTheme="minorEastAsia" w:hAnsiTheme="minorEastAsia"/>
                      <w:szCs w:val="21"/>
                    </w:rPr>
                    <w:t>%</w:t>
                  </w:r>
                  <w:r>
                    <w:rPr>
                      <w:rFonts w:asciiTheme="minorEastAsia" w:hAnsiTheme="minorEastAsia"/>
                      <w:szCs w:val="21"/>
                    </w:rPr>
                    <w:t>分。</w:t>
                  </w:r>
                </w:p>
                <w:p>
                  <w:pPr>
                    <w:rPr>
                      <w:rFonts w:cs="宋体" w:asciiTheme="minorEastAsia" w:hAnsiTheme="minorEastAsia"/>
                      <w:szCs w:val="21"/>
                    </w:rPr>
                  </w:pPr>
                  <w:r>
                    <w:rPr>
                      <w:rFonts w:hint="eastAsia" w:cs="宋体" w:asciiTheme="minorEastAsia" w:hAnsiTheme="minorEastAsia"/>
                      <w:szCs w:val="21"/>
                    </w:rPr>
                    <w:t>（二）评分依据：</w:t>
                  </w:r>
                </w:p>
                <w:p>
                  <w:pPr>
                    <w:rPr>
                      <w:rFonts w:asciiTheme="minorEastAsia" w:hAnsiTheme="minorEastAsia"/>
                      <w:szCs w:val="21"/>
                    </w:rPr>
                  </w:pPr>
                  <w:r>
                    <w:rPr>
                      <w:rFonts w:hint="eastAsia" w:asciiTheme="minorEastAsia" w:hAnsiTheme="minorEastAsia"/>
                      <w:szCs w:val="21"/>
                    </w:rPr>
                    <w:t>要求提供合同关键信息作为得分依据，通过合同关键信息无法判断是否得分的，还须同时提供能证明得分的其它证明资料，如合同甲方出具的加盖合同甲方公章（或业务章）的证明文件等。</w:t>
                  </w:r>
                </w:p>
                <w:p>
                  <w:pPr>
                    <w:rPr>
                      <w:rFonts w:cs="宋体" w:asciiTheme="minorEastAsia" w:hAnsiTheme="minorEastAsia"/>
                      <w:szCs w:val="21"/>
                    </w:rPr>
                  </w:pPr>
                  <w:r>
                    <w:rPr>
                      <w:rFonts w:cs="宋体" w:asciiTheme="minorEastAsia" w:hAnsiTheme="minorEastAsia"/>
                      <w:szCs w:val="21"/>
                    </w:rPr>
                    <w:t>备注：</w:t>
                  </w:r>
                  <w:r>
                    <w:rPr>
                      <w:rFonts w:hint="eastAsia" w:cs="宋体" w:asciiTheme="minorEastAsia" w:hAnsiTheme="minorEastAsia"/>
                      <w:szCs w:val="21"/>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3</w:t>
                  </w:r>
                </w:p>
              </w:tc>
              <w:tc>
                <w:tcPr>
                  <w:tcW w:w="1412"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cs="仿宋_GB2312" w:asciiTheme="minorEastAsia" w:hAnsiTheme="minorEastAsia"/>
                      <w:szCs w:val="21"/>
                      <w:lang w:val="zh-CN"/>
                    </w:rPr>
                  </w:pPr>
                  <w:r>
                    <w:rPr>
                      <w:rFonts w:hint="eastAsia" w:cs="宋体" w:asciiTheme="minorEastAsia" w:hAnsiTheme="minorEastAsia"/>
                      <w:szCs w:val="21"/>
                    </w:rPr>
                    <w:t>投标人获奖情况</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360" w:lineRule="auto"/>
                    <w:jc w:val="center"/>
                    <w:rPr>
                      <w:rFonts w:cs="仿宋_GB2312" w:asciiTheme="minorEastAsia" w:hAnsiTheme="minorEastAsia"/>
                      <w:szCs w:val="21"/>
                    </w:rPr>
                  </w:pPr>
                  <w:r>
                    <w:rPr>
                      <w:rFonts w:hint="eastAsia" w:cs="仿宋_GB2312" w:asciiTheme="minorEastAsia" w:hAnsiTheme="minorEastAsia"/>
                      <w:szCs w:val="21"/>
                    </w:rPr>
                    <w:t>5</w:t>
                  </w:r>
                </w:p>
              </w:tc>
              <w:tc>
                <w:tcPr>
                  <w:tcW w:w="5396" w:type="dxa"/>
                  <w:tcBorders>
                    <w:top w:val="single" w:color="000000" w:sz="8" w:space="0"/>
                    <w:left w:val="single" w:color="000000" w:sz="8" w:space="0"/>
                    <w:bottom w:val="single" w:color="000000" w:sz="8" w:space="0"/>
                    <w:right w:val="single" w:color="000000" w:sz="8" w:space="0"/>
                  </w:tcBorders>
                </w:tcPr>
                <w:p>
                  <w:pPr>
                    <w:wordWrap w:val="0"/>
                    <w:rPr>
                      <w:rFonts w:asciiTheme="minorEastAsia" w:hAnsiTheme="minorEastAsia"/>
                      <w:szCs w:val="21"/>
                    </w:rPr>
                  </w:pPr>
                  <w:r>
                    <w:rPr>
                      <w:rFonts w:hint="eastAsia" w:asciiTheme="minorEastAsia" w:hAnsiTheme="minorEastAsia"/>
                      <w:szCs w:val="21"/>
                    </w:rPr>
                    <w:t>（一）评分内容：</w:t>
                  </w:r>
                </w:p>
                <w:p>
                  <w:pPr>
                    <w:wordWrap w:val="0"/>
                    <w:rPr>
                      <w:rFonts w:asciiTheme="minorEastAsia" w:hAnsiTheme="minorEastAsia"/>
                      <w:szCs w:val="21"/>
                    </w:rPr>
                  </w:pPr>
                  <w:r>
                    <w:rPr>
                      <w:rFonts w:hint="eastAsia" w:asciiTheme="minorEastAsia" w:hAnsiTheme="minorEastAsia"/>
                      <w:szCs w:val="21"/>
                    </w:rPr>
                    <w:t>1、投标人获得地级市或以上行政机关颁发的龙头企业得50%分；</w:t>
                  </w:r>
                </w:p>
                <w:p>
                  <w:pPr>
                    <w:wordWrap w:val="0"/>
                    <w:rPr>
                      <w:rFonts w:asciiTheme="minorEastAsia" w:hAnsiTheme="minorEastAsia"/>
                      <w:szCs w:val="21"/>
                    </w:rPr>
                  </w:pPr>
                  <w:r>
                    <w:rPr>
                      <w:rFonts w:hint="eastAsia" w:asciiTheme="minorEastAsia" w:hAnsiTheme="minorEastAsia"/>
                      <w:szCs w:val="21"/>
                    </w:rPr>
                    <w:t>2、投标人获得地级市或以上行政机关颁发的广东省守合同重信用企业得50%分。</w:t>
                  </w:r>
                </w:p>
                <w:p>
                  <w:pPr>
                    <w:wordWrap w:val="0"/>
                    <w:rPr>
                      <w:rFonts w:asciiTheme="minorEastAsia" w:hAnsiTheme="minorEastAsia"/>
                      <w:szCs w:val="21"/>
                    </w:rPr>
                  </w:pPr>
                  <w:r>
                    <w:rPr>
                      <w:rFonts w:hint="eastAsia" w:asciiTheme="minorEastAsia" w:hAnsiTheme="minorEastAsia"/>
                      <w:szCs w:val="21"/>
                    </w:rPr>
                    <w:t>（二）评分依据：</w:t>
                  </w:r>
                </w:p>
                <w:p>
                  <w:pPr>
                    <w:wordWrap w:val="0"/>
                    <w:rPr>
                      <w:rFonts w:asciiTheme="minorEastAsia" w:hAnsiTheme="minorEastAsia"/>
                      <w:szCs w:val="21"/>
                    </w:rPr>
                  </w:pPr>
                  <w:r>
                    <w:rPr>
                      <w:rFonts w:hint="eastAsia" w:asciiTheme="minorEastAsia" w:hAnsiTheme="minorEastAsia"/>
                      <w:szCs w:val="21"/>
                    </w:rPr>
                    <w:t>1.投标人提供获奖证书作为得分依据。评分中出现无证明资料或专家无法凭所提供资料判断是否得分的情况，一律作不得分处理。</w:t>
                  </w:r>
                </w:p>
                <w:p>
                  <w:pPr>
                    <w:wordWrap w:val="0"/>
                    <w:rPr>
                      <w:rFonts w:asciiTheme="minorEastAsia" w:hAnsiTheme="minorEastAsia"/>
                      <w:szCs w:val="21"/>
                    </w:rPr>
                  </w:pPr>
                  <w:r>
                    <w:rPr>
                      <w:rFonts w:hint="eastAsia" w:asciiTheme="minorEastAsia" w:hAnsiTheme="minorEastAsia"/>
                      <w:szCs w:val="21"/>
                    </w:rPr>
                    <w:t>2.由社会组织颁发的证书，还需提供该组织在“中国社会组织政务服务平台”的已合法登记且状态正常截图；</w:t>
                  </w:r>
                </w:p>
                <w:p>
                  <w:pPr>
                    <w:wordWrap w:val="0"/>
                    <w:rPr>
                      <w:rFonts w:cs="仿宋_GB2312" w:asciiTheme="minorEastAsia" w:hAnsiTheme="minorEastAsia"/>
                      <w:szCs w:val="21"/>
                    </w:rPr>
                  </w:pPr>
                  <w:r>
                    <w:rPr>
                      <w:rFonts w:hint="eastAsia" w:asciiTheme="minorEastAsia" w:hAnsiTheme="minorEastAsia"/>
                      <w:szCs w:val="21"/>
                    </w:rPr>
                    <w:t>3.以上资料均要求提供扫描件，原件备查。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1412"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0"/>
                      <w:sz w:val="24"/>
                    </w:rPr>
                  </w:pPr>
                  <w:r>
                    <w:rPr>
                      <w:rFonts w:ascii="宋体" w:hAnsi="宋体" w:cs="宋体"/>
                      <w:color w:val="000000"/>
                      <w:kern w:val="0"/>
                      <w:sz w:val="24"/>
                    </w:rPr>
                    <w:t>供餐智能化管理系统</w:t>
                  </w:r>
                </w:p>
              </w:tc>
              <w:tc>
                <w:tcPr>
                  <w:tcW w:w="1030"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p>
              </w:tc>
              <w:tc>
                <w:tcPr>
                  <w:tcW w:w="5396" w:type="dxa"/>
                  <w:tcBorders>
                    <w:top w:val="single" w:color="000000" w:sz="8" w:space="0"/>
                    <w:left w:val="single" w:color="000000" w:sz="8" w:space="0"/>
                    <w:bottom w:val="single" w:color="000000" w:sz="8" w:space="0"/>
                    <w:right w:val="single" w:color="000000" w:sz="8" w:space="0"/>
                  </w:tcBorders>
                </w:tcPr>
                <w:p>
                  <w:pPr>
                    <w:pStyle w:val="15"/>
                    <w:spacing w:line="360" w:lineRule="exact"/>
                    <w:ind w:firstLine="0" w:firstLineChars="0"/>
                    <w:rPr>
                      <w:rFonts w:asciiTheme="minorEastAsia" w:hAnsiTheme="minorEastAsia"/>
                      <w:sz w:val="21"/>
                      <w:szCs w:val="21"/>
                    </w:rPr>
                  </w:pPr>
                  <w:r>
                    <w:rPr>
                      <w:rFonts w:hint="eastAsia" w:asciiTheme="minorEastAsia" w:hAnsiTheme="minorEastAsia"/>
                      <w:sz w:val="21"/>
                      <w:szCs w:val="21"/>
                    </w:rPr>
                    <w:t>（一）评分内容：</w:t>
                  </w:r>
                </w:p>
                <w:p>
                  <w:pPr>
                    <w:widowControl/>
                    <w:jc w:val="left"/>
                    <w:rPr>
                      <w:rFonts w:ascii="宋体" w:hAnsi="宋体" w:cs="宋体"/>
                      <w:color w:val="000000"/>
                      <w:kern w:val="0"/>
                      <w:sz w:val="24"/>
                    </w:rPr>
                  </w:pPr>
                  <w:r>
                    <w:rPr>
                      <w:rFonts w:ascii="宋体" w:hAnsi="宋体" w:cs="宋体"/>
                      <w:color w:val="000000"/>
                      <w:kern w:val="0"/>
                      <w:sz w:val="24"/>
                    </w:rPr>
                    <w:t>投标人自行开发供餐智能化管理系统并获得软件著作权</w:t>
                  </w:r>
                  <w:r>
                    <w:rPr>
                      <w:rFonts w:hint="eastAsia" w:ascii="宋体" w:hAnsi="宋体" w:cs="宋体"/>
                      <w:color w:val="000000"/>
                      <w:kern w:val="0"/>
                      <w:sz w:val="24"/>
                    </w:rPr>
                    <w:t>：</w:t>
                  </w:r>
                </w:p>
                <w:p>
                  <w:pPr>
                    <w:widowControl/>
                    <w:jc w:val="left"/>
                    <w:rPr>
                      <w:rFonts w:ascii="宋体" w:hAnsi="宋体" w:cs="宋体"/>
                      <w:color w:val="000000"/>
                      <w:kern w:val="0"/>
                      <w:sz w:val="24"/>
                    </w:rPr>
                  </w:pPr>
                  <w:r>
                    <w:rPr>
                      <w:rFonts w:hint="eastAsia" w:ascii="宋体" w:hAnsi="宋体" w:cs="宋体"/>
                      <w:color w:val="000000"/>
                      <w:kern w:val="0"/>
                      <w:sz w:val="24"/>
                    </w:rPr>
                    <w:t>（1）具备</w:t>
                  </w:r>
                  <w:r>
                    <w:rPr>
                      <w:rFonts w:hint="eastAsia" w:ascii="宋体" w:hAnsi="宋体" w:cs="宋体"/>
                      <w:sz w:val="24"/>
                    </w:rPr>
                    <w:t>人员管理智能化系统</w:t>
                  </w:r>
                  <w:r>
                    <w:rPr>
                      <w:rFonts w:hint="eastAsia" w:ascii="宋体" w:hAnsi="宋体" w:cs="宋体"/>
                      <w:color w:val="000000"/>
                      <w:kern w:val="0"/>
                      <w:sz w:val="24"/>
                    </w:rPr>
                    <w:t>得30分；</w:t>
                  </w:r>
                </w:p>
                <w:p>
                  <w:pPr>
                    <w:widowControl/>
                    <w:jc w:val="left"/>
                    <w:rPr>
                      <w:rFonts w:ascii="宋体" w:hAnsi="宋体" w:cs="宋体"/>
                      <w:color w:val="000000"/>
                      <w:kern w:val="0"/>
                      <w:sz w:val="24"/>
                    </w:rPr>
                  </w:pPr>
                  <w:r>
                    <w:rPr>
                      <w:rFonts w:hint="eastAsia" w:ascii="宋体" w:hAnsi="宋体" w:cs="宋体"/>
                      <w:color w:val="000000"/>
                      <w:kern w:val="0"/>
                      <w:sz w:val="24"/>
                    </w:rPr>
                    <w:t>（2）具备中央大厨房智能化控制系统得30分；</w:t>
                  </w:r>
                </w:p>
                <w:p>
                  <w:pPr>
                    <w:widowControl/>
                    <w:jc w:val="left"/>
                    <w:rPr>
                      <w:rFonts w:ascii="宋体" w:hAnsi="宋体" w:cs="宋体"/>
                      <w:color w:val="000000"/>
                      <w:kern w:val="0"/>
                      <w:sz w:val="24"/>
                    </w:rPr>
                  </w:pPr>
                  <w:r>
                    <w:rPr>
                      <w:rFonts w:hint="eastAsia" w:ascii="宋体" w:hAnsi="宋体" w:cs="宋体"/>
                      <w:color w:val="000000"/>
                      <w:kern w:val="0"/>
                      <w:sz w:val="24"/>
                    </w:rPr>
                    <w:t>（3）具备智能化餐饮管理系统得40分；</w:t>
                  </w:r>
                </w:p>
                <w:p>
                  <w:pPr>
                    <w:wordWrap w:val="0"/>
                    <w:rPr>
                      <w:rFonts w:asciiTheme="minorEastAsia" w:hAnsiTheme="minorEastAsia"/>
                      <w:szCs w:val="21"/>
                    </w:rPr>
                  </w:pPr>
                  <w:r>
                    <w:rPr>
                      <w:rFonts w:hint="eastAsia" w:asciiTheme="minorEastAsia" w:hAnsiTheme="minorEastAsia"/>
                      <w:szCs w:val="21"/>
                    </w:rPr>
                    <w:t>（二）评分依据：</w:t>
                  </w:r>
                </w:p>
                <w:p>
                  <w:pPr>
                    <w:widowControl/>
                    <w:spacing w:line="4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提供国家版权局颁发的计算机软件著作权登记证书扫描件，须能体现投标人为著作权人，未按要求提供相关材料不得分，原件备查。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2097" w:hRule="atLeast"/>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5</w:t>
                  </w:r>
                </w:p>
              </w:tc>
              <w:tc>
                <w:tcPr>
                  <w:tcW w:w="141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cs="仿宋" w:asciiTheme="minorEastAsia" w:hAnsiTheme="minorEastAsia"/>
                      <w:szCs w:val="21"/>
                    </w:rPr>
                  </w:pPr>
                  <w:r>
                    <w:rPr>
                      <w:rFonts w:asciiTheme="minorEastAsia" w:hAnsiTheme="minorEastAsia"/>
                      <w:szCs w:val="21"/>
                    </w:rPr>
                    <w:t>环保执行情况</w:t>
                  </w:r>
                </w:p>
              </w:tc>
              <w:tc>
                <w:tcPr>
                  <w:tcW w:w="103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cs="仿宋" w:asciiTheme="minorEastAsia" w:hAnsiTheme="minorEastAsia"/>
                      <w:szCs w:val="21"/>
                    </w:rPr>
                  </w:pPr>
                  <w:r>
                    <w:rPr>
                      <w:rFonts w:hint="eastAsia" w:asciiTheme="minorEastAsia" w:hAnsiTheme="minorEastAsia"/>
                      <w:szCs w:val="21"/>
                    </w:rPr>
                    <w:t>5</w:t>
                  </w:r>
                </w:p>
              </w:tc>
              <w:tc>
                <w:tcPr>
                  <w:tcW w:w="5396" w:type="dxa"/>
                  <w:tcBorders>
                    <w:top w:val="single" w:color="000000" w:sz="8" w:space="0"/>
                    <w:left w:val="single" w:color="000000" w:sz="8" w:space="0"/>
                    <w:bottom w:val="single" w:color="000000" w:sz="8" w:space="0"/>
                    <w:right w:val="single" w:color="000000" w:sz="8" w:space="0"/>
                  </w:tcBorders>
                </w:tcPr>
                <w:p>
                  <w:pPr>
                    <w:pStyle w:val="15"/>
                    <w:spacing w:line="360" w:lineRule="exact"/>
                    <w:ind w:firstLine="0" w:firstLineChars="0"/>
                    <w:rPr>
                      <w:rFonts w:asciiTheme="minorEastAsia" w:hAnsiTheme="minorEastAsia"/>
                      <w:sz w:val="21"/>
                      <w:szCs w:val="21"/>
                    </w:rPr>
                  </w:pPr>
                  <w:r>
                    <w:rPr>
                      <w:rFonts w:hint="eastAsia" w:asciiTheme="minorEastAsia" w:hAnsiTheme="minorEastAsia"/>
                      <w:sz w:val="21"/>
                      <w:szCs w:val="21"/>
                    </w:rPr>
                    <w:t>（一）评分内容：</w:t>
                  </w:r>
                </w:p>
                <w:p>
                  <w:pPr>
                    <w:wordWrap w:val="0"/>
                    <w:rPr>
                      <w:rFonts w:asciiTheme="minorEastAsia" w:hAnsiTheme="minorEastAsia"/>
                      <w:szCs w:val="21"/>
                    </w:rPr>
                  </w:pPr>
                  <w:r>
                    <w:rPr>
                      <w:rFonts w:asciiTheme="minorEastAsia" w:hAnsiTheme="minorEastAsia"/>
                      <w:szCs w:val="21"/>
                    </w:rPr>
                    <w:t>投标人</w:t>
                  </w:r>
                  <w:r>
                    <w:rPr>
                      <w:rFonts w:hint="eastAsia" w:asciiTheme="minorEastAsia" w:hAnsiTheme="minorEastAsia"/>
                      <w:szCs w:val="21"/>
                    </w:rPr>
                    <w:t>近三年未曾</w:t>
                  </w:r>
                  <w:r>
                    <w:rPr>
                      <w:rFonts w:asciiTheme="minorEastAsia" w:hAnsiTheme="minorEastAsia"/>
                      <w:szCs w:val="21"/>
                    </w:rPr>
                    <w:t>受过环保主管部门行政处罚</w:t>
                  </w:r>
                  <w:r>
                    <w:rPr>
                      <w:rFonts w:hint="eastAsia" w:asciiTheme="minorEastAsia" w:hAnsiTheme="minorEastAsia"/>
                      <w:szCs w:val="21"/>
                    </w:rPr>
                    <w:t>得100%分，提供承诺函（格式自拟）。</w:t>
                  </w:r>
                </w:p>
                <w:p>
                  <w:pPr>
                    <w:wordWrap w:val="0"/>
                    <w:rPr>
                      <w:rFonts w:asciiTheme="minorEastAsia" w:hAnsiTheme="minorEastAsia"/>
                      <w:szCs w:val="21"/>
                    </w:rPr>
                  </w:pPr>
                  <w:r>
                    <w:rPr>
                      <w:rFonts w:hint="eastAsia" w:asciiTheme="minorEastAsia" w:hAnsiTheme="minorEastAsia"/>
                      <w:szCs w:val="21"/>
                    </w:rPr>
                    <w:t>（二）评分依据：</w:t>
                  </w:r>
                </w:p>
                <w:p>
                  <w:pPr>
                    <w:wordWrap w:val="0"/>
                    <w:rPr>
                      <w:rFonts w:asciiTheme="minorEastAsia" w:hAnsiTheme="minorEastAsia"/>
                      <w:szCs w:val="21"/>
                    </w:rPr>
                  </w:pPr>
                  <w:r>
                    <w:rPr>
                      <w:rFonts w:asciiTheme="minorEastAsia" w:hAnsiTheme="minorEastAsia"/>
                      <w:szCs w:val="21"/>
                    </w:rPr>
                    <w:t>以投标人在投标文件中提供的承诺作为依据；若隐瞒情况虚假应标将导致投标无效并报主管部门处理。采取客观化评分；受过行政处罚不得分。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676" w:type="dxa"/>
                  <w:tcBorders>
                    <w:top w:val="single" w:color="000000" w:sz="8" w:space="0"/>
                    <w:left w:val="single" w:color="000000" w:sz="8" w:space="0"/>
                    <w:bottom w:val="single" w:color="auto" w:sz="4" w:space="0"/>
                    <w:right w:val="single" w:color="000000" w:sz="8" w:space="0"/>
                  </w:tcBorders>
                </w:tcPr>
                <w:p>
                  <w:pPr>
                    <w:jc w:val="center"/>
                    <w:rPr>
                      <w:rFonts w:cs="宋体" w:asciiTheme="minorEastAsia" w:hAnsiTheme="minorEastAsia"/>
                      <w:b/>
                      <w:bCs/>
                      <w:szCs w:val="21"/>
                    </w:rPr>
                  </w:pPr>
                  <w:r>
                    <w:rPr>
                      <w:rFonts w:hint="eastAsia" w:cs="宋体" w:asciiTheme="minorEastAsia" w:hAnsiTheme="minorEastAsia"/>
                      <w:b/>
                      <w:bCs/>
                      <w:szCs w:val="21"/>
                    </w:rPr>
                    <w:t>4</w:t>
                  </w:r>
                </w:p>
              </w:tc>
              <w:tc>
                <w:tcPr>
                  <w:tcW w:w="3000" w:type="dxa"/>
                  <w:gridSpan w:val="3"/>
                  <w:tcBorders>
                    <w:top w:val="single" w:color="000000" w:sz="8" w:space="0"/>
                    <w:left w:val="single" w:color="000000" w:sz="8" w:space="0"/>
                    <w:bottom w:val="single" w:color="auto" w:sz="4" w:space="0"/>
                    <w:right w:val="single" w:color="000000" w:sz="8" w:space="0"/>
                  </w:tcBorders>
                </w:tcPr>
                <w:p>
                  <w:pPr>
                    <w:jc w:val="center"/>
                    <w:rPr>
                      <w:rFonts w:cs="宋体" w:asciiTheme="minorEastAsia" w:hAnsiTheme="minorEastAsia"/>
                      <w:b/>
                      <w:bCs/>
                      <w:szCs w:val="21"/>
                    </w:rPr>
                  </w:pPr>
                  <w:r>
                    <w:rPr>
                      <w:rFonts w:hint="eastAsia" w:cs="宋体" w:asciiTheme="minorEastAsia" w:hAnsiTheme="minorEastAsia"/>
                      <w:b/>
                      <w:bCs/>
                      <w:szCs w:val="21"/>
                    </w:rPr>
                    <w:t>诚信情况</w:t>
                  </w:r>
                </w:p>
              </w:tc>
              <w:tc>
                <w:tcPr>
                  <w:tcW w:w="5396" w:type="dxa"/>
                  <w:tcBorders>
                    <w:top w:val="single" w:color="000000" w:sz="8" w:space="0"/>
                    <w:left w:val="single" w:color="000000" w:sz="8" w:space="0"/>
                    <w:bottom w:val="single" w:color="auto" w:sz="4" w:space="0"/>
                    <w:right w:val="single" w:color="000000" w:sz="8" w:space="0"/>
                  </w:tcBorders>
                </w:tcPr>
                <w:p>
                  <w:pPr>
                    <w:jc w:val="center"/>
                    <w:rPr>
                      <w:rFonts w:cs="宋体" w:asciiTheme="minorEastAsia" w:hAnsiTheme="minorEastAsia"/>
                      <w:b/>
                      <w:bCs/>
                      <w:szCs w:val="21"/>
                    </w:rPr>
                  </w:pPr>
                  <w:r>
                    <w:rPr>
                      <w:rFonts w:hint="eastAsia" w:cs="宋体" w:asciiTheme="minorEastAsia" w:hAnsiTheme="minorEastAsia"/>
                      <w:b/>
                      <w:bCs/>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restart"/>
                  <w:tcBorders>
                    <w:top w:val="single" w:color="000000" w:sz="8" w:space="0"/>
                    <w:left w:val="single" w:color="000000" w:sz="8" w:space="0"/>
                    <w:bottom w:val="single" w:color="000000" w:sz="8" w:space="0"/>
                    <w:right w:val="single" w:color="000000" w:sz="8" w:space="0"/>
                  </w:tcBorders>
                  <w:shd w:val="clear" w:color="auto" w:fill="E6EFFA"/>
                  <w:vAlign w:val="center"/>
                </w:tcPr>
                <w:p>
                  <w:pPr>
                    <w:rPr>
                      <w:rFonts w:cs="宋体" w:asciiTheme="minorEastAsia" w:hAnsiTheme="minorEastAsia"/>
                      <w:b/>
                      <w:bCs/>
                      <w:szCs w:val="21"/>
                    </w:rPr>
                  </w:pPr>
                </w:p>
              </w:tc>
              <w:tc>
                <w:tcPr>
                  <w:tcW w:w="558"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序号</w:t>
                  </w:r>
                </w:p>
              </w:tc>
              <w:tc>
                <w:tcPr>
                  <w:tcW w:w="1412"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评分因素</w:t>
                  </w:r>
                </w:p>
              </w:tc>
              <w:tc>
                <w:tcPr>
                  <w:tcW w:w="1030"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权重(%)</w:t>
                  </w:r>
                </w:p>
              </w:tc>
              <w:tc>
                <w:tcPr>
                  <w:tcW w:w="5396" w:type="dxa"/>
                  <w:tcBorders>
                    <w:top w:val="outset" w:color="000000" w:sz="6" w:space="0"/>
                    <w:left w:val="outset" w:color="000000" w:sz="6" w:space="0"/>
                    <w:bottom w:val="outset" w:color="000000" w:sz="6" w:space="0"/>
                    <w:right w:val="outset" w:color="000000" w:sz="6" w:space="0"/>
                  </w:tcBorders>
                  <w:shd w:val="clear" w:color="auto" w:fill="E6EFFA"/>
                  <w:vAlign w:val="center"/>
                </w:tcPr>
                <w:p>
                  <w:pPr>
                    <w:jc w:val="center"/>
                    <w:rPr>
                      <w:rFonts w:cs="宋体" w:asciiTheme="minorEastAsia" w:hAnsiTheme="minorEastAsia"/>
                      <w:szCs w:val="21"/>
                    </w:rPr>
                  </w:pPr>
                  <w:r>
                    <w:rPr>
                      <w:rFonts w:hint="eastAsia" w:cs="宋体" w:asciiTheme="minorEastAsia" w:hAnsi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76" w:type="dxa"/>
                  <w:vMerge w:val="continue"/>
                  <w:tcBorders>
                    <w:top w:val="single" w:color="000000" w:sz="8" w:space="0"/>
                    <w:left w:val="single" w:color="000000" w:sz="8" w:space="0"/>
                    <w:bottom w:val="single" w:color="000000" w:sz="8" w:space="0"/>
                    <w:right w:val="single" w:color="000000" w:sz="8" w:space="0"/>
                  </w:tcBorders>
                  <w:vAlign w:val="center"/>
                </w:tcPr>
                <w:p>
                  <w:pPr>
                    <w:rPr>
                      <w:rFonts w:cs="宋体" w:asciiTheme="minorEastAsia" w:hAnsiTheme="minorEastAsia"/>
                      <w:b/>
                      <w:bCs/>
                      <w:szCs w:val="21"/>
                    </w:rPr>
                  </w:pPr>
                </w:p>
              </w:tc>
              <w:tc>
                <w:tcPr>
                  <w:tcW w:w="558"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1</w:t>
                  </w:r>
                </w:p>
              </w:tc>
              <w:tc>
                <w:tcPr>
                  <w:tcW w:w="1412"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诚信情况</w:t>
                  </w:r>
                </w:p>
              </w:tc>
              <w:tc>
                <w:tcPr>
                  <w:tcW w:w="1030" w:type="dxa"/>
                  <w:tcBorders>
                    <w:top w:val="single" w:color="000000" w:sz="8" w:space="0"/>
                    <w:left w:val="single" w:color="000000" w:sz="8" w:space="0"/>
                    <w:bottom w:val="single" w:color="000000" w:sz="8" w:space="0"/>
                    <w:right w:val="single" w:color="000000" w:sz="8" w:space="0"/>
                  </w:tcBorders>
                  <w:vAlign w:val="center"/>
                </w:tcPr>
                <w:p>
                  <w:pPr>
                    <w:jc w:val="center"/>
                    <w:rPr>
                      <w:rFonts w:cs="宋体" w:asciiTheme="minorEastAsia" w:hAnsiTheme="minorEastAsia"/>
                      <w:szCs w:val="21"/>
                    </w:rPr>
                  </w:pPr>
                  <w:r>
                    <w:rPr>
                      <w:rFonts w:hint="eastAsia" w:cs="宋体" w:asciiTheme="minorEastAsia" w:hAnsiTheme="minorEastAsia"/>
                      <w:szCs w:val="21"/>
                    </w:rPr>
                    <w:t>5</w:t>
                  </w:r>
                </w:p>
              </w:tc>
              <w:tc>
                <w:tcPr>
                  <w:tcW w:w="5396" w:type="dxa"/>
                  <w:tcBorders>
                    <w:top w:val="single" w:color="000000" w:sz="8" w:space="0"/>
                    <w:left w:val="single" w:color="000000" w:sz="8" w:space="0"/>
                    <w:bottom w:val="single" w:color="000000" w:sz="8" w:space="0"/>
                    <w:right w:val="single" w:color="000000" w:sz="8" w:space="0"/>
                  </w:tcBorders>
                </w:tcPr>
                <w:p>
                  <w:pPr>
                    <w:rPr>
                      <w:rFonts w:cs="宋体" w:asciiTheme="minorEastAsia" w:hAnsiTheme="minorEastAsia"/>
                      <w:szCs w:val="21"/>
                    </w:rPr>
                  </w:pPr>
                  <w:r>
                    <w:rPr>
                      <w:rFonts w:hint="eastAsia" w:cs="宋体" w:asciiTheme="minorEastAsia" w:hAnsiTheme="minor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pPr>
              <w:pStyle w:val="8"/>
              <w:ind w:left="420"/>
              <w:rPr>
                <w:rFonts w:cs="宋体" w:asciiTheme="minorEastAsia" w:hAnsiTheme="minorEastAsia"/>
                <w:color w:val="000000" w:themeColor="text1"/>
                <w:sz w:val="21"/>
                <w:szCs w:val="21"/>
                <w14:textFill>
                  <w14:solidFill>
                    <w14:schemeClr w14:val="tx1"/>
                  </w14:solidFill>
                </w14:textFill>
              </w:rPr>
            </w:pPr>
          </w:p>
        </w:tc>
      </w:tr>
      <w:tr>
        <w:tblPrEx>
          <w:tblCellMar>
            <w:top w:w="45" w:type="dxa"/>
            <w:left w:w="45" w:type="dxa"/>
            <w:bottom w:w="45" w:type="dxa"/>
            <w:right w:w="45" w:type="dxa"/>
          </w:tblCellMar>
        </w:tblPrEx>
        <w:trPr>
          <w:tblCellSpacing w:w="0" w:type="dxa"/>
          <w:jc w:val="center"/>
        </w:trPr>
        <w:tc>
          <w:tcPr>
            <w:tcW w:w="9072" w:type="dxa"/>
            <w:gridSpan w:val="2"/>
            <w:tcBorders>
              <w:top w:val="nil"/>
              <w:left w:val="nil"/>
              <w:bottom w:val="nil"/>
              <w:right w:val="nil"/>
            </w:tcBorders>
            <w:vAlign w:val="center"/>
          </w:tcPr>
          <w:p>
            <w:pPr>
              <w:jc w:val="center"/>
              <w:rPr>
                <w:rFonts w:cs="宋体" w:asciiTheme="minorEastAsia" w:hAnsiTheme="minorEastAsia"/>
                <w:b/>
                <w:bCs/>
                <w:szCs w:val="21"/>
              </w:rPr>
            </w:pPr>
          </w:p>
          <w:p>
            <w:pPr>
              <w:pStyle w:val="2"/>
            </w:pPr>
          </w:p>
        </w:tc>
      </w:tr>
      <w:tr>
        <w:tblPrEx>
          <w:tblCellMar>
            <w:top w:w="45" w:type="dxa"/>
            <w:left w:w="45" w:type="dxa"/>
            <w:bottom w:w="45" w:type="dxa"/>
            <w:right w:w="45" w:type="dxa"/>
          </w:tblCellMar>
        </w:tblPrEx>
        <w:trPr>
          <w:tblCellSpacing w:w="0" w:type="dxa"/>
          <w:jc w:val="center"/>
        </w:trPr>
        <w:tc>
          <w:tcPr>
            <w:tcW w:w="9072" w:type="dxa"/>
            <w:gridSpan w:val="2"/>
            <w:tcBorders>
              <w:top w:val="nil"/>
              <w:left w:val="nil"/>
              <w:bottom w:val="nil"/>
              <w:right w:val="nil"/>
            </w:tcBorders>
            <w:vAlign w:val="center"/>
          </w:tcPr>
          <w:p>
            <w:pPr>
              <w:jc w:val="center"/>
              <w:rPr>
                <w:rFonts w:cs="宋体" w:asciiTheme="minorEastAsia" w:hAnsiTheme="minorEastAsia"/>
                <w:b/>
                <w:bCs/>
                <w:szCs w:val="21"/>
              </w:rPr>
            </w:pPr>
          </w:p>
        </w:tc>
      </w:tr>
    </w:tbl>
    <w:p>
      <w:pPr>
        <w:pStyle w:val="15"/>
        <w:numPr>
          <w:ilvl w:val="0"/>
          <w:numId w:val="6"/>
        </w:numPr>
        <w:ind w:firstLineChars="0"/>
        <w:rPr>
          <w:rFonts w:asciiTheme="minorEastAsia" w:hAnsiTheme="minorEastAsia"/>
          <w:vanish/>
          <w:color w:val="000000" w:themeColor="text1"/>
          <w14:textFill>
            <w14:solidFill>
              <w14:schemeClr w14:val="tx1"/>
            </w14:solidFill>
          </w14:textFill>
        </w:rPr>
      </w:pPr>
    </w:p>
    <w:p>
      <w:pPr>
        <w:rPr>
          <w:rFonts w:asciiTheme="minorEastAsia" w:hAnsiTheme="minorEastAsia"/>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altName w:val="MathJax_Vector"/>
    <w:panose1 w:val="05020102010507070707"/>
    <w:charset w:val="02"/>
    <w:family w:val="roman"/>
    <w:pitch w:val="default"/>
    <w:sig w:usb0="00000000" w:usb1="00000000" w:usb2="00000000" w:usb3="00000000" w:csb0="80000000" w:csb1="00000000"/>
  </w:font>
  <w:font w:name="MathJax_Vector">
    <w:panose1 w:val="02000603000000000000"/>
    <w:charset w:val="00"/>
    <w:family w:val="auto"/>
    <w:pitch w:val="default"/>
    <w:sig w:usb0="00000001" w:usb1="00000020" w:usb2="00000000" w:usb3="00000000" w:csb0="0000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136" type="#_x0000_t136" style="position:absolute;left:0pt;margin-left:57.75pt;margin-top:245.25pt;height:24.4pt;width:56.7pt;mso-position-vertical-relative:margin;rotation:-2949120f;z-index:-251650048;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text-align:center;"/>
        </v:shape>
      </w:pict>
    </w:r>
    <w:r>
      <w:pict>
        <v:shape id="_x0000_s4098" o:spid="_x0000_s4098" o:spt="136" type="#_x0000_t136" style="position:absolute;left:0pt;margin-left:397.5pt;margin-top:486pt;height:24.4pt;width:56.7pt;mso-position-vertical-relative:margin;rotation:-2949120f;z-index:-251651072;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text-align:center;"/>
        </v:shape>
      </w:pict>
    </w:r>
    <w:r>
      <w:pict>
        <v:shape id="_x0000_s4099" o:spid="_x0000_s4099" o:spt="136" type="#_x0000_t136" style="position:absolute;left:0pt;margin-left:184.5pt;margin-top:392.25pt;height:24.4pt;width:56.7pt;mso-position-vertical-relative:margin;rotation:-2949120f;z-index:-251652096;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text-align:center;"/>
        </v:shape>
      </w:pict>
    </w:r>
    <w:r>
      <w:pict>
        <v:shape id="_x0000_s4100" o:spid="_x0000_s4100" o:spt="136" type="#_x0000_t136" style="position:absolute;left:0pt;margin-left:372pt;margin-top:227.25pt;height:24.4pt;width:56.7pt;mso-position-vertical-relative:margin;rotation:-2949120f;z-index:-251653120;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text-align:center;"/>
        </v:shape>
      </w:pict>
    </w:r>
    <w:r>
      <w:pict>
        <v:shape id="_x0000_s4101" o:spid="_x0000_s4101" o:spt="136" type="#_x0000_t136" style="position:absolute;left:0pt;margin-left:253.5pt;margin-top:66pt;height:24.4pt;width:56.7pt;mso-position-vertical-relative:margin;rotation:-2949120f;z-index:-251654144;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text-align:center;"/>
        </v:shape>
      </w:pict>
    </w:r>
    <w:r>
      <w:pict>
        <v:shape id="_x0000_s4102" o:spid="_x0000_s4102" o:spt="136" type="#_x0000_t136" style="position:absolute;left:0pt;margin-left:-3pt;margin-top:60.75pt;height:24.4pt;width:56.7pt;mso-position-vertical-relative:margin;rotation:-2949120f;z-index:-251655168;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text-align:center;"/>
        </v:shape>
      </w:pict>
    </w:r>
    <w:r>
      <w:pict>
        <v:shape id="_x0000_s4103" o:spid="_x0000_s4103" o:spt="136" type="#_x0000_t136" style="position:absolute;left:0pt;margin-left:248.25pt;margin-top:605.25pt;height:24.4pt;width:56.7pt;mso-position-vertical-relative:margin;rotation:-2949120f;z-index:-251656192;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text-align:center;"/>
        </v:shape>
      </w:pict>
    </w:r>
    <w:r>
      <w:pict>
        <v:shape id="PowerPlusWaterMarkObject40091" o:spid="_x0000_s4104" o:spt="136" type="#_x0000_t136" style="position:absolute;left:0pt;margin-left:8.75pt;margin-top:544.5pt;height:24.4pt;width:56.7pt;mso-position-vertical-relative:margin;rotation:-2949120f;z-index:-251657216;mso-width-relative:page;mso-height-relative:page;" fillcolor="#DFDFDF" filled="t" stroked="f" coordsize="21600,21600">
          <v:path/>
          <v:fill on="t" focussize="0,0"/>
          <v:stroke on="f"/>
          <v:imagedata o:title=""/>
          <o:lock v:ext="edit" aspectratio="t"/>
          <v:textpath on="t" fitshape="t" fitpath="t" trim="t" xscale="f" string="待审核" style="font-family:华文楷体;font-size:2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114B1"/>
    <w:multiLevelType w:val="singleLevel"/>
    <w:tmpl w:val="9EA114B1"/>
    <w:lvl w:ilvl="0" w:tentative="0">
      <w:start w:val="1"/>
      <w:numFmt w:val="chineseCounting"/>
      <w:suff w:val="nothing"/>
      <w:lvlText w:val="（%1）"/>
      <w:lvlJc w:val="left"/>
      <w:pPr>
        <w:ind w:left="0" w:firstLine="420"/>
      </w:pPr>
      <w:rPr>
        <w:rFonts w:hint="eastAsia"/>
      </w:rPr>
    </w:lvl>
  </w:abstractNum>
  <w:abstractNum w:abstractNumId="1">
    <w:nsid w:val="AEE5F4C2"/>
    <w:multiLevelType w:val="singleLevel"/>
    <w:tmpl w:val="AEE5F4C2"/>
    <w:lvl w:ilvl="0" w:tentative="0">
      <w:start w:val="5"/>
      <w:numFmt w:val="chineseCounting"/>
      <w:suff w:val="nothing"/>
      <w:lvlText w:val="%1、"/>
      <w:lvlJc w:val="left"/>
      <w:rPr>
        <w:rFonts w:hint="eastAsia"/>
      </w:rPr>
    </w:lvl>
  </w:abstractNum>
  <w:abstractNum w:abstractNumId="2">
    <w:nsid w:val="C4FC4F3C"/>
    <w:multiLevelType w:val="singleLevel"/>
    <w:tmpl w:val="C4FC4F3C"/>
    <w:lvl w:ilvl="0" w:tentative="0">
      <w:start w:val="2"/>
      <w:numFmt w:val="chineseCounting"/>
      <w:suff w:val="nothing"/>
      <w:lvlText w:val="（%1）"/>
      <w:lvlJc w:val="left"/>
      <w:rPr>
        <w:rFonts w:hint="eastAsia"/>
      </w:rPr>
    </w:lvl>
  </w:abstractNum>
  <w:abstractNum w:abstractNumId="3">
    <w:nsid w:val="FBBCAE2E"/>
    <w:multiLevelType w:val="singleLevel"/>
    <w:tmpl w:val="FBBCAE2E"/>
    <w:lvl w:ilvl="0" w:tentative="0">
      <w:start w:val="1"/>
      <w:numFmt w:val="chineseCounting"/>
      <w:suff w:val="nothing"/>
      <w:lvlText w:val="（%1）"/>
      <w:lvlJc w:val="left"/>
      <w:pPr>
        <w:ind w:left="1470"/>
      </w:pPr>
      <w:rPr>
        <w:rFonts w:hint="eastAsia"/>
        <w:color w:val="auto"/>
      </w:rPr>
    </w:lvl>
  </w:abstractNum>
  <w:abstractNum w:abstractNumId="4">
    <w:nsid w:val="76EAF6B5"/>
    <w:multiLevelType w:val="singleLevel"/>
    <w:tmpl w:val="76EAF6B5"/>
    <w:lvl w:ilvl="0" w:tentative="0">
      <w:start w:val="1"/>
      <w:numFmt w:val="chineseCounting"/>
      <w:suff w:val="nothing"/>
      <w:lvlText w:val="%1、"/>
      <w:lvlJc w:val="left"/>
      <w:rPr>
        <w:rFonts w:hint="eastAsia"/>
      </w:rPr>
    </w:lvl>
  </w:abstractNum>
  <w:abstractNum w:abstractNumId="5">
    <w:nsid w:val="7C7F6ADD"/>
    <w:multiLevelType w:val="singleLevel"/>
    <w:tmpl w:val="7C7F6ADD"/>
    <w:lvl w:ilvl="0" w:tentative="0">
      <w:start w:val="1"/>
      <w:numFmt w:val="chineseCounting"/>
      <w:suff w:val="nothing"/>
      <w:lvlText w:val="（%1）"/>
      <w:lvlJc w:val="left"/>
      <w:pPr>
        <w:ind w:left="0" w:firstLine="420"/>
      </w:pPr>
      <w:rPr>
        <w:rFonts w:hint="eastAsia"/>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NDQ4NDU3ZmE5YTZmZjE4ZmU1YjA3MmQ1MjJjNzYifQ=="/>
  </w:docVars>
  <w:rsids>
    <w:rsidRoot w:val="F79FBF13"/>
    <w:rsid w:val="0000116A"/>
    <w:rsid w:val="0000652B"/>
    <w:rsid w:val="00041E4A"/>
    <w:rsid w:val="000836D7"/>
    <w:rsid w:val="00130E7F"/>
    <w:rsid w:val="001577FB"/>
    <w:rsid w:val="001B2C45"/>
    <w:rsid w:val="001B3CF7"/>
    <w:rsid w:val="001C7CAF"/>
    <w:rsid w:val="001D212F"/>
    <w:rsid w:val="002858E4"/>
    <w:rsid w:val="002B4973"/>
    <w:rsid w:val="002F6996"/>
    <w:rsid w:val="00313464"/>
    <w:rsid w:val="00335D4E"/>
    <w:rsid w:val="003F04D6"/>
    <w:rsid w:val="004136FE"/>
    <w:rsid w:val="004A2D45"/>
    <w:rsid w:val="005218ED"/>
    <w:rsid w:val="0055496C"/>
    <w:rsid w:val="00587590"/>
    <w:rsid w:val="005956A4"/>
    <w:rsid w:val="00614864"/>
    <w:rsid w:val="00665EC6"/>
    <w:rsid w:val="0077113A"/>
    <w:rsid w:val="00780874"/>
    <w:rsid w:val="007B2BBF"/>
    <w:rsid w:val="007C693E"/>
    <w:rsid w:val="007E1C6D"/>
    <w:rsid w:val="00810CF6"/>
    <w:rsid w:val="00826DFF"/>
    <w:rsid w:val="008463B9"/>
    <w:rsid w:val="008950EB"/>
    <w:rsid w:val="008C6FD9"/>
    <w:rsid w:val="00971150"/>
    <w:rsid w:val="0098260A"/>
    <w:rsid w:val="00A95D27"/>
    <w:rsid w:val="00AA10BB"/>
    <w:rsid w:val="00AA1940"/>
    <w:rsid w:val="00AE1919"/>
    <w:rsid w:val="00AF265E"/>
    <w:rsid w:val="00B40410"/>
    <w:rsid w:val="00B45AE9"/>
    <w:rsid w:val="00C111A4"/>
    <w:rsid w:val="00C64C75"/>
    <w:rsid w:val="00CA304F"/>
    <w:rsid w:val="00D07A58"/>
    <w:rsid w:val="00DD343B"/>
    <w:rsid w:val="00DE3777"/>
    <w:rsid w:val="00E343C3"/>
    <w:rsid w:val="00E52896"/>
    <w:rsid w:val="00E80393"/>
    <w:rsid w:val="00E869D4"/>
    <w:rsid w:val="00F806D0"/>
    <w:rsid w:val="00F85FA5"/>
    <w:rsid w:val="00FA3B24"/>
    <w:rsid w:val="05D15877"/>
    <w:rsid w:val="060C69C9"/>
    <w:rsid w:val="0F115558"/>
    <w:rsid w:val="28E079E4"/>
    <w:rsid w:val="2A780F90"/>
    <w:rsid w:val="2BBC29AA"/>
    <w:rsid w:val="36AF56BC"/>
    <w:rsid w:val="3FDC4A81"/>
    <w:rsid w:val="437B50A2"/>
    <w:rsid w:val="44503927"/>
    <w:rsid w:val="4D7C1ACD"/>
    <w:rsid w:val="5FFA15C4"/>
    <w:rsid w:val="708D2B0A"/>
    <w:rsid w:val="7470626A"/>
    <w:rsid w:val="7D960A70"/>
    <w:rsid w:val="B6BB022D"/>
    <w:rsid w:val="DEEDEBF2"/>
    <w:rsid w:val="F79FB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3">
    <w:name w:val="Normal Indent"/>
    <w:basedOn w:val="1"/>
    <w:qFormat/>
    <w:uiPriority w:val="0"/>
    <w:pPr>
      <w:ind w:firstLine="420"/>
    </w:pPr>
    <w:rPr>
      <w:szCs w:val="20"/>
    </w:rPr>
  </w:style>
  <w:style w:type="paragraph" w:styleId="4">
    <w:name w:val="annotation text"/>
    <w:basedOn w:val="1"/>
    <w:link w:val="16"/>
    <w:qFormat/>
    <w:uiPriority w:val="0"/>
    <w:pPr>
      <w:jc w:val="left"/>
    </w:pPr>
  </w:style>
  <w:style w:type="paragraph" w:styleId="5">
    <w:name w:val="Balloon Text"/>
    <w:basedOn w:val="1"/>
    <w:link w:val="18"/>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link w:val="14"/>
    <w:qFormat/>
    <w:uiPriority w:val="99"/>
    <w:pPr>
      <w:widowControl/>
      <w:jc w:val="left"/>
    </w:pPr>
    <w:rPr>
      <w:rFonts w:eastAsiaTheme="minorEastAsia"/>
      <w:kern w:val="0"/>
      <w:sz w:val="24"/>
    </w:rPr>
  </w:style>
  <w:style w:type="paragraph" w:styleId="9">
    <w:name w:val="annotation subject"/>
    <w:basedOn w:val="4"/>
    <w:next w:val="4"/>
    <w:link w:val="17"/>
    <w:qFormat/>
    <w:uiPriority w:val="0"/>
    <w:rPr>
      <w:b/>
      <w:bCs/>
    </w:rPr>
  </w:style>
  <w:style w:type="character" w:styleId="12">
    <w:name w:val="annotation reference"/>
    <w:basedOn w:val="11"/>
    <w:qFormat/>
    <w:uiPriority w:val="0"/>
    <w:rPr>
      <w:sz w:val="21"/>
      <w:szCs w:val="21"/>
    </w:rPr>
  </w:style>
  <w:style w:type="character" w:customStyle="1" w:styleId="13">
    <w:name w:val="页脚 Char"/>
    <w:basedOn w:val="11"/>
    <w:link w:val="6"/>
    <w:qFormat/>
    <w:uiPriority w:val="0"/>
    <w:rPr>
      <w:rFonts w:ascii="Times New Roman" w:hAnsi="Times New Roman"/>
      <w:kern w:val="2"/>
      <w:sz w:val="18"/>
      <w:szCs w:val="18"/>
    </w:rPr>
  </w:style>
  <w:style w:type="character" w:customStyle="1" w:styleId="14">
    <w:name w:val="普通(网站) Char"/>
    <w:link w:val="8"/>
    <w:qFormat/>
    <w:uiPriority w:val="99"/>
    <w:rPr>
      <w:rFonts w:ascii="Times New Roman" w:hAnsi="Times New Roman" w:eastAsiaTheme="minorEastAsia"/>
      <w:sz w:val="24"/>
      <w:szCs w:val="24"/>
    </w:rPr>
  </w:style>
  <w:style w:type="paragraph" w:styleId="15">
    <w:name w:val="List Paragraph"/>
    <w:basedOn w:val="1"/>
    <w:qFormat/>
    <w:uiPriority w:val="99"/>
    <w:pPr>
      <w:widowControl/>
      <w:spacing w:line="360" w:lineRule="auto"/>
      <w:ind w:firstLine="420" w:firstLineChars="200"/>
      <w:jc w:val="left"/>
    </w:pPr>
    <w:rPr>
      <w:rFonts w:eastAsiaTheme="minorEastAsia"/>
      <w:kern w:val="0"/>
      <w:sz w:val="24"/>
    </w:rPr>
  </w:style>
  <w:style w:type="character" w:customStyle="1" w:styleId="16">
    <w:name w:val="批注文字 Char"/>
    <w:basedOn w:val="11"/>
    <w:link w:val="4"/>
    <w:qFormat/>
    <w:uiPriority w:val="0"/>
    <w:rPr>
      <w:rFonts w:ascii="Times New Roman" w:hAnsi="Times New Roman"/>
      <w:kern w:val="2"/>
      <w:sz w:val="21"/>
      <w:szCs w:val="24"/>
    </w:rPr>
  </w:style>
  <w:style w:type="character" w:customStyle="1" w:styleId="17">
    <w:name w:val="批注主题 Char"/>
    <w:basedOn w:val="16"/>
    <w:link w:val="9"/>
    <w:qFormat/>
    <w:uiPriority w:val="0"/>
    <w:rPr>
      <w:rFonts w:ascii="Times New Roman" w:hAnsi="Times New Roman"/>
      <w:b/>
      <w:bCs/>
      <w:kern w:val="2"/>
      <w:sz w:val="21"/>
      <w:szCs w:val="24"/>
    </w:rPr>
  </w:style>
  <w:style w:type="character" w:customStyle="1" w:styleId="18">
    <w:name w:val="批注框文本 Char"/>
    <w:basedOn w:val="11"/>
    <w:link w:val="5"/>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1379</Words>
  <Characters>7866</Characters>
  <Lines>65</Lines>
  <Paragraphs>18</Paragraphs>
  <TotalTime>28</TotalTime>
  <ScaleCrop>false</ScaleCrop>
  <LinksUpToDate>false</LinksUpToDate>
  <CharactersWithSpaces>9227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2022-11-26T03:47:00Z</dcterms:created>
  <dc:creator>蒋菁菁</dc:creator>
  <cp:lastModifiedBy>gaoyw</cp:lastModifiedBy>
  <cp:lastPrinted>2022-11-16T02:43:00Z</cp:lastPrinted>
  <dcterms:modified xsi:type="dcterms:W3CDTF">2023-01-10T17:47:14Z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04D0EC3D4842413CA3EAE6507634E9FD</vt:lpwstr>
  </property>
</Properties>
</file>