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龙岗区发展和改革局202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年政府信息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公开年度报告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本年报是根据《中华人民共和国政府信息公开条例》及有关规定要求，由龙岗区发展和改革局编制的202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年度主动公开政府信息情况、收到和处理政府信息公开申请情况、政府信息公开行政复议及行政诉讼情况、存在的主要问题及改进情况等组成。本年报中所列数据的统计期限自202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年1月1日起至202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年12月31日止。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年，龙岗区发展和改革局围绕区委区政府的工作部署，在龙岗区政务服务数据管理局指导下，严格落实政务公开有关要求，深化公开内容，丰富公开形式，规范公开行为，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政府信息公开工作取得明显成效。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（一）加强组织机构建设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中华人民共和国政府信息公开条例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》和区政府的相关要求，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明确龙岗区发展和改革局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局长为政府信息公开工作的第一责任人，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分管局办公室工作的副局长为政务公开工作分管领导，局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办公室为政府信息公开的协调工作机构，配备3名兼职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工作人员，负责全局政府信息公开的推进、协调、指导工作；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局办公室负责人及政务公开相关业务人员已加入“龙岗区政务公开群”微信工作群，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按时办理信息公开主管部门交办或转办事宜，积极配合办理政务公开与网站建设相关业务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（二）建立健全工作机制和制度规范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编制形成并根据实际情况及时更新《龙岗区发展和改革局政府信息公开制度汇编》，严格规范政府信息公开工作。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制定的《深圳市龙岗区发展和改革局政务信息公开指南》，公布了政府信息公开、查询、受理的渠道和程序，明确了政府信息公开的主要内容。为推动政府信息公开的工作落实，建立了政府信息公开联络员制度，要求局机关各科室和局属事业单位确定一名联络员，具体负责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、中心的政府信息公开、联系、沟通，协助局办公室开展政府信息公开工作，切实发挥桥梁和纽带作用。建立领导小组和联络员制度，进一步明确了工作职责，确保政府信息公开工作层层推进、层层落实，逐步形成“行政一把手负总责、分管领导具体负责、办公室组织协调、业务部门各负其责”的领导机制和工作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持续开展条例学习培训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为切实有效做好政府信息公开工作，要求全体干部职工认真学习《政府信息公开条例》，将《政府信息公开条例》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学习和落实情况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列入局班子和干部职工教育培训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及年度考核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积极组织相关人员参加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龙岗区政务服务数据管理局等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部门组织的政府信息公开培训，确保政府信息公开工作依法依规进行。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157" w:afterLines="5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31"/>
        <w:gridCol w:w="690"/>
        <w:gridCol w:w="690"/>
        <w:gridCol w:w="690"/>
        <w:gridCol w:w="690"/>
        <w:gridCol w:w="690"/>
        <w:gridCol w:w="690"/>
        <w:gridCol w:w="6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6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6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</w:rPr>
            </w:pPr>
            <w:r>
              <w:rPr>
                <w:rFonts w:hint="default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宋体"/>
                <w:sz w:val="24"/>
                <w:szCs w:val="24"/>
                <w:lang w:eastAsia="zh-CN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5"/>
        <w:gridCol w:w="645"/>
        <w:gridCol w:w="645"/>
        <w:gridCol w:w="645"/>
        <w:gridCol w:w="646"/>
        <w:gridCol w:w="646"/>
        <w:gridCol w:w="646"/>
        <w:gridCol w:w="7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2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Ascii"/>
                <w:sz w:val="20"/>
                <w:szCs w:val="20"/>
              </w:rPr>
            </w:pPr>
            <w:r>
              <w:rPr>
                <w:rFonts w:hint="default" w:hAnsi="宋体" w:eastAsia="黑体" w:cs="黑体" w:asciiTheme="minorAscii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Theme="minorAscii"/>
                <w:sz w:val="20"/>
                <w:szCs w:val="20"/>
              </w:rPr>
            </w:pPr>
            <w:r>
              <w:rPr>
                <w:rFonts w:hint="default" w:hAnsi="宋体" w:eastAsia="黑体" w:cs="黑体" w:asciiTheme="minorAscii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Theme="minorAsci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Theme="minorAscii"/>
                <w:sz w:val="20"/>
                <w:szCs w:val="20"/>
              </w:rPr>
            </w:pPr>
            <w:r>
              <w:rPr>
                <w:rFonts w:hint="eastAsia" w:hAnsi="宋体" w:eastAsia="黑体" w:cs="黑体" w:asciiTheme="minorAsci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0"/>
                <w:szCs w:val="20"/>
              </w:rPr>
            </w:pPr>
            <w:r>
              <w:rPr>
                <w:rFonts w:hint="eastAsia" w:asciiTheme="minorAscii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（一）工作中存在的主要问题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2022年，我局高度重视政府信息公开工作，取得了明显成效。但同时也存在的一些不足，如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政务信息主动公开意识不强，报送信息存在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滞后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现象。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</w:rPr>
        <w:t>（二）下一步改进措施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各科室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业务人员的培训和指导，抓好《政府信息公开条例》的学习和贯彻落实，提高各科室对于主动公开政务信息必要性的认识，积极提升政务公开工作人员的业务素养，按时高效完成政务公开各项工作任务。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进一步加强网站管理和保密审查，完善政府信息公开目录，确保发布的政府信息及时、准确、规范。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本年度我局未产生政府信息公开信息处理费收取情况。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深圳市龙岗区发展和改革局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年1月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</w:t>
      </w:r>
    </w:p>
    <w:sectPr>
      <w:footerReference r:id="rId3" w:type="default"/>
      <w:pgSz w:w="11906" w:h="16838"/>
      <w:pgMar w:top="1984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4777D"/>
    <w:rsid w:val="03732E90"/>
    <w:rsid w:val="0B3A3CE3"/>
    <w:rsid w:val="0DCD4939"/>
    <w:rsid w:val="15C3373D"/>
    <w:rsid w:val="17420784"/>
    <w:rsid w:val="1F7A58A8"/>
    <w:rsid w:val="20B4777D"/>
    <w:rsid w:val="27CC4B64"/>
    <w:rsid w:val="2BE62F8A"/>
    <w:rsid w:val="34D86237"/>
    <w:rsid w:val="37AA2023"/>
    <w:rsid w:val="3AA82654"/>
    <w:rsid w:val="3F3E5535"/>
    <w:rsid w:val="4AB01CBF"/>
    <w:rsid w:val="59A67500"/>
    <w:rsid w:val="5CA739F1"/>
    <w:rsid w:val="739E2718"/>
    <w:rsid w:val="78CC318D"/>
    <w:rsid w:val="79280F52"/>
    <w:rsid w:val="7C1351DB"/>
    <w:rsid w:val="7D303DAD"/>
    <w:rsid w:val="7EE7C7AE"/>
    <w:rsid w:val="7FBB75B8"/>
    <w:rsid w:val="AFDEC318"/>
    <w:rsid w:val="BFEFF0D1"/>
    <w:rsid w:val="DF7EBB57"/>
    <w:rsid w:val="F9BF5312"/>
    <w:rsid w:val="FA7B57CA"/>
    <w:rsid w:val="FF69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2021-12-21T11:01:00Z</dcterms:created>
  <dc:creator>谭阳洋</dc:creator>
  <cp:lastModifiedBy>萧小玉</cp:lastModifiedBy>
  <dcterms:modified xsi:type="dcterms:W3CDTF">2023-01-05T09:28:58Z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