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知识产权指标说明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所称“Ⅰ类知识产权”包括发明专利（含国防专利）、植物新品种、国家级农作物品种、国家新药、国家一级中药保护品种、集成电路布图设计专有权（均不包含转让未满1年的知识产权）。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所称“Ⅰ类高价值知识产权”须符合以下条件之一：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1.在海外有同族专利权的发明专利或在海外取得收入的其他Ⅰ类知识产权，其中专利限G20成员、新加坡以及欧洲专利局经实质审查后获得授权的发明专利。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2.维持年限超过10年的Ⅰ类知识产权。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3.实现较高质押融资金额的Ⅰ类知识产权。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4.获得国家科学技术奖或中国专利奖的Ⅰ类知识产权。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所称“Ⅱ类知识产权”包括与主导产品相关的软件著作权（不含商标）、授权后维持超过2年的实用新型专利或外观设计专利（均不包含转让未满1年的知识产权）。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mJiMDM5MWYyOGMxZWE2ZjZlYmY1ZTRmYzMxMDMifQ=="/>
  </w:docVars>
  <w:rsids>
    <w:rsidRoot w:val="00000000"/>
    <w:rsid w:val="2BDE6BB1"/>
    <w:rsid w:val="32B36390"/>
    <w:rsid w:val="77D78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356</Characters>
  <Lines>0</Lines>
  <Paragraphs>0</Paragraphs>
  <TotalTime>2</TotalTime>
  <ScaleCrop>false</ScaleCrop>
  <LinksUpToDate>false</LinksUpToDate>
  <CharactersWithSpaces>356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2022-09-12T12:05:00Z</dcterms:created>
  <dc:creator>Daisy</dc:creator>
  <cp:lastModifiedBy>阎雪</cp:lastModifiedBy>
  <dcterms:modified xsi:type="dcterms:W3CDTF">2022-12-20T10:46:49Z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3D3EBAFE1E874020870B9E40D0A5EB4D</vt:lpwstr>
  </property>
</Properties>
</file>