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page" w:tblpXSpec="center" w:tblpY="228"/>
        <w:tblOverlap w:val="never"/>
        <w:tblW w:w="9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4"/>
        <w:gridCol w:w="1125"/>
        <w:gridCol w:w="1211"/>
        <w:gridCol w:w="1781"/>
        <w:gridCol w:w="44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2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r>
              <w:rPr>
                <w:rFonts w:hint="eastAsia" w:ascii="宋体" w:hAnsi="宋体" w:eastAsia="宋体" w:cs="宋体"/>
                <w:b/>
                <w:bCs/>
                <w:i w:val="0"/>
                <w:iCs w:val="0"/>
                <w:color w:val="000000"/>
                <w:kern w:val="0"/>
                <w:sz w:val="40"/>
                <w:szCs w:val="40"/>
                <w:u w:val="none"/>
                <w:lang w:val="en-US" w:eastAsia="zh-CN" w:bidi="ar"/>
              </w:rPr>
              <w:t>深圳市龙岗区</w:t>
            </w:r>
            <w:r>
              <w:rPr>
                <w:rFonts w:hint="default" w:ascii="宋体" w:hAnsi="宋体" w:eastAsia="宋体" w:cs="宋体"/>
                <w:b/>
                <w:bCs/>
                <w:i w:val="0"/>
                <w:iCs w:val="0"/>
                <w:color w:val="000000"/>
                <w:kern w:val="0"/>
                <w:sz w:val="40"/>
                <w:szCs w:val="40"/>
                <w:u w:val="none"/>
                <w:lang w:eastAsia="zh-CN" w:bidi="ar"/>
              </w:rPr>
              <w:t>坪地</w:t>
            </w:r>
            <w:r>
              <w:rPr>
                <w:rFonts w:hint="eastAsia" w:ascii="宋体" w:hAnsi="宋体" w:eastAsia="宋体" w:cs="宋体"/>
                <w:b/>
                <w:bCs/>
                <w:i w:val="0"/>
                <w:iCs w:val="0"/>
                <w:color w:val="000000"/>
                <w:kern w:val="0"/>
                <w:sz w:val="40"/>
                <w:szCs w:val="40"/>
                <w:u w:val="none"/>
                <w:lang w:val="en-US" w:eastAsia="zh-CN" w:bidi="ar"/>
              </w:rPr>
              <w:t>街道行政调解委员会</w:t>
            </w: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首批</w:t>
            </w:r>
            <w:r>
              <w:rPr>
                <w:rFonts w:hint="default" w:ascii="宋体" w:hAnsi="宋体" w:eastAsia="宋体" w:cs="宋体"/>
                <w:b/>
                <w:bCs/>
                <w:i w:val="0"/>
                <w:iCs w:val="0"/>
                <w:color w:val="000000"/>
                <w:kern w:val="0"/>
                <w:sz w:val="40"/>
                <w:szCs w:val="40"/>
                <w:u w:val="none"/>
                <w:lang w:eastAsia="zh-CN" w:bidi="ar"/>
              </w:rPr>
              <w:t>行政</w:t>
            </w:r>
            <w:r>
              <w:rPr>
                <w:rFonts w:hint="eastAsia" w:ascii="宋体" w:hAnsi="宋体" w:eastAsia="宋体" w:cs="宋体"/>
                <w:b/>
                <w:bCs/>
                <w:i w:val="0"/>
                <w:iCs w:val="0"/>
                <w:color w:val="000000"/>
                <w:kern w:val="0"/>
                <w:sz w:val="40"/>
                <w:szCs w:val="40"/>
                <w:u w:val="none"/>
                <w:lang w:val="en-US" w:eastAsia="zh-CN" w:bidi="ar"/>
              </w:rPr>
              <w:t>调解事项清单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调解组织名称</w:t>
            </w:r>
          </w:p>
        </w:tc>
        <w:tc>
          <w:tcPr>
            <w:tcW w:w="12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调解事项</w:t>
            </w:r>
          </w:p>
        </w:tc>
        <w:tc>
          <w:tcPr>
            <w:tcW w:w="6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法律、法规及规章等文件依据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1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名称</w:t>
            </w:r>
          </w:p>
        </w:tc>
        <w:tc>
          <w:tcPr>
            <w:tcW w:w="4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适用条款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8" w:hRule="atLeas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default" w:ascii="宋体" w:hAnsi="宋体" w:eastAsia="宋体" w:cs="宋体"/>
                <w:i w:val="0"/>
                <w:iCs w:val="0"/>
                <w:color w:val="000000"/>
                <w:kern w:val="0"/>
                <w:sz w:val="22"/>
                <w:szCs w:val="22"/>
                <w:u w:val="none"/>
                <w:lang w:eastAsia="zh-CN" w:bidi="ar"/>
              </w:rPr>
              <w:t>坪地</w:t>
            </w:r>
            <w:bookmarkStart w:id="0" w:name="_GoBack"/>
            <w:bookmarkEnd w:id="0"/>
            <w:r>
              <w:rPr>
                <w:rFonts w:hint="eastAsia" w:ascii="宋体" w:hAnsi="宋体" w:eastAsia="宋体" w:cs="宋体"/>
                <w:i w:val="0"/>
                <w:iCs w:val="0"/>
                <w:color w:val="000000"/>
                <w:kern w:val="0"/>
                <w:sz w:val="22"/>
                <w:szCs w:val="22"/>
                <w:u w:val="none"/>
                <w:lang w:val="en-US" w:eastAsia="zh-CN" w:bidi="ar"/>
              </w:rPr>
              <w:t>街道行政调解委员会</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劳资纠纷调解</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《中华人民共和国劳动争议调解仲裁法》</w:t>
            </w:r>
          </w:p>
        </w:tc>
        <w:tc>
          <w:tcPr>
            <w:tcW w:w="4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第十条    发生劳动争议，当事人可以到下列调解组织申请调解：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（一）企业劳动争议调解委员会；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（二）依法设立的基层人民调解组织；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（三）在乡镇、街道设立的具有劳动争议调解职能的组织。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信访调解</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《信访工作条例》</w:t>
            </w:r>
          </w:p>
        </w:tc>
        <w:tc>
          <w:tcPr>
            <w:tcW w:w="4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第十五条　乡镇党委和政府、街道党工委和办事处以及村（社区）“两委”应当全面发挥职能作用，坚持和发展新时代“枫桥经验”，积极协调处理化解发生在当地的信访事项和矛盾纠纷，努力做到小事不出村、大事不出镇、矛盾不上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拖欠农民工工资纠纷调解</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《保障农民工工资支付条例》</w:t>
            </w:r>
          </w:p>
        </w:tc>
        <w:tc>
          <w:tcPr>
            <w:tcW w:w="4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第四条　县级以上地方人民政府对本行政区域内保障农民工工资支付工作负责，建立保障农民工工资支付工作协调机制，加强监管能力建设，健全保障农民工工资支付工作目标责任制，并纳入对本级人民政府有关部门和下级人民政府进行考核和监督的内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乡镇人民政府、街道办事处应当加强对拖欠农民工工资矛盾的排查和调处工作，防范和化解矛盾，及时调解纠纷。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物业管理纠纷调解</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《深圳经济特区物业管理条例》</w:t>
            </w:r>
          </w:p>
        </w:tc>
        <w:tc>
          <w:tcPr>
            <w:tcW w:w="4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第六条  街道办事处负责组织、协调业主大会成立以及业主委员会的选举工作，指导、监督业主大会和业主委员会的日常活动，调解物业管理纠纷，并配合住房和建设部门对物业管理活动进行监督管理。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搬迁补偿纠纷调解</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《深圳经济特区城市更新条例》</w:t>
            </w:r>
          </w:p>
        </w:tc>
        <w:tc>
          <w:tcPr>
            <w:tcW w:w="4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第三十五条  已签订搬迁补偿协议的专有部分面积占比或者物业权利人人数占比不低于百分之九十五时，市场主体与未签约业主经充分协商仍协商不成的，可以向项目所在地的区人民政府申请调解，区人民政府也可以召集有关当事人进行调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农村集体资产权属争议调解</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《广东省农村集体资产管理条例》</w:t>
            </w:r>
          </w:p>
        </w:tc>
        <w:tc>
          <w:tcPr>
            <w:tcW w:w="4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第十一条　对农村集体资产权属有争议的，由当事人协商解决；协商不成的，可以向乡镇人民政府、街道办事处申请调解；调解不成的，可以向县级人民政府农业行政主管部门申请调解。当事人也可以依法直接向人民法院提起诉讼。</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eastAsia="zh-CN"/>
        </w:rPr>
      </w:pPr>
    </w:p>
    <w:sectPr>
      <w:pgSz w:w="11906" w:h="16838"/>
      <w:pgMar w:top="1327" w:right="1633" w:bottom="1383"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1BFB3CE6"/>
    <w:rsid w:val="3FF9AF7C"/>
    <w:rsid w:val="4A1947CF"/>
    <w:rsid w:val="6DF4040B"/>
    <w:rsid w:val="7EBE5660"/>
    <w:rsid w:val="DCB9F28D"/>
    <w:rsid w:val="DFDB2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2018-07-12T15:11:00Z</dcterms:created>
  <dc:creator>d</dc:creator>
  <cp:lastModifiedBy>lgpd-228</cp:lastModifiedBy>
  <cp:lastPrinted>2022-12-14T19:47:00Z</cp:lastPrinted>
  <dcterms:modified xsi:type="dcterms:W3CDTF">2022-12-15T14:27:00Z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